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>
      <w:pPr>
        <w:pStyle w:val="Normal"/>
        <w:overflowPunct w:val="true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Выполнение работ по установке элементов обустройства автомобильных дорог общего пользования федерального значения. Установка светофорных объектов, стационарного электрического освещения и имитатора измерителя скорости.</w:t>
      </w:r>
    </w:p>
    <w:p>
      <w:pPr>
        <w:pStyle w:val="Normal"/>
        <w:overflowPunct w:val="true"/>
        <w:ind w:firstLine="720"/>
        <w:jc w:val="both"/>
        <w:rPr>
          <w:bCs/>
          <w:iCs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1.Наименование работ:</w:t>
      </w:r>
    </w:p>
    <w:p>
      <w:pPr>
        <w:pStyle w:val="Normal"/>
        <w:overflowPunct w:val="true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Выполнение работ по установке элементов обустройства автомобильных дорог общего пользования федерального значения. Установка светофорных объектов, стационарного электрического освещения и имитатора измерителя скорости.</w:t>
      </w:r>
    </w:p>
    <w:p>
      <w:pPr>
        <w:pStyle w:val="Normal"/>
        <w:overflowPunct w:val="true"/>
        <w:ind w:firstLine="720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2. Заказчик: </w:t>
      </w:r>
    </w:p>
    <w:p>
      <w:pPr>
        <w:pStyle w:val="Normal"/>
        <w:overflowPunct w:val="true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ПАО «Ростелеком»</w:t>
      </w:r>
    </w:p>
    <w:p>
      <w:pPr>
        <w:pStyle w:val="Normal"/>
        <w:overflowPunct w:val="true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rmal"/>
        <w:overflowPunct w:val="true"/>
        <w:jc w:val="both"/>
        <w:rPr>
          <w:b/>
          <w:bCs/>
          <w:spacing w:val="-9"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>3. Исполнитель: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результатам закупки.</w:t>
      </w:r>
    </w:p>
    <w:p>
      <w:pPr>
        <w:pStyle w:val="Normal"/>
        <w:overflowPunct w:val="true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</w:r>
    </w:p>
    <w:p>
      <w:pPr>
        <w:pStyle w:val="Normal"/>
        <w:overflowPunct w:val="true"/>
        <w:ind w:firstLine="720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Статус работы: </w:t>
      </w:r>
      <w:r>
        <w:rPr>
          <w:sz w:val="28"/>
          <w:szCs w:val="28"/>
        </w:rPr>
        <w:t>государственный заказ.</w:t>
      </w:r>
    </w:p>
    <w:p>
      <w:pPr>
        <w:pStyle w:val="Normal"/>
        <w:shd w:val="clear" w:color="auto" w:fill="FFFFFF"/>
        <w:tabs>
          <w:tab w:val="clear" w:pos="720"/>
          <w:tab w:val="left" w:pos="754" w:leader="none"/>
        </w:tabs>
        <w:spacing w:lineRule="exact" w:line="250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754" w:leader="none"/>
        </w:tabs>
        <w:spacing w:lineRule="exact" w:line="250" w:before="5" w:after="0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5. Источник финансирования: </w:t>
      </w:r>
      <w:r>
        <w:rPr>
          <w:sz w:val="28"/>
          <w:szCs w:val="28"/>
        </w:rPr>
        <w:t>средства федерального бюджета.</w:t>
      </w:r>
    </w:p>
    <w:p>
      <w:pPr>
        <w:pStyle w:val="Normal"/>
        <w:shd w:val="clear" w:color="auto" w:fill="FFFFFF"/>
        <w:tabs>
          <w:tab w:val="clear" w:pos="720"/>
          <w:tab w:val="left" w:pos="754" w:leader="none"/>
        </w:tabs>
        <w:spacing w:lineRule="exact" w:line="250" w:before="5" w:after="0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</w:r>
    </w:p>
    <w:p>
      <w:pPr>
        <w:pStyle w:val="Normal"/>
        <w:overflowPunct w:val="true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ab/>
        <w:t xml:space="preserve">6. </w:t>
      </w:r>
      <w:r>
        <w:rPr>
          <w:b/>
          <w:bCs/>
          <w:spacing w:val="2"/>
          <w:sz w:val="28"/>
          <w:szCs w:val="28"/>
        </w:rPr>
        <w:t xml:space="preserve">Цель работы: </w:t>
      </w:r>
    </w:p>
    <w:p>
      <w:pPr>
        <w:pStyle w:val="Normal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целях повышения безопасности дорожного движения Подрядчику надлежит установить светофорные объекты на пересечении автомобильных дорог, стационарного электрического освещения и имитатора измерителя скорости.</w:t>
      </w:r>
    </w:p>
    <w:p>
      <w:pPr>
        <w:pStyle w:val="Normal"/>
        <w:ind w:firstLine="53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Установку элементов обустройства необходимо произвести в соответствии с данным техническим заданием, ведомостью объемов работ и нормативными требованиями.</w:t>
      </w:r>
    </w:p>
    <w:p>
      <w:pPr>
        <w:pStyle w:val="Normal"/>
        <w:ind w:firstLine="53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Адреса установки элементов обустройства принимаются в соответствии с ведомостью объемов и стоимости работ. </w:t>
      </w:r>
    </w:p>
    <w:p>
      <w:pPr>
        <w:pStyle w:val="Normal"/>
        <w:ind w:firstLine="53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Уточнение адресов установки производится в процессе разработки ППР по согласованию с Заказчиком. В случае возникновения необходимости внесения изменений в адреса установки элементов обустройства (в целях повышения безопасности дорожного движения, ликвидации очагов аварийности или изменения дорожных условий), данные изменения вносятся по инициативе одной из сторон и соответствующем согласии второй стороны в рамках действующего законодательства и условий </w:t>
      </w:r>
      <w:r>
        <w:rPr>
          <w:bCs/>
          <w:iCs/>
          <w:sz w:val="28"/>
          <w:szCs w:val="28"/>
        </w:rPr>
        <w:t>догвора</w:t>
      </w:r>
      <w:r>
        <w:rPr>
          <w:bCs/>
          <w:iCs/>
          <w:sz w:val="28"/>
          <w:szCs w:val="28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850" w:leader="none"/>
        </w:tabs>
        <w:spacing w:lineRule="exact" w:line="250"/>
        <w:ind w:firstLine="567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</w:p>
    <w:p>
      <w:pPr>
        <w:pStyle w:val="Normal"/>
        <w:shd w:val="clear" w:color="auto" w:fill="FFFFFF"/>
        <w:spacing w:lineRule="exact" w:line="250"/>
        <w:ind w:firstLine="709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7.Технические условия: </w:t>
      </w:r>
    </w:p>
    <w:p>
      <w:pPr>
        <w:pStyle w:val="22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7.1 Технические требования к установке </w:t>
      </w:r>
      <w:r>
        <w:rPr>
          <w:b/>
          <w:bCs/>
          <w:iCs/>
          <w:sz w:val="28"/>
          <w:szCs w:val="28"/>
        </w:rPr>
        <w:t>светофорных объектов на пересечениях и примыканиях</w:t>
      </w:r>
      <w:r>
        <w:rPr>
          <w:b/>
          <w:bCs/>
          <w:sz w:val="28"/>
          <w:szCs w:val="28"/>
        </w:rPr>
        <w:t>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уровня безопасности дорожного движения Подрядчику надлежит осуществить комплекс работ по установке светофорных объектов, адреса установки определяются проектом производства работ с учётом ведомости объемов и стоимости работ.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должны быть выполнены в соответствии с разработанным проектом производства работ (ППР), ведомостью объемов работ и требованиями нормативных документов.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Устанавливаемые светофоры по своим параметрам при установке и эксплуатации должны отвечать требованиям ГОСТ 33385-2015, ГОСТ Р 52282-2004, а их размещение на дороге и режим работы ГОСТ Р 52289-2019 с учётом ОДМ 218.6.003-2011 и ГОСТ Р 70716-2023. Национальный стандарт Российской Федерации. Дороги автомобильные и улицы. Безопасность движения пешеходов. Общие требования.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источников света в светофорах использовать светоизлучающие диоды.</w:t>
      </w:r>
    </w:p>
    <w:p>
      <w:pPr>
        <w:pStyle w:val="formattexttopleveltext"/>
        <w:spacing w:lineRule="atLeast" w:line="169" w:beforeAutospacing="0" w:before="0" w:after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ориентирования участников дорожного движения по ГОСТ 33385-2015 должны быть дополнены (или включать в себя) световыми табло, показывающими время, оставшееся до сигнала, разрешающего движение (при применении вызывной пешеходной фазы определяется технической возможностью).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Светофорные объекты должны быть снабжены и обустроены следующим: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для подачи звукового сигнала для слепых пешеходов;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источником аварийного питания с устройством автоматического включения и аккумуляторной батареей ёмкостью не менее 100 Ач; 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пешеходными ограждениями (по необходимости);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кнопкой вызова пешеходной фазы (согласно ППР по необходимости);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освещением пешеходного перехода (при наличии в пределах светофорного регулирования);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подходами к пешеходным переходам (в пределах полосы отвода автомобильной дороги); 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дорожными ограждениями (при наличии технической необходимости);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дорожными знаками;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горизонтальной дорожной разметкой;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техническими средствами визуальной и (или) тактильной информации для людей с ограничениями жизнедеятельности;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повторителем сигнала светофора вдоль опоры (по согласованию с Заказчиком);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Прокладка кабельных линий должна быть осуществлена максимально подземным способом. Прокладка кабельных линий воздушным способом возможна при технико-экономическом обосновании по согласованию с Заказчиком.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Светофоры, размещаемые по главному направлению, дублируются над проезжей частью.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Светофорные опоры должны обеспечивать надёжное крепление всех элементов и технических средств организации движения.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r>
        <w:rPr>
          <w:sz w:val="28"/>
          <w:szCs w:val="28"/>
        </w:rPr>
        <w:t>Толщина стенок профиль и материал в конструкции выбираются с учётом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СП 16.13330.2011.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Конструкция опоры должна выдерживать ветровые и гололедные нагрузки для четвёртого района по СП 20.13330.2011 и закрепление на ней всех элементов обустройства и электропитания.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элементы опоры должны иметь антикоррозионное покрытие, нанесённое методом горячего цинкования.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Дорожные знаки (далее знаки) размещают таким образом, чтобы они воспринимались только участниками движения, для которых они предназначены, и не были закрыты какими-либо препятствиями, обеспечивали удобство эксплуатации и уменьшали вероятность их повреждения.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Знаки, устанавливаемые на автомобильных дорогах, должны соответствовать требованиям ГОСТ 32945-2014 и в процессе эксплуатации отвечать требованиям ГОСТ 33220-2015.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дорожных знаков должно соответствовать ГОСТ 52289-2019. Типоразмеры знаков по ГОСТ 32945-2014. При необходимости допускается применять знаки большего типоразмера. 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Световозвращающие материалы дорожных знаков должны соответствовать ГОСТ 32945-2014.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детали и сборочные единицы знаков должны быть изготовлены из антикоррозионных материалов или иметь защитное покрытие.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Геометрические параметры линий дорожной разметки должны соответствовать ГОСТ Р 51256-2018, ГОСТ 32953-2014 и наноситься в соответствии с ГОСТ 52289-2019.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Разметочные материалы должны соответствовать требованиям ГОСТ 32830-2014. </w:t>
      </w:r>
    </w:p>
    <w:p>
      <w:pPr>
        <w:pStyle w:val="formattexttopleveltext"/>
        <w:spacing w:lineRule="atLeast" w:line="169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Подрядчик демаркирует ранее нанесенную дорожную разметку, которая не соответствует проекту организации движения.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Линия электропитания должна быть выполнена в соответствии с требованиями ПУЭ и техническими условиями Сетевой организации, иметь контур заземления и устройства защиты. Предусмотреть защиту средств учета электрической энергии от несанкционированного доступа.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7.2 Технические требования к установке стационарного электрического освещения на локальных участках.</w:t>
      </w:r>
    </w:p>
    <w:p>
      <w:pPr>
        <w:pStyle w:val="22"/>
        <w:ind w:firstLine="708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В целях повышения безопасности дорожного движения Подрядчику надлежит осуществить комплекс работ по устройству линий электроосвещения локальных участков в соответствии с ведомостью объемов работ.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  <w:t>Протяженность соответствующих участков, схема расстановки опор и основные технические решения согласовываются с подрядчиком в рамках разработки ППР.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  <w:t xml:space="preserve">Работы должны быть выполнены в соответствии с разработанным проектом производства работ (ППР), ведомостью объемов работ и требованиями нормативных документов.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  <w:t>Для установки светильников применить фланцевые металлические опоры высотой не менее 9 м.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Опоры должны соответствовать ГОСТ 32947-2014, ГОСТ 23118 и изготавливаться по рабочим чертежам и технологической документации, утвержденным в установленном порядке и иметь соответствующий сертификат.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Конструкция опоры согласовывается с Заказчиком до начала работ в рамках разработки ППР.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Толщина стенок профиль и материал в конструкции выбираются с учётом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СП 16.13330.2011.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Конструкция опоры должна выдерживать ветровые и гололедные нагрузки для четвёртого района по СП 20.13330.2011 и закрепление на ней всех элементов обустройства и электропитания.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  <w:t xml:space="preserve">Все элементы опоры должны иметь антикоррозионное покрытие по ГОСТ32947-2014, нанесённое методом горячего цинкования.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  <w:t>Опора устанавливается сбоку от проезжей части не ближе 4 м от её края при отсутствии ограждений.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Применяемые светильники должны быть предназначены для уличного применения и обеспечивать нормативную освещённость проезжей части.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Предлагаемые к использованию светильники и лампы должны соответствовать требованиям Постановления Правительства РФ от 20 июля 2011г № 602 «Об утверждении требований к осветительным устройствам и электрическим лампам, используемым в цепях переменного тока в целях освещения», обеспечивать его надёжность. Светильники устанавливается с учётом наиболее равномерного распределения освещённости.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Применяемый Светильник должен соответствовать требованиям ТР ТС014/2011 и иметь соответствующий сертификат, иметь светодиодный источник света. Климатическое исполнение: УХЛ1. Светильник должен иметь полную защиту от пыли. Напряжение сети: 220 ± 10% В, степень защиты: не ниже IP 65, частота питания: 50-60 Гц.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По результатам устройства освещения освещённость автомобильной дороги (проезжей части) в месте установки (пресечение, подход к пешеходному переходу, подход к примыканию и т. д. с учётом схемы расположения опор) должна соответствовать требованиям ГОСТ 54305-2011 и ГОСТ 33176-2014 для дорог соответствующей категории.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Линия электропитания должна быть выполнена в соответствии с требованиями ПУЭ и техническими условиями Сетевой организации, иметь контур заземления и устройства защиты. Предусмотреть защиту средств учета электрической энергии от несанкционированного доступа.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Прокладка кабельных линий должна быть осуществлена подземным способом. При отсутствии технической возможности прокладки кабельных линий подземным способом допускается, по согласованию с Заказчиком, прокладка кабельных линий иным способом, обеспечивающим сохранность и надёжность объекта.</w:t>
      </w:r>
    </w:p>
    <w:p>
      <w:pPr>
        <w:pStyle w:val="22"/>
        <w:ind w:firstLine="708"/>
        <w:jc w:val="both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7.3 Технические требования к установке имитатора измерителя скорости.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В целях повышения уровня безопасности дорожного движения Подрядчику надлежит осуществить комплекс работ по установке имитаторов измерителя скорости (далее ИИС). Адреса установки определяются проектом производства работ с учётом ведомости объемов и стоимости работ.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Работы должны быть выполнены в соответствии с разработанным проектом производства работ (ППР), ведомостью объемов работ и требованиями нормативных документов.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ИИС должен представлять из себя устройство по внешнему виду идентичное (форма, размеры, набор элементов, методы крепления) реальному комплексу фотовидеофиксации применяемому на участках федеральных автомобильных дорог соответствующего региона.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ИИС должен обеспечивать вызов срабатываний радар-детекторов, установленных на транспортных средствах, находящихся в зоне облучения, не мене чем за 1000 м (в условиях прямой видимости), в пределах рабочих температур от -30 градусов Цельсия до +60 градусов Цельсия.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ИИС должен быть изготовлен в заводских условиях и иметь соответствующую сопроводительную документацию.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Корпус ИИС изготавливается из стали. Корпус и его части (внутри и снаружи) должны быть окрашены полимерной краской серого цвета для исключения коррозии. Герметичность корпуса должна быть не ниже по классу IP 65. 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ИИС должен включать в себя: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- Блок СВЧ излучения, который создает радиосигнал, аналогичный излучаемому измерителями скорости дорожного движения. диапазон излучения блока имитатора радарного излучения, 24,1 – 24,2 ГГц, мощность излучения от 15 до 20 мВт, режим работы – непрерывный.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- Блок инфракрасной (ИК) подсветки;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- Визуальную индикацию работы;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- Комплект креплений, обеспечивающий надёжную установку на опору и возможность корректировки положения ИИС в горизонтальной и вертикальной плоскостях без его снятия. Все делали комплекта крепления должны иметь антикоррозийное покрытие.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ИИС устанавливается сбоку от проезжей части на высоте 4-6 м на опоре освещения или опоре для размещения технических средств организации движения, соответствующих по нагрузке. В случае размещения вне населённого пункта участок дороги обустраивается дорожными знаками 6.22, размещение указанных дорожных знаков допускается на существующих стойках или опорах в соответствии с ГОСТ Р 52289-2019.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Электропитание комплекса осуществляется от действующей сети Заказчика, с учётом размещения точек постоянного питания.</w:t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22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</w:r>
    </w:p>
    <w:p>
      <w:pPr>
        <w:pStyle w:val="Normal"/>
        <w:shd w:val="clear" w:color="auto" w:fill="FFFFFF"/>
        <w:spacing w:lineRule="exact" w:line="250"/>
        <w:ind w:firstLine="703" w:start="5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Выполнение работ:</w:t>
      </w:r>
    </w:p>
    <w:p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8.1 Ограждение мест производства работ и обеспечение безопасности дорожного движения.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Подрядчик обеспечивает допуск к работе лиц, прошедших специальный инструктаж и обучение.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Дорожные машины, участвующие в проведении работ, должны быть оборудованы проблесковыми маячками желтого или оранжевого цвета (Правила дорожного движения Российской Федерации).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Работы производить согласно временному проекту (временной схеме) организации движения и ограждения мест производства работ, разработанной и утверждённой в соответствии с действующими нормативами и законодательством.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организации дорожного движения должны соответствовать требованиям Технического регламента Таможенного союза</w:t>
      </w:r>
      <w:r>
        <w:rPr>
          <w:b/>
          <w:bCs/>
          <w:color w:val="2B4279"/>
          <w:sz w:val="28"/>
          <w:szCs w:val="28"/>
        </w:rPr>
        <w:t xml:space="preserve"> </w:t>
      </w:r>
      <w:r>
        <w:rPr>
          <w:sz w:val="28"/>
          <w:szCs w:val="28"/>
        </w:rPr>
        <w:t>ТР ТС 014/2011 «Безопасность автомобильных дорог».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Организация-исполнитель приступает к проведению работ при наличии</w:t>
      </w:r>
      <w:r>
        <w:rPr>
          <w:bCs/>
          <w:sz w:val="28"/>
          <w:szCs w:val="28"/>
        </w:rPr>
        <w:t xml:space="preserve"> утвержденного и согласованного в установленном порядке </w:t>
      </w:r>
      <w:r>
        <w:rPr>
          <w:sz w:val="28"/>
          <w:szCs w:val="28"/>
        </w:rPr>
        <w:t>временному проекту (временной схеме) организации движения</w:t>
      </w:r>
      <w:r>
        <w:rPr>
          <w:bCs/>
          <w:sz w:val="28"/>
          <w:szCs w:val="28"/>
        </w:rPr>
        <w:t xml:space="preserve"> организации движения и ограждения места производства дорожных работ (далее – схема) и согласованного проекта производства работ. 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Размещение на проезжей части и обочинах оборудования, инвентаря, строительных материалов и дорожных машин осуществляется организацией-исполнителем после полного обустройства участка временного изменения движения всеми необходимыми техническими средствами организации движения, ограждающими и направляющими устройствами в соответствии со схемой. 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выполнении работ строительные материалы, грунт, дорожные машины, механизмы и оборудование должны размещаться только в рабочей зоне.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Отклонение от схемы, а также применение неисправных технических средств недопустимо.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Демонтаж временных технических средств организации дорожного движения, направляющих и ограждающих устройств, прочих технических средств осуществляют незамедлительно после завершения работ в обратной последовательности.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Персонал обязан соблюдать инструкции по охране труда, устанавливающие правила выполнения работ и поведения на объектах и сооружениях транспортной инфраструктуры, и находиться в пределах границ участка проведения работ.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Персонал должен иметь профессиональную подготовку (в том числе и по безопасности труда), соответствующую характеру выполняемых работ.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 началом работ рабочие и машинисты дорожных машин должны быть ознакомлены со схемой организации движения и ограждения места производства работ, с порядком движения дорожных машин и транспортных средств в местах разворота, въездах и съездах, местах складирования материалов и хранения инвентаря.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Рабочие, выполняющие дорожные работы, должны быть обеспечены специальной одеждой (жилетами) ярко-оранжевого цвета (далее сигнальная одежда), надеваемой поверх обычной спецодежды и другими средствами индивидуальной защиты по установленным нормам. 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производстве работ утвержденная и согласованная схема организации движения и ограждения мест производства работ должна находиться у производителя работ непосредственно на объекте.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ведения и оформления документации.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Подрядчик обязан вести соответствующую исполнительную документацию.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начала производства работ в течении 40 дней с момента заключения </w:t>
      </w:r>
      <w:r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для работ, выполняемых в первый год реализации </w:t>
      </w:r>
      <w:r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и до 1 марта года соответствующего реализации работ Подрядчик согласовывает с Заказчиком основные виды применяемых конструкций, материалов и оборудования (дорожные ограждения), и предоставляет Заказчику разработанный проект производства работ (ППР). 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ППР по отдельным объектам (в разрезе по видам работ и субъектам РФ) может составятся отдельными томами.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ППР по согласованию с Заказчиком в зависимости от видов выполняемых работ включает в себя: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 xml:space="preserve">Обложка; 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 xml:space="preserve">Титульный лист; 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 xml:space="preserve">Лист согласования состава ППР;  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>Содержание;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 xml:space="preserve">Техническое задание по </w:t>
      </w: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>договору</w:t>
      </w: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>;</w:t>
      </w:r>
    </w:p>
    <w:p>
      <w:pPr>
        <w:pStyle w:val="13"/>
        <w:numPr>
          <w:ilvl w:val="0"/>
          <w:numId w:val="1"/>
        </w:numPr>
        <w:shd w:val="clear" w:color="auto" w:fill="FFFFFF"/>
        <w:tabs>
          <w:tab w:val="clear" w:pos="720"/>
          <w:tab w:val="left" w:pos="850" w:leader="none"/>
        </w:tabs>
        <w:suppressAutoHyphens w:val="false"/>
        <w:spacing w:lineRule="exact" w:line="250" w:before="0" w:after="0"/>
        <w:contextualSpacing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pacing w:val="1"/>
          <w:sz w:val="28"/>
          <w:szCs w:val="28"/>
          <w:lang w:eastAsia="ru-RU"/>
        </w:rPr>
        <w:t>Общая пояснительная записка;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Согласованный со всеми заинтересованными организациями генеральный план застройки 1:500 (1:1000, 1:3000 или иного масштаба для линейно протяженных объектов в зависимости от необходимой детализации) включающий схемы расстановки ограждений, схемы дислокации технических средств организации дорожного движения, схемы установки освещения и т.д.;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Ведомость объемов работ;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Этапы выполнения работ (календарный план);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Ведомость применяемых материалов и оборудования;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подтверждающие соответствие предусмотренных в ППР материалов требованиям нормативной документации (сертификаты соответствия, санитарные заключения, протоколы испытания, заключения уполномоченных органов о качестве и пригодности применяемого оборудования, стандарт предприятия изготовителя на применяемые материалы и оборудование, декларация и так далее)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Согласованные в установленном порядке схемы организации дорожного движения и ограждения мест производства работ;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привлекаемых субподрядных организаций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Технологические карты и схемы выполнения работ 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Ведомость ссылочных и прилагаемых документов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84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Иную документацию необходимую для выполнения работ.</w:t>
      </w:r>
    </w:p>
    <w:p>
      <w:pPr>
        <w:pStyle w:val="Normal"/>
        <w:widowControl/>
        <w:tabs>
          <w:tab w:val="clear" w:pos="720"/>
          <w:tab w:val="left" w:pos="284" w:leader="none"/>
        </w:tabs>
        <w:ind w:star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разработке производственной документации необходимо произвести сбор исходных данных в необходимых объемах и номенклатуре, при необходимости произвести дополнительные изыскания и обследования.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начала выполнения работ Подрядчик получает все необходимые согласования, разрешения и технические условия от сторонних организаций.</w:t>
      </w:r>
    </w:p>
    <w:p>
      <w:pPr>
        <w:pStyle w:val="15"/>
        <w:ind w:firstLine="708"/>
        <w:jc w:val="both"/>
        <w:rPr>
          <w:bCs/>
          <w:spacing w:val="1"/>
          <w:sz w:val="28"/>
          <w:szCs w:val="28"/>
        </w:rPr>
      </w:pPr>
      <w:r>
        <w:rPr>
          <w:sz w:val="28"/>
          <w:szCs w:val="28"/>
        </w:rPr>
        <w:t xml:space="preserve">Основные проектные решения, применяемое </w:t>
      </w:r>
      <w:r>
        <w:rPr>
          <w:bCs/>
          <w:spacing w:val="1"/>
          <w:sz w:val="28"/>
          <w:szCs w:val="28"/>
        </w:rPr>
        <w:t xml:space="preserve">оборудование, конструкции согласовать с Заказчиком. </w:t>
      </w:r>
    </w:p>
    <w:p>
      <w:pPr>
        <w:pStyle w:val="15"/>
        <w:ind w:firstLine="708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В процессе выполнения работ в ППР могут вноситься изменения по согласованию с Заказчиком.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начала работ подрядчик осуществляет проверку качества материалов (входной контроль), представляет при необходимости Заказчику паспорта и сертификаты на применяемые материалы.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Подрядчиком ведется вся первичная исполнительная документация при производстве работ в соответствии с требованиями нормативных документов. Подрядчик должен вести Общий журнал в соответствии с ГОСТ от 24.09.2014 N 32731-2014 с момента начала работ на объектах и до их завершения в установленном порядке.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основные работы подлежат обязательному освидетельствованию после проверки правильности их выполнения в натуре, ознакомления с технической документацией и оформляются соответствующим актом освидетельствования в соответствии с ГОСТ 32755-2014. Освидетельствование работ производится комиссией в составе представителя заказчика, подрядчика, субподрядчика и так далее.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Подрядчик обязан уведомить заказчика о времени освидетельствования работ (сдачи объекта в эксплуатацию) и обеспечить доставку представителей заказчика к месту работ и обратно.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сдачи объекта в эксплуатацию Подрядчик обязан представить:</w:t>
      </w:r>
    </w:p>
    <w:p>
      <w:pPr>
        <w:pStyle w:val="Normal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1. Гарантийный паспорт;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2. Акт ввода объекта в эксплуатацию (проект);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организаций, участвовавших в строительно-монтажных работах с указанием видов выполненных ими работ;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4. Журналы производства работ, материалы обследований и проверок; журналы лабораторных испытаний и другие документы, удостоверяющие качество материалов, конструкций и деталей, примененных при производстве строительно-монтажных работ;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5. Акты освидетельствования работ;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6. Ведомость выполненных работ;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7. Паспорта светофорных объектов;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  <w:t>8. Документацию на подключение к электросетям.</w:t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start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763" w:leader="none"/>
        </w:tabs>
        <w:spacing w:lineRule="exact" w:line="250"/>
        <w:ind w:start="542"/>
        <w:jc w:val="both"/>
        <w:rPr>
          <w:b/>
          <w:bCs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9.</w:t>
      </w:r>
      <w:r>
        <w:rPr>
          <w:b/>
          <w:bCs/>
          <w:sz w:val="28"/>
          <w:szCs w:val="28"/>
        </w:rPr>
        <w:tab/>
        <w:t xml:space="preserve">Гарантийные обязательства: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объект выполнения работ подрядчиком устанавливается гарантийный срок устранения дефектов, который составляет с момента подписания акта выполненных работ: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монтажные работы – 1 год;</w:t>
      </w:r>
    </w:p>
    <w:p>
      <w:pPr>
        <w:pStyle w:val="formattexttopleveltext"/>
        <w:spacing w:lineRule="atLeast" w:line="169" w:beforeAutospacing="0" w:before="0" w:after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устанавливаемые дорожные знаки и стойки – 10 лет;</w:t>
      </w:r>
    </w:p>
    <w:p>
      <w:pPr>
        <w:pStyle w:val="formattexttopleveltext"/>
        <w:spacing w:lineRule="atLeast" w:line="169" w:beforeAutospacing="0" w:before="0" w:after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светильники – согласно паспорту изделия завода изготовителя;</w:t>
      </w:r>
    </w:p>
    <w:p>
      <w:pPr>
        <w:pStyle w:val="formattexttopleveltext"/>
        <w:spacing w:lineRule="atLeast" w:line="169" w:beforeAutospacing="0" w:before="0" w:after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светофорный объект, включая все его элементы кроме окраски не оцинкованных поверхностей – согласно паспорту изделия завода изготовителя;</w:t>
      </w:r>
    </w:p>
    <w:p>
      <w:pPr>
        <w:pStyle w:val="formattexttopleveltext"/>
        <w:spacing w:lineRule="atLeast" w:line="169" w:beforeAutospacing="0" w:before="0" w:after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имитатор измерителя скорости включая элементы автономного питания – 2 года.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в период гарантийной эксплуатации объекта обнаружатся дефекты, то Подрядчик обязан их устранить за свой счет в согласованные в установленном порядке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в срок, указанный в извещении Заказчика. При этом гарантийный срок прерывается на срок устранения дефектов и продолжается со дня подписания акта выполненных работ по устранению дефектов.</w:t>
      </w:r>
    </w:p>
    <w:p>
      <w:pPr>
        <w:pStyle w:val="Normal"/>
        <w:shd w:val="clear" w:color="auto" w:fill="FFFFFF"/>
        <w:spacing w:lineRule="exact" w:line="25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exact" w:line="250"/>
        <w:ind w:firstLine="720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>
        <w:rPr>
          <w:b/>
          <w:bCs/>
          <w:spacing w:val="-1"/>
          <w:sz w:val="28"/>
          <w:szCs w:val="28"/>
        </w:rPr>
        <w:t>Сроки выполнения работ: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календарным графиком.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выявления нарушений качества применяемых материалов, технологии работ, правил производства работ, техники безопасности, Заказчик имеет право приостановить выполнение работ, при этом срок окончания работ по </w:t>
      </w:r>
      <w:r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для Подрядчика остается неизменным.</w:t>
      </w:r>
    </w:p>
    <w:p>
      <w:pPr>
        <w:pStyle w:val="Normal"/>
        <w:widowControl/>
        <w:jc w:val="both"/>
        <w:rPr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1134" w:footer="72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6987272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6987272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2fbd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04f90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1e0b4a"/>
    <w:pPr>
      <w:keepNext w:val="true"/>
      <w:widowControl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195e4c"/>
    <w:rPr/>
  </w:style>
  <w:style w:type="character" w:styleId="match" w:customStyle="1">
    <w:name w:val="match"/>
    <w:basedOn w:val="DefaultParagraphFont"/>
    <w:qFormat/>
    <w:rsid w:val="00195e4c"/>
    <w:rPr/>
  </w:style>
  <w:style w:type="character" w:styleId="inactivelink" w:customStyle="1">
    <w:name w:val="inactivelink"/>
    <w:basedOn w:val="DefaultParagraphFont"/>
    <w:qFormat/>
    <w:rsid w:val="00ac210b"/>
    <w:rPr/>
  </w:style>
  <w:style w:type="character" w:styleId="visited" w:customStyle="1">
    <w:name w:val="visited"/>
    <w:basedOn w:val="DefaultParagraphFont"/>
    <w:qFormat/>
    <w:rsid w:val="00ac210b"/>
    <w:rPr/>
  </w:style>
  <w:style w:type="character" w:styleId="Strong">
    <w:name w:val="Strong"/>
    <w:qFormat/>
    <w:rsid w:val="00d2183a"/>
    <w:rPr>
      <w:b/>
      <w:bCs/>
    </w:rPr>
  </w:style>
  <w:style w:type="character" w:styleId="Bodytext2" w:customStyle="1">
    <w:name w:val="Body text (2)_"/>
    <w:link w:val="Bodytext21"/>
    <w:qFormat/>
    <w:locked/>
    <w:rsid w:val="001e0b4a"/>
    <w:rPr>
      <w:rFonts w:ascii="Arial" w:hAnsi="Arial"/>
      <w:sz w:val="19"/>
      <w:szCs w:val="19"/>
      <w:shd w:fill="FFFFFF" w:val="clear"/>
      <w:lang w:bidi="ar-SA"/>
    </w:rPr>
  </w:style>
  <w:style w:type="character" w:styleId="2" w:customStyle="1">
    <w:name w:val="Заголовок 2 Знак"/>
    <w:qFormat/>
    <w:locked/>
    <w:rsid w:val="001e0b4a"/>
    <w:rPr>
      <w:rFonts w:ascii="Arial" w:hAnsi="Arial" w:eastAsia="Calibri" w:cs="Arial"/>
      <w:b/>
      <w:bCs/>
      <w:i/>
      <w:iCs/>
      <w:sz w:val="28"/>
      <w:szCs w:val="28"/>
      <w:lang w:val="ru-RU" w:eastAsia="ru-RU" w:bidi="ar-SA"/>
    </w:rPr>
  </w:style>
  <w:style w:type="character" w:styleId="Style12" w:customStyle="1">
    <w:name w:val="Текст примечания Знак"/>
    <w:qFormat/>
    <w:rsid w:val="001e0b4a"/>
    <w:rPr>
      <w:rFonts w:ascii="Calibri" w:hAnsi="Calibri" w:eastAsia="Calibri"/>
      <w:lang w:val="ru-RU" w:eastAsia="en-US" w:bidi="ar-SA"/>
    </w:rPr>
  </w:style>
  <w:style w:type="character" w:styleId="Style13" w:customStyle="1">
    <w:name w:val="Абзац списка Знак"/>
    <w:link w:val="21"/>
    <w:qFormat/>
    <w:locked/>
    <w:rsid w:val="001e0b4a"/>
    <w:rPr>
      <w:rFonts w:ascii="Calibri" w:hAnsi="Calibri" w:eastAsia="Calibri"/>
      <w:sz w:val="22"/>
      <w:szCs w:val="22"/>
      <w:lang w:val="ru-RU" w:eastAsia="en-US" w:bidi="ar-SA"/>
    </w:rPr>
  </w:style>
  <w:style w:type="character" w:styleId="CommentReference">
    <w:name w:val="annotation reference"/>
    <w:semiHidden/>
    <w:unhideWhenUsed/>
    <w:qFormat/>
    <w:rsid w:val="001e0b4a"/>
    <w:rPr>
      <w:sz w:val="16"/>
      <w:szCs w:val="16"/>
    </w:rPr>
  </w:style>
  <w:style w:type="character" w:styleId="GUIlabel" w:customStyle="1">
    <w:name w:val="GUIlabel"/>
    <w:qFormat/>
    <w:rsid w:val="001e0b4a"/>
    <w:rPr>
      <w:rFonts w:ascii="Arial" w:hAnsi="Arial"/>
      <w:b/>
      <w:color w:val="333333"/>
      <w:spacing w:val="0"/>
      <w:sz w:val="18"/>
    </w:rPr>
  </w:style>
  <w:style w:type="character" w:styleId="1" w:customStyle="1">
    <w:name w:val="Заголовок 1 Знак"/>
    <w:qFormat/>
    <w:rsid w:val="00504f90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4" w:customStyle="1">
    <w:name w:val="Верхний колонтитул Знак"/>
    <w:basedOn w:val="DefaultParagraphFont"/>
    <w:qFormat/>
    <w:rsid w:val="00c3536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35369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1e0b4a"/>
    <w:pPr>
      <w:widowControl/>
      <w:spacing w:before="0" w:after="120"/>
    </w:pPr>
    <w:rPr>
      <w:rFonts w:eastAsia="Calibri"/>
      <w:sz w:val="24"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CharChar" w:customStyle="1">
    <w:name w:val="Знак Знак Char Char"/>
    <w:basedOn w:val="Normal"/>
    <w:semiHidden/>
    <w:qFormat/>
    <w:rsid w:val="008c6a6b"/>
    <w:pPr>
      <w:widowControl/>
      <w:spacing w:lineRule="exact" w:line="240" w:before="0" w:after="160"/>
    </w:pPr>
    <w:rPr>
      <w:rFonts w:ascii="Verdana" w:hAnsi="Verdana"/>
      <w:lang w:val="en-GB" w:eastAsia="en-US"/>
    </w:rPr>
  </w:style>
  <w:style w:type="paragraph" w:styleId="BodyTextIndent">
    <w:name w:val="Body Text Indent"/>
    <w:basedOn w:val="Normal"/>
    <w:rsid w:val="00075ae6"/>
    <w:pPr>
      <w:widowControl/>
      <w:spacing w:before="0" w:after="120"/>
      <w:ind w:start="283"/>
    </w:pPr>
    <w:rPr>
      <w:sz w:val="24"/>
      <w:szCs w:val="24"/>
    </w:rPr>
  </w:style>
  <w:style w:type="paragraph" w:styleId="BalloonText">
    <w:name w:val="Balloon Text"/>
    <w:basedOn w:val="Normal"/>
    <w:semiHidden/>
    <w:qFormat/>
    <w:rsid w:val="00413a13"/>
    <w:pPr/>
    <w:rPr>
      <w:rFonts w:ascii="Tahoma" w:hAnsi="Tahoma" w:cs="Tahoma"/>
      <w:sz w:val="16"/>
      <w:szCs w:val="16"/>
    </w:rPr>
  </w:style>
  <w:style w:type="paragraph" w:styleId="11" w:customStyle="1">
    <w:name w:val="Знак1 Знак Знак Знак"/>
    <w:basedOn w:val="Normal"/>
    <w:qFormat/>
    <w:rsid w:val="00d90040"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styleId="formattext" w:customStyle="1">
    <w:name w:val="formattext"/>
    <w:qFormat/>
    <w:rsid w:val="007e2ed1"/>
    <w:pPr>
      <w:widowControl w:val="false"/>
      <w:bidi w:val="0"/>
      <w:spacing w:before="0" w:after="0"/>
      <w:jc w:val="start"/>
    </w:pPr>
    <w:rPr>
      <w:rFonts w:ascii="Arial" w:hAnsi="Arial" w:cs="Arial" w:eastAsia="Times New Roman"/>
      <w:color w:val="auto"/>
      <w:kern w:val="0"/>
      <w:sz w:val="18"/>
      <w:szCs w:val="18"/>
      <w:lang w:val="ru-RU" w:eastAsia="ru-RU" w:bidi="ar-SA"/>
    </w:rPr>
  </w:style>
  <w:style w:type="paragraph" w:styleId="headertext" w:customStyle="1">
    <w:name w:val="headertext"/>
    <w:qFormat/>
    <w:rsid w:val="007e2ed1"/>
    <w:pPr>
      <w:widowControl w:val="false"/>
      <w:bidi w:val="0"/>
      <w:spacing w:before="0" w:after="0"/>
      <w:jc w:val="star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195e4c"/>
    <w:pPr>
      <w:widowControl/>
      <w:spacing w:beforeAutospacing="1" w:afterAutospacing="1"/>
    </w:pPr>
    <w:rPr>
      <w:sz w:val="24"/>
      <w:szCs w:val="24"/>
    </w:rPr>
  </w:style>
  <w:style w:type="paragraph" w:styleId="12" w:customStyle="1">
    <w:name w:val="Знак1 Знак Знак Знак Знак Знак Знак Знак Знак Знак Знак Знак Знак Знак Знак Знак Знак Знак Знак"/>
    <w:basedOn w:val="Normal"/>
    <w:qFormat/>
    <w:rsid w:val="0046279d"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styleId="13" w:customStyle="1">
    <w:name w:val="Абзац списка1"/>
    <w:basedOn w:val="Normal"/>
    <w:qFormat/>
    <w:rsid w:val="00e54a60"/>
    <w:pPr>
      <w:widowControl/>
      <w:suppressAutoHyphens w:val="true"/>
      <w:spacing w:lineRule="auto" w:line="276" w:before="0" w:after="200"/>
      <w:ind w:start="720"/>
    </w:pPr>
    <w:rPr>
      <w:rFonts w:ascii="Calibri" w:hAnsi="Calibri" w:eastAsia="SimSun" w:cs="Calibri"/>
      <w:kern w:val="2"/>
      <w:sz w:val="22"/>
      <w:szCs w:val="22"/>
      <w:lang w:eastAsia="ar-SA"/>
    </w:rPr>
  </w:style>
  <w:style w:type="paragraph" w:styleId="Style18" w:customStyle="1">
    <w:name w:val="Знак Знак Знак Знак"/>
    <w:basedOn w:val="Normal"/>
    <w:semiHidden/>
    <w:qFormat/>
    <w:rsid w:val="00d750ff"/>
    <w:pPr>
      <w:widowControl/>
      <w:tabs>
        <w:tab w:val="clear" w:pos="720"/>
        <w:tab w:val="left" w:pos="708" w:leader="none"/>
      </w:tabs>
      <w:spacing w:lineRule="exact" w:line="240" w:before="0" w:after="160"/>
    </w:pPr>
    <w:rPr>
      <w:rFonts w:ascii="Verdana" w:hAnsi="Verdana"/>
      <w:lang w:val="en-GB" w:eastAsia="en-US"/>
    </w:rPr>
  </w:style>
  <w:style w:type="paragraph" w:styleId="14" w:customStyle="1">
    <w:name w:val="Знак Знак1"/>
    <w:basedOn w:val="Normal"/>
    <w:semiHidden/>
    <w:qFormat/>
    <w:rsid w:val="000e4f76"/>
    <w:pPr>
      <w:widowControl/>
      <w:spacing w:lineRule="exact" w:line="240" w:before="0" w:after="160"/>
    </w:pPr>
    <w:rPr>
      <w:rFonts w:ascii="Verdana" w:hAnsi="Verdana"/>
      <w:lang w:val="en-GB" w:eastAsia="en-US"/>
    </w:rPr>
  </w:style>
  <w:style w:type="paragraph" w:styleId="Style19" w:customStyle="1">
    <w:name w:val="Знак Знак"/>
    <w:basedOn w:val="Normal"/>
    <w:semiHidden/>
    <w:qFormat/>
    <w:rsid w:val="00a820c3"/>
    <w:pPr>
      <w:widowControl/>
      <w:spacing w:lineRule="exact" w:line="240" w:before="0" w:after="160"/>
    </w:pPr>
    <w:rPr>
      <w:rFonts w:ascii="Verdana" w:hAnsi="Verdana"/>
      <w:lang w:val="en-GB" w:eastAsia="en-US"/>
    </w:rPr>
  </w:style>
  <w:style w:type="paragraph" w:styleId="15" w:customStyle="1">
    <w:name w:val="Без интервала1"/>
    <w:qFormat/>
    <w:rsid w:val="00c1424a"/>
    <w:pPr>
      <w:widowControl/>
      <w:bidi w:val="0"/>
      <w:spacing w:before="0" w:after="0"/>
      <w:jc w:val="star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topleveltextcentertexthighlight" w:customStyle="1">
    <w:name w:val="headertext topleveltext centertext highlight"/>
    <w:basedOn w:val="Normal"/>
    <w:qFormat/>
    <w:rsid w:val="001412fd"/>
    <w:pPr>
      <w:widowControl/>
      <w:spacing w:beforeAutospacing="1" w:afterAutospacing="1"/>
    </w:pPr>
    <w:rPr>
      <w:sz w:val="24"/>
      <w:szCs w:val="24"/>
    </w:rPr>
  </w:style>
  <w:style w:type="paragraph" w:styleId="headertexttopleveltextcentertext" w:customStyle="1">
    <w:name w:val="headertext topleveltext centertext"/>
    <w:basedOn w:val="Normal"/>
    <w:qFormat/>
    <w:rsid w:val="001412fd"/>
    <w:pPr>
      <w:widowControl/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qFormat/>
    <w:rsid w:val="00d2183a"/>
    <w:pPr>
      <w:widowControl/>
      <w:spacing w:beforeAutospacing="1" w:afterAutospacing="1"/>
    </w:pPr>
    <w:rPr>
      <w:sz w:val="24"/>
      <w:szCs w:val="24"/>
    </w:rPr>
  </w:style>
  <w:style w:type="paragraph" w:styleId="msonospacing" w:customStyle="1">
    <w:name w:val="msonospacing"/>
    <w:basedOn w:val="Normal"/>
    <w:qFormat/>
    <w:rsid w:val="00d2183a"/>
    <w:pPr>
      <w:widowControl/>
      <w:spacing w:beforeAutospacing="1" w:afterAutospacing="1"/>
    </w:pPr>
    <w:rPr>
      <w:sz w:val="24"/>
      <w:szCs w:val="24"/>
    </w:rPr>
  </w:style>
  <w:style w:type="paragraph" w:styleId="Bodytext21" w:customStyle="1">
    <w:name w:val="Body text (2)"/>
    <w:basedOn w:val="Normal"/>
    <w:link w:val="Bodytext2"/>
    <w:qFormat/>
    <w:rsid w:val="001e0b4a"/>
    <w:pPr>
      <w:shd w:val="clear" w:color="auto" w:fill="FFFFFF"/>
      <w:spacing w:lineRule="atLeast" w:line="240" w:before="0" w:after="1080"/>
      <w:jc w:val="center"/>
    </w:pPr>
    <w:rPr>
      <w:rFonts w:ascii="Arial" w:hAnsi="Arial"/>
      <w:sz w:val="19"/>
      <w:szCs w:val="19"/>
      <w:shd w:fill="FFFFFF" w:val="clear"/>
    </w:rPr>
  </w:style>
  <w:style w:type="paragraph" w:styleId="111" w:customStyle="1">
    <w:name w:val="Знак1 Знак Знак Знак1 Знак Знак Знак Знак Знак Знак Знак Знак Знак"/>
    <w:basedOn w:val="Normal"/>
    <w:qFormat/>
    <w:rsid w:val="001e0b4a"/>
    <w:pPr>
      <w:widowControl/>
    </w:pPr>
    <w:rPr>
      <w:rFonts w:ascii="Verdana" w:hAnsi="Verdana" w:cs="Verdana"/>
      <w:lang w:val="en-US" w:eastAsia="en-US"/>
    </w:rPr>
  </w:style>
  <w:style w:type="paragraph" w:styleId="Style20" w:customStyle="1">
    <w:name w:val="Основной"/>
    <w:basedOn w:val="Normal"/>
    <w:qFormat/>
    <w:rsid w:val="001e0b4a"/>
    <w:pPr>
      <w:widowControl/>
      <w:suppressAutoHyphens w:val="true"/>
      <w:spacing w:lineRule="auto" w:line="288" w:before="60" w:after="60"/>
      <w:ind w:firstLine="720"/>
      <w:jc w:val="both"/>
    </w:pPr>
    <w:rPr>
      <w:color w:val="000000"/>
      <w:sz w:val="28"/>
      <w:szCs w:val="28"/>
    </w:rPr>
  </w:style>
  <w:style w:type="paragraph" w:styleId="CommentText">
    <w:name w:val="annotation text"/>
    <w:basedOn w:val="Normal"/>
    <w:link w:val="Style12"/>
    <w:unhideWhenUsed/>
    <w:rsid w:val="001e0b4a"/>
    <w:pPr>
      <w:widowControl/>
      <w:spacing w:before="0" w:after="160"/>
    </w:pPr>
    <w:rPr>
      <w:rFonts w:ascii="Calibri" w:hAnsi="Calibri" w:eastAsia="Calibri"/>
      <w:lang w:eastAsia="en-US"/>
    </w:rPr>
  </w:style>
  <w:style w:type="paragraph" w:styleId="21" w:customStyle="1">
    <w:name w:val="Абзац списка2"/>
    <w:basedOn w:val="Normal"/>
    <w:link w:val="Style13"/>
    <w:qFormat/>
    <w:rsid w:val="001e0b4a"/>
    <w:pPr>
      <w:widowControl/>
      <w:spacing w:lineRule="auto" w:line="259" w:before="0" w:after="16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1" w:customStyle="1">
    <w:name w:val="обычн БО"/>
    <w:basedOn w:val="Normal"/>
    <w:qFormat/>
    <w:rsid w:val="001e0b4a"/>
    <w:pPr>
      <w:widowControl/>
      <w:jc w:val="both"/>
    </w:pPr>
    <w:rPr>
      <w:rFonts w:ascii="Arial" w:hAnsi="Arial" w:eastAsia="Calibri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683"/>
    <w:pPr>
      <w:spacing w:before="0" w:after="0"/>
      <w:ind w:start="720"/>
      <w:contextualSpacing/>
    </w:pPr>
    <w:rPr/>
  </w:style>
  <w:style w:type="paragraph" w:styleId="22" w:customStyle="1">
    <w:name w:val="Без интервала2"/>
    <w:qFormat/>
    <w:rsid w:val="003c497c"/>
    <w:pPr>
      <w:widowControl/>
      <w:bidi w:val="0"/>
      <w:spacing w:before="0" w:after="0"/>
      <w:jc w:val="star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c3536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rsid w:val="00c35369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Style24" w:customStyle="1">
    <w:name w:val="Маркиров_осн"/>
    <w:qFormat/>
    <w:rsid w:val="001e0b4a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rsid w:val="00517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9C4B-E98A-418E-9B7C-78FD85C5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6037</TotalTime>
  <Application>LibreOffice/25.8.0.4$Linux_X86_64 LibreOffice_project/48f00303701489684e67c38c28aff00cd5929e67</Application>
  <AppVersion>15.0000</AppVersion>
  <Pages>9</Pages>
  <Words>2396</Words>
  <Characters>17536</Characters>
  <CharactersWithSpaces>19823</CharactersWithSpaces>
  <Paragraphs>147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2020-05-26T08:30:00Z</dcterms:created>
  <dc:creator>LobodaAG</dc:creator>
  <dc:description/>
  <dc:language>ru-RU</dc:language>
  <cp:lastModifiedBy/>
  <cp:lastPrinted>2025-07-14T13:05:00Z</cp:lastPrinted>
  <dcterms:modified xsi:type="dcterms:W3CDTF">2026-04-23T14:57:48Z</dcterms:modified>
  <cp:revision>132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