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page" w:tblpX="944" w:tblpY="1415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52"/>
        <w:gridCol w:w="7087"/>
      </w:tblGrid>
      <w:tr w:rsidR="002432D6" w:rsidRPr="002432D6" w:rsidTr="00313EE2">
        <w:trPr>
          <w:trHeight w:val="416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sz w:val="20"/>
                <w:szCs w:val="20"/>
              </w:rPr>
              <w:t xml:space="preserve">Часть </w:t>
            </w:r>
            <w:r w:rsidRPr="002432D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I </w:t>
            </w:r>
            <w:r w:rsidRPr="002432D6">
              <w:rPr>
                <w:rFonts w:ascii="Times New Roman" w:hAnsi="Times New Roman"/>
                <w:b/>
                <w:sz w:val="20"/>
                <w:szCs w:val="20"/>
              </w:rPr>
              <w:t>Техническое задание</w:t>
            </w:r>
          </w:p>
        </w:tc>
      </w:tr>
      <w:tr w:rsidR="002432D6" w:rsidRPr="002432D6" w:rsidTr="00573EEF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sz w:val="20"/>
                <w:szCs w:val="20"/>
              </w:rPr>
              <w:t xml:space="preserve">Параметры закупки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sz w:val="20"/>
                <w:szCs w:val="20"/>
              </w:rPr>
              <w:t>Данные</w:t>
            </w:r>
          </w:p>
        </w:tc>
      </w:tr>
      <w:tr w:rsidR="002432D6" w:rsidRPr="002432D6" w:rsidTr="00573EEF">
        <w:trPr>
          <w:trHeight w:val="266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2432D6">
              <w:rPr>
                <w:rFonts w:ascii="Times New Roman" w:hAnsi="Times New Roman"/>
                <w:b/>
                <w:sz w:val="20"/>
                <w:szCs w:val="20"/>
              </w:rPr>
              <w:t>. Технический раздел</w:t>
            </w:r>
          </w:p>
        </w:tc>
      </w:tr>
      <w:tr w:rsidR="002432D6" w:rsidRPr="002432D6" w:rsidTr="00573EEF">
        <w:trPr>
          <w:trHeight w:val="46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Предмет закупки (наименование товаров)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pStyle w:val="a3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2432D6">
              <w:rPr>
                <w:sz w:val="20"/>
                <w:szCs w:val="20"/>
              </w:rPr>
              <w:t>Поставка фасонного проката (далее - Товар).</w:t>
            </w:r>
          </w:p>
        </w:tc>
      </w:tr>
      <w:tr w:rsidR="002432D6" w:rsidRPr="002432D6" w:rsidTr="00573EEF">
        <w:trPr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Цель закупки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32D6" w:rsidRPr="002432D6" w:rsidRDefault="002432D6" w:rsidP="00573EE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</w:t>
            </w:r>
            <w:r w:rsidRPr="002432D6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. </w:t>
            </w: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243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выполнения производственной программы, а также необходимых для сооружения распорного котлована.</w:t>
            </w:r>
          </w:p>
          <w:p w:rsidR="002432D6" w:rsidRPr="002432D6" w:rsidRDefault="002432D6" w:rsidP="00573EE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Распределение объемов по линиям:</w:t>
            </w:r>
          </w:p>
          <w:p w:rsidR="002432D6" w:rsidRPr="002432D6" w:rsidRDefault="002432D6" w:rsidP="00573EE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Строительство 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Красносельско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-Калининской линии от станции «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Казаковская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до станции «Обводный канал 2» с 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электродепо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«Красносельское», включая проектирование (стадия РД). Участок от станции «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Казаковская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до станции «Путиловская» – 0,69%;</w:t>
            </w:r>
          </w:p>
          <w:p w:rsidR="002432D6" w:rsidRPr="002432D6" w:rsidRDefault="002432D6" w:rsidP="00573EE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Строительство 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Красносельско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-Калининской линии-2 от станции «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Казаковская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до станции «Обводный канал-2» с 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электродепо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«Красносельское». Участок от станции «Путиловская» до станции «Каретная» – 9,99%;</w:t>
            </w:r>
          </w:p>
          <w:p w:rsidR="002432D6" w:rsidRPr="002432D6" w:rsidRDefault="002432D6" w:rsidP="00573EE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• Строительство 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Красносельско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-Калининской линии от станции "Каретная" до станции "Суворовская-1" – 0,02%;</w:t>
            </w:r>
          </w:p>
          <w:p w:rsidR="002432D6" w:rsidRPr="002432D6" w:rsidRDefault="002432D6" w:rsidP="00573EE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•</w:t>
            </w: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Строительство участка 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Невско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-Василеостровской линии метрополитена от станции «улица Савушкина» до станции "Зоопарк" – 88,06%;</w:t>
            </w:r>
          </w:p>
          <w:p w:rsidR="002432D6" w:rsidRPr="002432D6" w:rsidRDefault="002432D6" w:rsidP="00573EEF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• 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Cтроительство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Фрунзенско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-Приморской линии от станции "Комендантский проспект" до станции "</w:t>
            </w:r>
            <w:proofErr w:type="spellStart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Шуваловский</w:t>
            </w:r>
            <w:proofErr w:type="spellEnd"/>
            <w:r w:rsidRPr="002432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проспект" – 1,24%.</w:t>
            </w:r>
          </w:p>
        </w:tc>
      </w:tr>
      <w:tr w:rsidR="002432D6" w:rsidRPr="002432D6" w:rsidTr="00573EEF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Требования к товару, который является предметом закупки: к безопасности, качеству, 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</w:t>
            </w:r>
            <w:hyperlink r:id="rId5" w:history="1">
              <w:r w:rsidRPr="002432D6">
                <w:rPr>
                  <w:rFonts w:ascii="Times New Roman" w:hAnsi="Times New Roman"/>
                  <w:color w:val="000000" w:themeColor="text1"/>
                  <w:sz w:val="20"/>
                  <w:szCs w:val="20"/>
                </w:rPr>
                <w:t>законодательством</w:t>
              </w:r>
            </w:hyperlink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3.1. По своим техническим характеристикам Товар должен соответствовать параметрам, приводимым в требованиях, указанных в Приложении №1 к настоящему Техническому заданию. Товар должен соответствовать всем требованиям ГОСТ, а также требованиям, указанным в паспорте и/или Сертификате качества завода-изготовителя. Поставщик обязан предоставить Сертификат соответствия ГОСТ согласно действующему законодательству РФ в отношении поставляемого Товара.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3.2. Поставщик гарантирует, что Товар на момент передачи Покупателю принадлежит Поставщику на праве собственности, является новым, не ранее IV квартала 2025 года изготовления (не бывшим в употреблении, не залежалый). У производителя не арестован, не заложен, не обременен какими-либо правами третьих лиц и свободен от их прав, имеет соответствующие сопроводительные технические документы производителя, сертификаты, подтверждающие надлежащее качество Товара в соответствии с требованиями законодательства РФ.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3.3. Комплектность технической документации на Товар должна соответствовать ГОСТ, определяющим комплектность технической документации на данный вид Товара.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3.4. Условия транспортировки Товара должны исключать деформацию и повреждение. Поставщик несет ответственность за всякого рода порчу или утрату Товара до приемки его Покупателем вследствие некачественной транспортировки.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3.5. Погрузку, транспортирование и хранение Поставщику следует проводить с соблюдением мер, исключающих возможность их повреждения, обеспечивающих сохранность качества и с соблюдением требований санитарно-противоэпидемических (профилактических) мероприятий, санитарных правил, стандартов, технических условий и иных нормативно-правовых актов.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3.6. В каждое транспортное место должны быть вложены документы (накладные, упаковочные листы и др.), содержащие полную информацию о номенклатуре и количестве Товара, а также полный пакет технической документации, согласно настоящего Технического задания.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3.7. Поставляемый Товар сопровождается оригиналами документов качества на каждую партию или копией, заверенные Поставщиком. Наличие сертификатов и документа о качестве не освобождает Поставщика от ответственности за поставку Товара ненадлежащего качества. </w:t>
            </w:r>
          </w:p>
          <w:p w:rsidR="002432D6" w:rsidRPr="002432D6" w:rsidRDefault="002432D6" w:rsidP="00573EEF">
            <w:pPr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3.8. Качество и безопасность поставляемого Товара должны соответствовать требованиям нормативных документов, применяемых к данному виду Товара. 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 xml:space="preserve">3.9.  </w:t>
            </w:r>
            <w:r w:rsidRPr="002432D6">
              <w:rPr>
                <w:rFonts w:ascii="Times New Roman" w:hAnsi="Times New Roman"/>
                <w:sz w:val="20"/>
                <w:szCs w:val="20"/>
              </w:rPr>
              <w:t xml:space="preserve">Товар должен быть в упаковке с ярлыками. Упаковка должна обеспечить полную сохранность Товара и предохранять его от повреждения при транспортировке и погрузке. Нарушение целостности тары и/или упаковки не допускается. 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3.10.  Маркировка и приемка Товара должны соответствовать требованиям ГОСТ на соответствующий Товар согласно Приложениям к настоящему Техническому заданию. В случае, если соответствующими ГОСТ не предусмотрены данные требования, то Товар должен поставляться маркированным в соответствии с ГОСТ 14192-96 «Маркировка грузов». Приемка Товара осуществляется в соответствии с ГОСТ 24297-2013 «Верификация закупленной продукции. Организация проведения и методы контроля» и Инструкции по входному контролю изделий и строительных материалов АО «МССС».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3.11. </w:t>
            </w:r>
            <w:r w:rsidRPr="002432D6">
              <w:rPr>
                <w:rFonts w:ascii="Times New Roman" w:hAnsi="Times New Roman"/>
                <w:sz w:val="20"/>
                <w:szCs w:val="20"/>
              </w:rPr>
              <w:t xml:space="preserve"> Количество фактически поставленного Товара может отличаться до 5% от количества, указанного в Спецификации/Заказе в связи с тем, что Товар - весовая продукция. 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 xml:space="preserve">Таким образом, объем поставленной продукции согласно УПД и счету может отличаться от объема в Спецификации/Заказе в сторону уменьшения из-за </w:t>
            </w:r>
            <w:proofErr w:type="spellStart"/>
            <w:r w:rsidRPr="002432D6">
              <w:rPr>
                <w:rFonts w:ascii="Times New Roman" w:hAnsi="Times New Roman"/>
                <w:sz w:val="20"/>
                <w:szCs w:val="20"/>
              </w:rPr>
              <w:t>толеранса</w:t>
            </w:r>
            <w:proofErr w:type="spellEnd"/>
            <w:r w:rsidRPr="002432D6">
              <w:rPr>
                <w:rFonts w:ascii="Times New Roman" w:hAnsi="Times New Roman"/>
                <w:sz w:val="20"/>
                <w:szCs w:val="20"/>
              </w:rPr>
              <w:t xml:space="preserve">, но не более чем на 5%. Данное отличие не является недопоставкой количества Товара, указанного в Спецификации/Заказах. 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 xml:space="preserve">3.12. Поставщик самостоятельно контролирует количество отгружаемого Товара, общая сумма поставленного Товара с учетом </w:t>
            </w:r>
            <w:proofErr w:type="spellStart"/>
            <w:r w:rsidRPr="002432D6">
              <w:rPr>
                <w:rFonts w:ascii="Times New Roman" w:hAnsi="Times New Roman"/>
                <w:sz w:val="20"/>
                <w:szCs w:val="20"/>
              </w:rPr>
              <w:t>толеранса</w:t>
            </w:r>
            <w:proofErr w:type="spellEnd"/>
            <w:r w:rsidRPr="002432D6">
              <w:rPr>
                <w:rFonts w:ascii="Times New Roman" w:hAnsi="Times New Roman"/>
                <w:sz w:val="20"/>
                <w:szCs w:val="20"/>
              </w:rPr>
              <w:t xml:space="preserve"> не должна превышать цену Договора. Поставленный Поставщиком Товар, превышающий цену Договора, Покупателем не оплачивается.</w:t>
            </w:r>
          </w:p>
        </w:tc>
      </w:tr>
      <w:tr w:rsidR="002432D6" w:rsidRPr="002432D6" w:rsidTr="00573EEF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Иная информация, которую необходимо указать для приобретения соответствующего товара, услуг, который бы полностью удовлетворял потребности Инициатора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Поставляемый Товар сопровождается следующими документами: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товарно-транспортная накладная или акт приема-передачи Товара;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 товарная накладная (ТОРГ-12) либо УПД;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 счет; 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 счет-фактура на поставляемую продукцию либо УПД;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 копия Заказа Поставщику;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 копии товарно-транспортных накладных или актов приема-передачи Товара, сопровождающих доставку Товара от Поставщика;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 техническая документация, предусмотренная изготовителем продукции;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копии сертификатов обязательной сертификации или деклараций о соответствии на Товар, подлежащий обязательному подтверждению соответствия, заверенные держателем документа либо заверенные нотариально (в случае, если Товар подлежит обязательной сертификации/декларированию в силу действующих норм, правил и требований в РФ);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гарантийный талон (если Товар имеет или должен иметь такой талон в силу действующих норм, правил и требований в РФ);</w:t>
            </w:r>
          </w:p>
          <w:p w:rsidR="002432D6" w:rsidRPr="002432D6" w:rsidRDefault="002432D6" w:rsidP="00573EEF">
            <w:pPr>
              <w:spacing w:line="276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color w:val="000000"/>
                <w:sz w:val="20"/>
                <w:szCs w:val="20"/>
              </w:rPr>
              <w:t>- иные документы, относящиеся к товару и необходимые для его эксплуатации.</w:t>
            </w:r>
          </w:p>
        </w:tc>
      </w:tr>
      <w:tr w:rsidR="002432D6" w:rsidRPr="002432D6" w:rsidTr="00573EEF">
        <w:trPr>
          <w:trHeight w:val="273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sz w:val="20"/>
                <w:szCs w:val="20"/>
              </w:rPr>
              <w:t>II. Основные условия закупки</w:t>
            </w:r>
          </w:p>
        </w:tc>
      </w:tr>
      <w:tr w:rsidR="002432D6" w:rsidRPr="002432D6" w:rsidTr="00573EEF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Условия и порядок оплаты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Оплата Товара производится безналичным переводом путем перечисления денежных средств на расчетный счет Поставщика или на лицевой счет, открытый в территориальном органе управления Федерального казначейства.</w:t>
            </w:r>
          </w:p>
          <w:p w:rsidR="002432D6" w:rsidRPr="002432D6" w:rsidRDefault="002432D6" w:rsidP="00573EE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Перевод осуществляется в течение 7 (семи) рабочих дней с момента приемки каждой партии Товара в полном объеме, при условии предоставления полного комплекта документов, сопровождающих поставку, оформленных в соответствии с требованиями Договора и действующего законодательства.</w:t>
            </w:r>
          </w:p>
          <w:p w:rsidR="002432D6" w:rsidRPr="002432D6" w:rsidRDefault="002432D6" w:rsidP="00573EE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Датой оплаты считается дата списания денежных средств с расчетного или лицевого счета Покупателя на счет Поставщика.</w:t>
            </w:r>
          </w:p>
        </w:tc>
      </w:tr>
      <w:tr w:rsidR="002432D6" w:rsidRPr="002432D6" w:rsidTr="00573EEF">
        <w:trPr>
          <w:trHeight w:val="4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Сведения о включенных в стоимость договора расходах (доставка, установка, упаковка, страхование, уплата таможенных пошлин, налогов и других обязательных платежей)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 xml:space="preserve">Цена Товара включает в себя стоимость Товара, расходы и издержки Поставщика, связанные с поставкой Товара, в том числе стоимость тары, упаковки, крепежа, а также стоимость всех сопутствующих работ (услуг), в том числе расходы на транспортировку, погрузку, страхование, уплату таможенных пошлин, налогов, сборов и других обязательных платежей Поставщика. </w:t>
            </w:r>
          </w:p>
        </w:tc>
      </w:tr>
      <w:tr w:rsidR="002432D6" w:rsidRPr="002432D6" w:rsidTr="00573EEF">
        <w:trPr>
          <w:trHeight w:val="2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Место и условия поставки товаров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.1. Поставка Товара по Договору осуществляется отдельными партиями на основании письменных Заказов Поставщику (не более 230 (двухсот тридцати) партий).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Минимальная партия поставки - 17 тонн.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7</w:t>
            </w: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.2. В Заказе Поставщика указывается количество, ассортимент и стоимость каждой партии Товара, подлежащей поставке, адрес доставки. Заказы направляется Поставщику по электронной почте/курьерской службой/нарочным/почтой. 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Заказ Поставщику, соответствующая ассортименту Товара и не превышающая предельное количество Товара в Спецификации, считается согласованной по умолчанию. В случае выявления несоответствий направленного Заказа условиям Спецификации Поставщик вправе в срок не позднее окончания следующего рабочего дня с даты ее направления уведомить покупателя о выявленных несоответствиях.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.3. Поставщик своими силами и за свой счет осуществляет погрузку, доставку Товара Покупателю по адресу в г. Санкт-Петербург, указанным в Заказе Поставщику.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>Красносельско</w:t>
            </w:r>
            <w:proofErr w:type="spellEnd"/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>-Калининской линии доставка будет осуществляться по следующим адресам: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841: г. Санкт-Петербург, Ленинский проспект, участок 1 (западнее дома 100, корпус 2, литера А по Ленинскому проспекту);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Вестибюль №1 станции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Казаковская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: г. Санкт-Петербург, пр. Маршала Жукова, участок 1, (северо-восточнее дом 31, корпус 1, литера А по пр. Маршала Жукова);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842: г. Санкт-Петербург, ул. Маршала Казакова, северо-западнее пересечения с пр. Маршала Жукова;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Шахта 843: г. Санкт-Петербург, пр. Маршала Жукова участок 1 (севернее дома №7, корпус 2, литера А, по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Кронштадской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улице);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Вестибюль станции «Путиловская»: г. Санкт-Петербург, ул. Васи Алексеева, северо-восточнее дома 72, литера А по пр. Стачек;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844: г. Санкт-Петербург, пр. Стачек, дом 72, литера 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845: г. Санкт-Петербург, Броневая ул., дом 7, литера В;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845 бис: г. Санкт-Петербург, ул. Маршала Говорова, юго-восточнее дома 62, литера Е по пр. Стачек (вспомогательная площадка западнее дома 62, литера А по пр. Стачек);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846: г. Санкт-Петербург, ул. Кубинская 4, кор.1, лит. 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Вестибюль станции Броневая: г. Санкт-Петербург, ул. Благодатная, д. 6 (пересечение перспективы Новоизмайловского пр. и Благодатной ул.);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847: г. Санкт-Петербург, ул. Рощинская 3, лит. И (восточнее здания);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Вестибюль станции Черниговская: г. Санкт-Петербург, пересечение пробивок Лиговского пр. и Варшавской ул.;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Шахта 848: г. Санкт-Петербург, ул. Ташкентская, д. 3,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кор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. 2, лит. Т;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849: г. Санкт-Петербург, ул. Киевская, д. 5;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Вестибюль станции Боровая: г. Санкт-Петербург, ул. Киевская, д. 13, лит. 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850: г. Санкт-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Петербург,Лиговский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пр., д. 236, лит. В;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852: г. Санкт-Петербург, юго-восточнее дома №42 Литер А по набережной Обводного канала;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Шахта 851: г. Санкт-Петербург,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Растанная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улица, Участок 1 (юго-восточнее д.22 Литер А по Лиговскому проспекту);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853: г. Санкт-Петербург, улица Черняховского, Участок 1 (южнее д.19 Литер А по ул. Черняховского).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>Красносельско</w:t>
            </w:r>
            <w:proofErr w:type="spellEnd"/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>-Калининской линии-2 - Каретная доставка будет осуществляться по следующим адресам: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846: г. Санкт-Петербург, ул. Кубинская, д. 4, кор.1, лит. 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Вестибюль станции Броневая: г. Санкт-Петербург, ул. Благодатная, д. 6 (пересечение перспективы Новоизмайловского пр. и Благодатной ул.);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847: г. Санкт-Петербург, ул. Рощинская, д. 3, лит. И (восточнее здания);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Вестибюль станции Черниговская: г. Санкт-Петербург, пересечение пробивок Лиговского пр. и Варшавской ул.;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Шахта 848: г. Санкт-Петербург, ул. Ташкентская, д. 3,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кор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. 2, лит. Т;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849: г. Санкт-Петербург, ул. Киевская, д. 5;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Вестибюль станции Боровая: г. Санкт-Петербург, ул. Киевская, д. 13, лит. 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850: г. Санкт-Петербург, Лиговский пр., д. 236, лит. В;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852: г. Санкт-Петербург, юго-восточнее дома №42 Литер А по набережной Обводного канала;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Шахта 851: г. Санкт-Петербург,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Растанная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улица, Участок 1 (юго-восточнее д.22 Литер А по Лиговскому проспекту);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853: г. Санкт-Петербург, улица Черняховского, Участок 1 (южнее д.19 Литер А по ул. Черняховского).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Для </w:t>
            </w:r>
            <w:proofErr w:type="spellStart"/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>Красносельско</w:t>
            </w:r>
            <w:proofErr w:type="spellEnd"/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>-Калининской линии от ст. "Каретная" до ст. "Суворовская-1" доставка будет осуществляться по следующему адресу: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№852: г. Санкт-Петербург, юго-восточнее дома №42 литера А по набережной Обводного канала (Тамбовская улица, 17);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Строительная площадка шахты №854 (Стройплощадка №1.2).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Стройплощадка расположена в Центральном районе на территории земельных участков с кадастровыми номерами 78:31:0001521:4020 (Санкт-Петербург,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пр-кт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. Лиговский, д. 60-62, литера. П), 78:31:0001521:100 (Санкт-Петербург,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пр-кт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. Лиговский, д. 60-62, литера. В), 78:31:0001521:95 (Санкт-Петербург, Лиговский проспект, дом 60-62, (участок 2)), 78:31:0001521:44 (Санкт-Петербург, Лиговский проспект, дом 60-62, литера Ю);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Строительная площадка вестибюля №1 станции «Лиговский проспект-2»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(Стройплощадка №2). 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Стройплощадка расположена в Центральном районе на территории земельных участков с кадастровыми номерами 78:31:0001521:47 (Санкт-Петербург, Лиговский проспект, дом 52, литера К) и 78:31:0001521:75 (Санкт-Петербург, Лиговский проспект, дом 50, литера).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Для </w:t>
            </w:r>
            <w:proofErr w:type="spellStart"/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>Невско</w:t>
            </w:r>
            <w:proofErr w:type="spellEnd"/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>-Василеостровской линии доставка будет осуществляться</w:t>
            </w: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по следующим адресам: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 шахта 457: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Шуваловский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пр. между пр. Королева и Парашютной ул.;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шахта 458: (ст. Зоопарк) -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Шуваловский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пр. от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Коменданского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пр. до пр. Королева;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• шахта 459: (ст. Зоопарк): - г. Санкт-Петербург, ст. «Зоопарк» – северо-восточнее пересечения Комендантского и </w:t>
            </w:r>
            <w:proofErr w:type="spellStart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Шуваловского</w:t>
            </w:r>
            <w:proofErr w:type="spellEnd"/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 xml:space="preserve"> проспектов;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461: г. Санкт-Петербург Камышовая ул., участок 1 (севернее пересечения с Туристской ул.)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462: г. Санкт-Петербург, ул. Туристская, участок 1 (западнее дома 11, корпус 1, литера А по Туристской улице);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шахта 460 ст. «Яхтенная» севернее перекрёстка: г. Санкт-Петербург, ул. Туристской и Богатырского проспекта.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Для </w:t>
            </w:r>
            <w:proofErr w:type="spellStart"/>
            <w:r w:rsidRPr="002432D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Фрунзенско</w:t>
            </w:r>
            <w:proofErr w:type="spellEnd"/>
            <w:r w:rsidRPr="002432D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-Приморской линии доставка будет осуществляться по следующему адресу: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• шахта 609: Стройплощадка расположена в Приморском районе по адресу: г. Санкт- Петербург, севернее перекрестка Комендантского проспекта и перспективной </w:t>
            </w:r>
            <w:proofErr w:type="spellStart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Глухарской</w:t>
            </w:r>
            <w:proofErr w:type="spellEnd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улицей, севернее дома №58 по Комендантскому проспекту (ЖК "Легенды Комендантского"), площадь участка составляет 0.55га;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• шахта 610: Стройплощадка расположена в Приморском районе, на пересечении </w:t>
            </w:r>
            <w:proofErr w:type="spellStart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Шуваловского</w:t>
            </w:r>
            <w:proofErr w:type="spellEnd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и Комендантского проспектов, в перспективной пробивке </w:t>
            </w:r>
            <w:proofErr w:type="spellStart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Шуваловского</w:t>
            </w:r>
            <w:proofErr w:type="spellEnd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проспекта;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• Строительная площадка № 2, предназначенная для строительства станционного комплекса «Магистраль 31», расположена к юго-востоку от пересечения пробивки Комендантского проспекта с дорогой на Каменку;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• Строительная площадка № 5, предназначенная для строительства станционного комплекса с наземным вестибюлем станции метрополитена «</w:t>
            </w:r>
            <w:proofErr w:type="spellStart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Коломяжская</w:t>
            </w:r>
            <w:proofErr w:type="spellEnd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», расположена к юго-востоку от пересечения Парашютной улицы с Комендантским проспектом и граничит с площадкой, предназначенной для размещения </w:t>
            </w:r>
            <w:proofErr w:type="spellStart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электродепо</w:t>
            </w:r>
            <w:proofErr w:type="spellEnd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• Строительная площадка № 6, предназначенная для размещения </w:t>
            </w:r>
            <w:proofErr w:type="spellStart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электродепо</w:t>
            </w:r>
            <w:proofErr w:type="spellEnd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метрополитена, расположена в нежилой зоне, в границах Приморского и Выборгского районов. Проектные решения по размещению площадок для вспомогательных объектов: рабоче-вентиляционного ствола, </w:t>
            </w:r>
            <w:proofErr w:type="spellStart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венткиосков</w:t>
            </w:r>
            <w:proofErr w:type="spellEnd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, вентиляционных камер тоннельной вентиляции, </w:t>
            </w:r>
            <w:proofErr w:type="spellStart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притоннельных</w:t>
            </w:r>
            <w:proofErr w:type="spellEnd"/>
            <w:r w:rsidRPr="002432D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сооружений, технологических сбоек и демонтажной камеры разработаны с учетом обеспечения оптимальных условий ведения строительства и последующей эксплуатации метрополитена, а также с целью уменьшения общей площади территории города, занимаемой под строительные нужды.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А также доставка будет осуществляться: 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г. Санкт-Петербург, ул. Маршала Говорова, д. 39 Д;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г. Санкт-Петербург, ул. Ново-Никитинская д. 17;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• г. Санкт-Петербург, Витебский пр., д. 109.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32D6">
              <w:rPr>
                <w:rFonts w:ascii="Times New Roman" w:hAnsi="Times New Roman"/>
                <w:bCs/>
                <w:sz w:val="20"/>
                <w:szCs w:val="20"/>
              </w:rPr>
              <w:t>Время поставки с 8-00 до 15-00.</w:t>
            </w:r>
          </w:p>
        </w:tc>
      </w:tr>
      <w:tr w:rsidR="002432D6" w:rsidRPr="002432D6" w:rsidTr="00573EEF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 xml:space="preserve">Сроки (периоды) поставки товара </w:t>
            </w:r>
          </w:p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Срок действия договора</w:t>
            </w:r>
          </w:p>
          <w:p w:rsidR="002432D6" w:rsidRPr="002432D6" w:rsidRDefault="002432D6" w:rsidP="00573EE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432D6">
              <w:rPr>
                <w:rFonts w:ascii="Times New Roman" w:hAnsi="Times New Roman"/>
                <w:sz w:val="20"/>
                <w:szCs w:val="20"/>
              </w:rPr>
              <w:t xml:space="preserve">.1. Поставщик обязуется поставить Товар, указанный в Заказе, в течение 20 (двадцати) календарных дней с момента направления письменного Заказа Поставщику, с возможной досрочной поставкой части объема по Спецификации. </w:t>
            </w:r>
            <w:r w:rsidRPr="002432D6">
              <w:rPr>
                <w:sz w:val="20"/>
                <w:szCs w:val="20"/>
              </w:rPr>
              <w:t xml:space="preserve"> </w:t>
            </w:r>
            <w:r w:rsidRPr="002432D6">
              <w:rPr>
                <w:rFonts w:ascii="Times New Roman" w:hAnsi="Times New Roman"/>
                <w:sz w:val="20"/>
                <w:szCs w:val="20"/>
              </w:rPr>
              <w:t xml:space="preserve">При направлении Заказа, Покупатель контролирует срок поставки по </w:t>
            </w:r>
            <w:r w:rsidRPr="002432D6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направленному Заказу, который не должен выходить за пределы срока действия Договора.</w:t>
            </w:r>
          </w:p>
          <w:p w:rsidR="002432D6" w:rsidRPr="002432D6" w:rsidRDefault="002432D6" w:rsidP="00573E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432D6">
              <w:rPr>
                <w:rFonts w:ascii="Times New Roman" w:hAnsi="Times New Roman"/>
                <w:sz w:val="20"/>
                <w:szCs w:val="20"/>
              </w:rPr>
              <w:t>.2. Поставщик извещает Покупателя об отгрузке партии Товара за 2 (два)</w:t>
            </w:r>
            <w:r w:rsidRPr="002432D6">
              <w:rPr>
                <w:sz w:val="20"/>
                <w:szCs w:val="20"/>
              </w:rPr>
              <w:t xml:space="preserve"> </w:t>
            </w:r>
            <w:r w:rsidRPr="002432D6">
              <w:rPr>
                <w:rFonts w:ascii="Times New Roman" w:hAnsi="Times New Roman"/>
                <w:sz w:val="20"/>
                <w:szCs w:val="20"/>
              </w:rPr>
              <w:t>рабочих дня до момента отгрузки.</w:t>
            </w:r>
          </w:p>
          <w:p w:rsidR="002432D6" w:rsidRPr="002432D6" w:rsidRDefault="002432D6" w:rsidP="00573EE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2432D6">
              <w:rPr>
                <w:rFonts w:ascii="Times New Roman" w:hAnsi="Times New Roman"/>
                <w:sz w:val="20"/>
                <w:szCs w:val="20"/>
              </w:rPr>
              <w:t>.3. Договор вступает в силу с даты его подписания обеими Сторонами и действует до 31.12.2026 г., а в части исполнения обязательств – до полного исполнения Сторонами своих обязательств.</w:t>
            </w:r>
          </w:p>
        </w:tc>
      </w:tr>
      <w:tr w:rsidR="002432D6" w:rsidRPr="002432D6" w:rsidTr="00573EEF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 xml:space="preserve">Количество (объем), поставляемых товаров, а также их технические и функциональные характеристики (потребительские свойства)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32D6">
              <w:rPr>
                <w:rFonts w:ascii="Times New Roman" w:hAnsi="Times New Roman"/>
                <w:sz w:val="20"/>
                <w:szCs w:val="20"/>
              </w:rPr>
              <w:t>Указаны в Приложении №1 к настоящему Техническому заданию.</w:t>
            </w:r>
          </w:p>
        </w:tc>
      </w:tr>
      <w:tr w:rsidR="002432D6" w:rsidRPr="002432D6" w:rsidTr="00573EEF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32D6">
              <w:rPr>
                <w:rFonts w:ascii="Times New Roman" w:hAnsi="Times New Roman" w:cs="Times New Roman"/>
                <w:sz w:val="20"/>
                <w:szCs w:val="20"/>
              </w:rPr>
              <w:t>Требования к гарантийным обязательствам, с указанием сроков, объемов)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2D6" w:rsidRPr="002432D6" w:rsidRDefault="002432D6" w:rsidP="00573EE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432D6">
              <w:rPr>
                <w:rFonts w:ascii="Times New Roman" w:hAnsi="Times New Roman" w:cs="Times New Roman"/>
                <w:sz w:val="20"/>
                <w:szCs w:val="20"/>
              </w:rPr>
              <w:t xml:space="preserve">.1. </w:t>
            </w:r>
            <w:r w:rsidRPr="002432D6">
              <w:rPr>
                <w:sz w:val="20"/>
                <w:szCs w:val="20"/>
              </w:rPr>
              <w:t xml:space="preserve"> </w:t>
            </w:r>
            <w:r w:rsidRPr="002432D6">
              <w:rPr>
                <w:rFonts w:ascii="Times New Roman" w:hAnsi="Times New Roman" w:cs="Times New Roman"/>
                <w:sz w:val="20"/>
                <w:szCs w:val="20"/>
              </w:rPr>
              <w:t>Гарантийный срок на Товар должен быть не менее 12 (двенадцати) месяцев с момента подписания товарной накладной/УПД, подтверждающей передачу Товара. В случае, если гарантийный срок на Товар, установленный заводом-изготовителем, больше, чем указан в настоящем пункте Договора, то гарантийный срок на Товар равен гарантийному сроку завода-изготовителя.</w:t>
            </w:r>
          </w:p>
          <w:p w:rsidR="002432D6" w:rsidRPr="002432D6" w:rsidRDefault="002432D6" w:rsidP="00573EEF">
            <w:pPr>
              <w:pStyle w:val="Standard"/>
              <w:shd w:val="clear" w:color="auto" w:fill="FFFFFF"/>
              <w:tabs>
                <w:tab w:val="left" w:pos="0"/>
                <w:tab w:val="left" w:pos="426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43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.2. В пределах гарантийного срока Поставщик обязан устранить недостатки Товара за свой счет. </w:t>
            </w:r>
            <w:r w:rsidRPr="002432D6">
              <w:rPr>
                <w:rFonts w:ascii="Times New Roman" w:hAnsi="Times New Roman" w:cs="Times New Roman"/>
                <w:sz w:val="20"/>
                <w:szCs w:val="20"/>
              </w:rPr>
              <w:t>При этом все транспортные и другие расходы, связанные с заменой поставленного Товара на Товар надлежащего качества, допоставкой и/или доукомплектованием поставленного Товара, осуществляются также за счет Поставщика.</w:t>
            </w:r>
          </w:p>
          <w:p w:rsidR="002432D6" w:rsidRPr="002432D6" w:rsidRDefault="002432D6" w:rsidP="00573EEF">
            <w:pPr>
              <w:pStyle w:val="Standard"/>
              <w:shd w:val="clear" w:color="auto" w:fill="FFFFFF"/>
              <w:tabs>
                <w:tab w:val="left" w:pos="0"/>
                <w:tab w:val="left" w:pos="426"/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2432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.3. В случае поставки несоответствующего Товара по ассортименту или количеству либо Товара ненадлежащего качества Поставщик обязан по выбору Покупателя с момента его обращения:</w:t>
            </w:r>
          </w:p>
          <w:p w:rsidR="002432D6" w:rsidRPr="002432D6" w:rsidRDefault="002432D6" w:rsidP="00573EEF">
            <w:pPr>
              <w:pStyle w:val="bd6ff683d8d0a42f228bf8a64b8551e1msonormal"/>
              <w:shd w:val="clear" w:color="auto" w:fill="FFFFFF"/>
              <w:spacing w:before="0" w:beforeAutospacing="0" w:after="0" w:afterAutospacing="0"/>
              <w:ind w:firstLine="45"/>
              <w:jc w:val="both"/>
              <w:rPr>
                <w:sz w:val="20"/>
                <w:szCs w:val="20"/>
              </w:rPr>
            </w:pPr>
            <w:r w:rsidRPr="002432D6">
              <w:rPr>
                <w:sz w:val="20"/>
                <w:szCs w:val="20"/>
              </w:rPr>
              <w:t>- в течение 5 (пяти) рабочих дней безвозмездно устранить недостатки Товара;</w:t>
            </w:r>
          </w:p>
          <w:p w:rsidR="002432D6" w:rsidRPr="002432D6" w:rsidRDefault="002432D6" w:rsidP="00573EEF">
            <w:pPr>
              <w:pStyle w:val="bd6ff683d8d0a42f228bf8a64b8551e1msonormal"/>
              <w:shd w:val="clear" w:color="auto" w:fill="FFFFFF"/>
              <w:spacing w:before="0" w:beforeAutospacing="0" w:after="0" w:afterAutospacing="0"/>
              <w:ind w:firstLine="45"/>
              <w:jc w:val="both"/>
              <w:rPr>
                <w:sz w:val="20"/>
                <w:szCs w:val="20"/>
              </w:rPr>
            </w:pPr>
            <w:r w:rsidRPr="002432D6">
              <w:rPr>
                <w:sz w:val="20"/>
                <w:szCs w:val="20"/>
              </w:rPr>
              <w:t>- в течение 10 (десяти) рабочих дней заменить некачественный или несоответствующий Товар аналогичным Товаром надлежащего качества.</w:t>
            </w:r>
          </w:p>
        </w:tc>
      </w:tr>
    </w:tbl>
    <w:p w:rsidR="002432D6" w:rsidRPr="002432D6" w:rsidRDefault="002432D6" w:rsidP="002432D6">
      <w:pPr>
        <w:spacing w:line="276" w:lineRule="auto"/>
        <w:ind w:firstLine="36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432D6">
        <w:rPr>
          <w:rFonts w:ascii="Times New Roman" w:hAnsi="Times New Roman" w:cs="Times New Roman"/>
          <w:sz w:val="20"/>
          <w:szCs w:val="20"/>
        </w:rPr>
        <w:t xml:space="preserve">Приложения: </w:t>
      </w:r>
    </w:p>
    <w:p w:rsidR="002432D6" w:rsidRPr="002432D6" w:rsidRDefault="002432D6" w:rsidP="002432D6">
      <w:pPr>
        <w:pStyle w:val="a4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  <w:szCs w:val="20"/>
        </w:rPr>
      </w:pPr>
      <w:r w:rsidRPr="002432D6">
        <w:rPr>
          <w:rFonts w:ascii="Times New Roman" w:hAnsi="Times New Roman" w:cs="Times New Roman"/>
          <w:sz w:val="20"/>
          <w:szCs w:val="20"/>
        </w:rPr>
        <w:t>Приложение №1 к ТЗ - Перечень поставляемых товаров с указанием количества (объема)</w:t>
      </w:r>
      <w:r>
        <w:rPr>
          <w:rFonts w:ascii="Times New Roman" w:hAnsi="Times New Roman" w:cs="Times New Roman"/>
          <w:sz w:val="20"/>
          <w:szCs w:val="20"/>
        </w:rPr>
        <w:t xml:space="preserve"> (прикреплено отдельным файлом)</w:t>
      </w:r>
      <w:r w:rsidRPr="002432D6">
        <w:rPr>
          <w:rFonts w:ascii="Times New Roman" w:hAnsi="Times New Roman" w:cs="Times New Roman"/>
          <w:sz w:val="20"/>
          <w:szCs w:val="20"/>
        </w:rPr>
        <w:t>.</w:t>
      </w:r>
    </w:p>
    <w:p w:rsidR="001E210E" w:rsidRPr="002432D6" w:rsidRDefault="002432D6">
      <w:pPr>
        <w:rPr>
          <w:sz w:val="20"/>
          <w:szCs w:val="20"/>
        </w:rPr>
      </w:pPr>
    </w:p>
    <w:p w:rsidR="002432D6" w:rsidRPr="002432D6" w:rsidRDefault="002432D6">
      <w:pPr>
        <w:rPr>
          <w:sz w:val="20"/>
          <w:szCs w:val="20"/>
        </w:rPr>
      </w:pPr>
    </w:p>
    <w:sectPr w:rsidR="002432D6" w:rsidRPr="002432D6" w:rsidSect="002432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1E3BCA"/>
    <w:multiLevelType w:val="hybridMultilevel"/>
    <w:tmpl w:val="999A3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D6"/>
    <w:rsid w:val="002432D6"/>
    <w:rsid w:val="006F6E35"/>
    <w:rsid w:val="00BC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DD24"/>
  <w15:chartTrackingRefBased/>
  <w15:docId w15:val="{3611BC40-C87A-49BF-85B0-B358AD01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2D6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32D6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bd6ff683d8d0a42f228bf8a64b8551e1msonormal">
    <w:name w:val="bd6ff683d8d0a42f228bf8a64b8551e1msonormal"/>
    <w:basedOn w:val="a"/>
    <w:rsid w:val="002432D6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2432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1,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5"/>
    <w:uiPriority w:val="99"/>
    <w:qFormat/>
    <w:rsid w:val="002432D6"/>
    <w:pPr>
      <w:ind w:left="720"/>
      <w:contextualSpacing/>
    </w:pPr>
  </w:style>
  <w:style w:type="character" w:customStyle="1" w:styleId="a5">
    <w:name w:val="Абзац списка Знак"/>
    <w:aliases w:val="1 Знак,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4"/>
    <w:uiPriority w:val="99"/>
    <w:qFormat/>
    <w:locked/>
    <w:rsid w:val="0024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1008018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2641</Words>
  <Characters>15058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Филимонихина Анна Владимировна</dc:creator>
  <cp:keywords/>
  <dc:description/>
  <cp:lastModifiedBy>Филимонихина Анна Владимировна</cp:lastModifiedBy>
  <cp:revision>1</cp:revision>
  <dcterms:created xsi:type="dcterms:W3CDTF">2026-04-15T14:26:00Z</dcterms:created>
  <dcterms:modified xsi:type="dcterms:W3CDTF">2026-04-15T14:29:00Z</dcterms:modified>
</cp:coreProperties>
</file>