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FE" w:rsidRDefault="006B7CB7" w:rsidP="006B7CB7">
      <w:pPr>
        <w:jc w:val="center"/>
        <w:rPr>
          <w:rFonts w:ascii="Times New Roman" w:hAnsi="Times New Roman" w:cs="Times New Roman"/>
          <w:b/>
          <w:sz w:val="24"/>
          <w:szCs w:val="24"/>
        </w:rPr>
      </w:pPr>
      <w:r w:rsidRPr="006B7CB7">
        <w:rPr>
          <w:rFonts w:ascii="Times New Roman" w:hAnsi="Times New Roman" w:cs="Times New Roman"/>
          <w:b/>
          <w:sz w:val="24"/>
          <w:szCs w:val="24"/>
        </w:rPr>
        <w:t>Техническое задание. Спецификация оборудования.</w:t>
      </w:r>
    </w:p>
    <w:p w:rsidR="006B7CB7" w:rsidRDefault="006B7CB7" w:rsidP="006B7CB7">
      <w:pPr>
        <w:jc w:val="center"/>
        <w:rPr>
          <w:rFonts w:ascii="Times New Roman" w:hAnsi="Times New Roman" w:cs="Times New Roman"/>
          <w:b/>
          <w:sz w:val="24"/>
          <w:szCs w:val="24"/>
        </w:rPr>
      </w:pPr>
    </w:p>
    <w:tbl>
      <w:tblPr>
        <w:tblStyle w:val="a3"/>
        <w:tblW w:w="0" w:type="auto"/>
        <w:tblInd w:w="108" w:type="dxa"/>
        <w:tblLook w:val="04A0" w:firstRow="1" w:lastRow="0" w:firstColumn="1" w:lastColumn="0" w:noHBand="0" w:noVBand="1"/>
      </w:tblPr>
      <w:tblGrid>
        <w:gridCol w:w="540"/>
        <w:gridCol w:w="2367"/>
        <w:gridCol w:w="1448"/>
        <w:gridCol w:w="2592"/>
        <w:gridCol w:w="2369"/>
        <w:gridCol w:w="1466"/>
        <w:gridCol w:w="1900"/>
        <w:gridCol w:w="1770"/>
      </w:tblGrid>
      <w:tr w:rsidR="006B7CB7" w:rsidRPr="00CA6CB6" w:rsidTr="00B209BA">
        <w:tc>
          <w:tcPr>
            <w:tcW w:w="0" w:type="auto"/>
          </w:tcPr>
          <w:p w:rsidR="006B7CB7" w:rsidRPr="00CA6CB6" w:rsidRDefault="006B7CB7" w:rsidP="00B209BA">
            <w:pPr>
              <w:ind w:firstLine="0"/>
              <w:jc w:val="center"/>
              <w:rPr>
                <w:b/>
                <w:sz w:val="22"/>
              </w:rPr>
            </w:pPr>
            <w:r w:rsidRPr="00CA6CB6">
              <w:rPr>
                <w:b/>
                <w:sz w:val="22"/>
              </w:rPr>
              <w:t>№ п/п</w:t>
            </w:r>
          </w:p>
        </w:tc>
        <w:tc>
          <w:tcPr>
            <w:tcW w:w="0" w:type="auto"/>
          </w:tcPr>
          <w:p w:rsidR="006B7CB7" w:rsidRPr="00CA6CB6" w:rsidRDefault="006B7CB7" w:rsidP="00B209BA">
            <w:pPr>
              <w:ind w:firstLine="0"/>
              <w:jc w:val="center"/>
              <w:rPr>
                <w:b/>
                <w:sz w:val="22"/>
              </w:rPr>
            </w:pPr>
            <w:r w:rsidRPr="00CA6CB6">
              <w:rPr>
                <w:b/>
                <w:sz w:val="22"/>
              </w:rPr>
              <w:t>Наименование товара,</w:t>
            </w:r>
          </w:p>
          <w:p w:rsidR="006B7CB7" w:rsidRPr="00CA6CB6" w:rsidRDefault="006B7CB7" w:rsidP="00B209BA">
            <w:pPr>
              <w:ind w:firstLine="0"/>
              <w:jc w:val="center"/>
              <w:rPr>
                <w:b/>
                <w:sz w:val="22"/>
              </w:rPr>
            </w:pPr>
            <w:r w:rsidRPr="00CA6CB6">
              <w:rPr>
                <w:b/>
                <w:sz w:val="22"/>
              </w:rPr>
              <w:t>работы, услуги</w:t>
            </w:r>
          </w:p>
        </w:tc>
        <w:tc>
          <w:tcPr>
            <w:tcW w:w="0" w:type="auto"/>
          </w:tcPr>
          <w:p w:rsidR="006B7CB7" w:rsidRPr="00CA6CB6" w:rsidRDefault="006B7CB7" w:rsidP="00B209BA">
            <w:pPr>
              <w:ind w:firstLine="0"/>
              <w:jc w:val="center"/>
              <w:rPr>
                <w:b/>
                <w:sz w:val="22"/>
              </w:rPr>
            </w:pPr>
            <w:r w:rsidRPr="00CA6CB6">
              <w:rPr>
                <w:b/>
                <w:sz w:val="22"/>
              </w:rPr>
              <w:t>Назначение товара,</w:t>
            </w:r>
          </w:p>
          <w:p w:rsidR="006B7CB7" w:rsidRPr="00CA6CB6" w:rsidRDefault="006B7CB7" w:rsidP="00B209BA">
            <w:pPr>
              <w:ind w:firstLine="0"/>
              <w:jc w:val="center"/>
              <w:rPr>
                <w:b/>
                <w:sz w:val="22"/>
              </w:rPr>
            </w:pPr>
            <w:r w:rsidRPr="00CA6CB6">
              <w:rPr>
                <w:b/>
                <w:sz w:val="22"/>
              </w:rPr>
              <w:t>работы, услуги</w:t>
            </w:r>
          </w:p>
        </w:tc>
        <w:tc>
          <w:tcPr>
            <w:tcW w:w="0" w:type="auto"/>
          </w:tcPr>
          <w:p w:rsidR="006B7CB7" w:rsidRPr="00CA6CB6" w:rsidRDefault="006B7CB7" w:rsidP="00B209BA">
            <w:pPr>
              <w:ind w:firstLine="0"/>
              <w:jc w:val="center"/>
              <w:rPr>
                <w:b/>
                <w:sz w:val="22"/>
              </w:rPr>
            </w:pPr>
            <w:r w:rsidRPr="00CA6CB6">
              <w:rPr>
                <w:b/>
                <w:sz w:val="22"/>
              </w:rPr>
              <w:t>Основные условия поставки товаров (выполнения работ, оказания услуг), включая сроки и требования к порядку поставки товаров (выполнению работ, оказанию услуг), порядок оплаты, требования к гарантийному сроку товара (работы, услуги) и (или) объему предоставления гарантий качества</w:t>
            </w:r>
          </w:p>
        </w:tc>
        <w:tc>
          <w:tcPr>
            <w:tcW w:w="0" w:type="auto"/>
          </w:tcPr>
          <w:p w:rsidR="006B7CB7" w:rsidRPr="00CA6CB6" w:rsidRDefault="006B7CB7" w:rsidP="00B209BA">
            <w:pPr>
              <w:ind w:firstLine="0"/>
              <w:jc w:val="center"/>
              <w:rPr>
                <w:b/>
                <w:sz w:val="22"/>
              </w:rPr>
            </w:pPr>
            <w:r w:rsidRPr="00CA6CB6">
              <w:rPr>
                <w:b/>
                <w:sz w:val="22"/>
              </w:rPr>
              <w:t>Технические и иные характеристики товара, особенности предоставляемых услуг, проводимых работ</w:t>
            </w:r>
          </w:p>
        </w:tc>
        <w:tc>
          <w:tcPr>
            <w:tcW w:w="0" w:type="auto"/>
          </w:tcPr>
          <w:p w:rsidR="006B7CB7" w:rsidRPr="00CA6CB6" w:rsidRDefault="006B7CB7" w:rsidP="00B209BA">
            <w:pPr>
              <w:ind w:firstLine="0"/>
              <w:jc w:val="center"/>
              <w:rPr>
                <w:b/>
                <w:sz w:val="22"/>
              </w:rPr>
            </w:pPr>
            <w:r w:rsidRPr="00CA6CB6">
              <w:rPr>
                <w:b/>
                <w:sz w:val="22"/>
              </w:rPr>
              <w:t>Количество товара, объем работ, услуг</w:t>
            </w:r>
          </w:p>
        </w:tc>
        <w:tc>
          <w:tcPr>
            <w:tcW w:w="0" w:type="auto"/>
          </w:tcPr>
          <w:p w:rsidR="006B7CB7" w:rsidRPr="00CA6CB6" w:rsidRDefault="006B7CB7" w:rsidP="00B209BA">
            <w:pPr>
              <w:ind w:firstLine="0"/>
              <w:jc w:val="center"/>
              <w:rPr>
                <w:rFonts w:cs="Arial"/>
                <w:b/>
                <w:color w:val="000000"/>
                <w:sz w:val="22"/>
              </w:rPr>
            </w:pPr>
            <w:r w:rsidRPr="00CA6CB6">
              <w:rPr>
                <w:b/>
                <w:color w:val="000000"/>
                <w:sz w:val="22"/>
              </w:rPr>
              <w:t>Наименование страны происхождения поставляемых товаров</w:t>
            </w:r>
            <w:r>
              <w:rPr>
                <w:b/>
                <w:color w:val="000000"/>
                <w:sz w:val="22"/>
              </w:rPr>
              <w:t>/ПО</w:t>
            </w:r>
            <w:r w:rsidRPr="00CA6CB6">
              <w:rPr>
                <w:b/>
                <w:color w:val="000000"/>
                <w:sz w:val="22"/>
              </w:rPr>
              <w:t xml:space="preserve"> </w:t>
            </w:r>
          </w:p>
          <w:p w:rsidR="006B7CB7" w:rsidRPr="00CA6CB6" w:rsidRDefault="006B7CB7" w:rsidP="00B209BA">
            <w:pPr>
              <w:jc w:val="center"/>
              <w:rPr>
                <w:b/>
                <w:color w:val="000000"/>
                <w:sz w:val="22"/>
              </w:rPr>
            </w:pPr>
          </w:p>
          <w:p w:rsidR="006B7CB7" w:rsidRPr="00CA6CB6" w:rsidRDefault="006B7CB7" w:rsidP="00B209BA">
            <w:pPr>
              <w:ind w:firstLine="0"/>
              <w:jc w:val="center"/>
              <w:rPr>
                <w:b/>
                <w:sz w:val="22"/>
              </w:rPr>
            </w:pPr>
          </w:p>
        </w:tc>
        <w:tc>
          <w:tcPr>
            <w:tcW w:w="0" w:type="auto"/>
          </w:tcPr>
          <w:p w:rsidR="006B7CB7" w:rsidRPr="00CA6CB6" w:rsidRDefault="006B7CB7" w:rsidP="00B209BA">
            <w:pPr>
              <w:ind w:firstLine="0"/>
              <w:jc w:val="center"/>
              <w:rPr>
                <w:b/>
                <w:color w:val="000000"/>
                <w:sz w:val="22"/>
                <w:szCs w:val="18"/>
              </w:rPr>
            </w:pPr>
            <w:r w:rsidRPr="00CA6CB6">
              <w:rPr>
                <w:b/>
                <w:color w:val="000000"/>
                <w:sz w:val="22"/>
                <w:szCs w:val="18"/>
              </w:rPr>
              <w:t>Номер реестровой записи поставляемого</w:t>
            </w:r>
          </w:p>
          <w:p w:rsidR="006B7CB7" w:rsidRPr="00CA6CB6" w:rsidRDefault="006B7CB7" w:rsidP="00B209BA">
            <w:pPr>
              <w:ind w:firstLine="0"/>
              <w:jc w:val="center"/>
              <w:rPr>
                <w:rFonts w:cs="Arial"/>
                <w:b/>
                <w:color w:val="000000"/>
                <w:sz w:val="22"/>
                <w:szCs w:val="18"/>
              </w:rPr>
            </w:pPr>
            <w:r>
              <w:rPr>
                <w:b/>
                <w:color w:val="000000"/>
                <w:sz w:val="22"/>
                <w:szCs w:val="18"/>
              </w:rPr>
              <w:t>т</w:t>
            </w:r>
            <w:r w:rsidRPr="00CA6CB6">
              <w:rPr>
                <w:b/>
                <w:color w:val="000000"/>
                <w:sz w:val="22"/>
                <w:szCs w:val="18"/>
              </w:rPr>
              <w:t>овара</w:t>
            </w:r>
            <w:r>
              <w:rPr>
                <w:b/>
                <w:color w:val="000000"/>
                <w:sz w:val="22"/>
                <w:szCs w:val="18"/>
              </w:rPr>
              <w:t>/ПО</w:t>
            </w:r>
            <w:r w:rsidRPr="00CA6CB6">
              <w:rPr>
                <w:rStyle w:val="a6"/>
                <w:b/>
                <w:color w:val="000000"/>
                <w:sz w:val="22"/>
                <w:szCs w:val="18"/>
              </w:rPr>
              <w:footnoteReference w:id="1"/>
            </w:r>
            <w:r w:rsidRPr="00CA6CB6">
              <w:rPr>
                <w:b/>
                <w:color w:val="000000"/>
                <w:sz w:val="22"/>
                <w:szCs w:val="18"/>
              </w:rPr>
              <w:t xml:space="preserve"> </w:t>
            </w:r>
          </w:p>
          <w:p w:rsidR="006B7CB7" w:rsidRPr="00CA6CB6" w:rsidRDefault="006B7CB7" w:rsidP="00B209BA">
            <w:pPr>
              <w:ind w:firstLine="0"/>
              <w:jc w:val="center"/>
              <w:rPr>
                <w:b/>
                <w:color w:val="000000"/>
                <w:sz w:val="22"/>
              </w:rPr>
            </w:pPr>
          </w:p>
        </w:tc>
      </w:tr>
      <w:tr w:rsidR="006B7CB7" w:rsidRPr="008519A7" w:rsidTr="00B209BA">
        <w:tc>
          <w:tcPr>
            <w:tcW w:w="0" w:type="auto"/>
          </w:tcPr>
          <w:p w:rsidR="006B7CB7" w:rsidRPr="00CA6CB6" w:rsidRDefault="006B7CB7" w:rsidP="00B209BA">
            <w:pPr>
              <w:ind w:firstLine="0"/>
              <w:rPr>
                <w:sz w:val="22"/>
              </w:rPr>
            </w:pPr>
            <w:r>
              <w:rPr>
                <w:sz w:val="22"/>
              </w:rPr>
              <w:t>1.</w:t>
            </w:r>
          </w:p>
        </w:tc>
        <w:tc>
          <w:tcPr>
            <w:tcW w:w="0" w:type="auto"/>
            <w:vAlign w:val="center"/>
          </w:tcPr>
          <w:p w:rsidR="006B7CB7" w:rsidRPr="00CA6CB6" w:rsidRDefault="006B7CB7" w:rsidP="00B209BA">
            <w:pPr>
              <w:ind w:firstLine="0"/>
              <w:rPr>
                <w:sz w:val="22"/>
              </w:rPr>
            </w:pPr>
            <w:r w:rsidRPr="008519A7">
              <w:rPr>
                <w:sz w:val="22"/>
              </w:rPr>
              <w:t xml:space="preserve">Сервисный маршрутизатор ESR-3200, 12хEthernet 1000BASE-X/10GBASE-R/25GBASE-R, 1 слот для SD-карт, 24 ГБ RAM, 8 ГБ </w:t>
            </w:r>
            <w:proofErr w:type="spellStart"/>
            <w:r w:rsidRPr="008519A7">
              <w:rPr>
                <w:sz w:val="22"/>
              </w:rPr>
              <w:t>Flash</w:t>
            </w:r>
            <w:proofErr w:type="spellEnd"/>
            <w:r w:rsidRPr="008519A7">
              <w:rPr>
                <w:sz w:val="22"/>
              </w:rPr>
              <w:t>, 2 слота для модулей питания</w:t>
            </w:r>
          </w:p>
        </w:tc>
        <w:tc>
          <w:tcPr>
            <w:tcW w:w="0" w:type="auto"/>
          </w:tcPr>
          <w:p w:rsidR="006B7CB7" w:rsidRPr="00CA6CB6" w:rsidRDefault="006B7CB7" w:rsidP="00B209BA">
            <w:pPr>
              <w:ind w:firstLine="0"/>
              <w:rPr>
                <w:sz w:val="22"/>
              </w:rPr>
            </w:pPr>
            <w:r>
              <w:rPr>
                <w:sz w:val="22"/>
              </w:rPr>
              <w:t>Исполнение доходного договора</w:t>
            </w:r>
          </w:p>
        </w:tc>
        <w:tc>
          <w:tcPr>
            <w:tcW w:w="0" w:type="auto"/>
          </w:tcPr>
          <w:p w:rsidR="006B7CB7" w:rsidRPr="00721F03" w:rsidRDefault="006B7CB7" w:rsidP="00B209BA">
            <w:pPr>
              <w:ind w:firstLine="0"/>
              <w:rPr>
                <w:sz w:val="22"/>
              </w:rPr>
            </w:pPr>
            <w:r w:rsidRPr="00721F03">
              <w:rPr>
                <w:sz w:val="22"/>
              </w:rPr>
              <w:t>Сроки поставки товара – до 01.09.2026</w:t>
            </w:r>
          </w:p>
          <w:p w:rsidR="006B7CB7" w:rsidRPr="00721F03" w:rsidRDefault="006B7CB7" w:rsidP="00B209BA">
            <w:pPr>
              <w:ind w:firstLine="0"/>
              <w:rPr>
                <w:sz w:val="22"/>
              </w:rPr>
            </w:pPr>
            <w:r w:rsidRPr="00721F03">
              <w:rPr>
                <w:sz w:val="22"/>
              </w:rPr>
              <w:t xml:space="preserve">Аванс – </w:t>
            </w:r>
            <w:r>
              <w:rPr>
                <w:sz w:val="22"/>
              </w:rPr>
              <w:t>не предусмотрен</w:t>
            </w:r>
          </w:p>
          <w:p w:rsidR="006B7CB7" w:rsidRPr="00721F03" w:rsidRDefault="006B7CB7" w:rsidP="00B209BA">
            <w:pPr>
              <w:ind w:firstLine="0"/>
              <w:rPr>
                <w:sz w:val="22"/>
              </w:rPr>
            </w:pPr>
            <w:r w:rsidRPr="00721F03">
              <w:rPr>
                <w:sz w:val="22"/>
              </w:rPr>
              <w:t xml:space="preserve">Оплата в течение </w:t>
            </w:r>
            <w:r>
              <w:rPr>
                <w:sz w:val="22"/>
              </w:rPr>
              <w:t>30</w:t>
            </w:r>
            <w:r w:rsidRPr="00721F03">
              <w:rPr>
                <w:sz w:val="22"/>
              </w:rPr>
              <w:t xml:space="preserve"> календарных дней по факту подписания УПД</w:t>
            </w:r>
          </w:p>
          <w:p w:rsidR="006B7CB7" w:rsidRDefault="006B7CB7" w:rsidP="00B209BA">
            <w:pPr>
              <w:ind w:firstLine="0"/>
              <w:rPr>
                <w:sz w:val="22"/>
              </w:rPr>
            </w:pPr>
            <w:r w:rsidRPr="00721F03">
              <w:rPr>
                <w:sz w:val="22"/>
              </w:rPr>
              <w:t xml:space="preserve">Гарантийный срок – не менее 36 месяцев с момента ввода </w:t>
            </w:r>
            <w:r w:rsidRPr="00721F03">
              <w:rPr>
                <w:sz w:val="22"/>
              </w:rPr>
              <w:lastRenderedPageBreak/>
              <w:t>оборудования в эксплуатацию</w:t>
            </w:r>
          </w:p>
          <w:p w:rsidR="006B7CB7" w:rsidRPr="00721F03" w:rsidRDefault="006B7CB7" w:rsidP="00B209BA">
            <w:pPr>
              <w:ind w:firstLine="0"/>
              <w:rPr>
                <w:sz w:val="22"/>
              </w:rPr>
            </w:pPr>
            <w:r>
              <w:rPr>
                <w:sz w:val="22"/>
              </w:rPr>
              <w:t>Техническая поддержка 24*7 36 месяцев</w:t>
            </w:r>
          </w:p>
          <w:p w:rsidR="006B7CB7" w:rsidRPr="00721F03" w:rsidRDefault="006B7CB7" w:rsidP="00B209BA">
            <w:pPr>
              <w:ind w:firstLine="0"/>
              <w:rPr>
                <w:sz w:val="22"/>
              </w:rPr>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vAlign w:val="center"/>
          </w:tcPr>
          <w:p w:rsidR="006B7CB7" w:rsidRPr="00CA6CB6" w:rsidRDefault="006B7CB7" w:rsidP="00B209BA">
            <w:pPr>
              <w:ind w:firstLine="0"/>
              <w:rPr>
                <w:sz w:val="22"/>
              </w:rPr>
            </w:pPr>
            <w:r w:rsidRPr="008519A7">
              <w:rPr>
                <w:sz w:val="22"/>
              </w:rPr>
              <w:lastRenderedPageBreak/>
              <w:t xml:space="preserve">Сервисный маршрутизатор ESR-3200, 12хEthernet 1000BASE-X/10GBASE-R/25GBASE-R, 1 слот для SD-карт, 24 ГБ RAM, 8 ГБ </w:t>
            </w:r>
            <w:proofErr w:type="spellStart"/>
            <w:r w:rsidRPr="008519A7">
              <w:rPr>
                <w:sz w:val="22"/>
              </w:rPr>
              <w:t>Flash</w:t>
            </w:r>
            <w:proofErr w:type="spellEnd"/>
            <w:r w:rsidRPr="008519A7">
              <w:rPr>
                <w:sz w:val="22"/>
              </w:rPr>
              <w:t>, 2 слота для модулей питания</w:t>
            </w:r>
          </w:p>
        </w:tc>
        <w:tc>
          <w:tcPr>
            <w:tcW w:w="0" w:type="auto"/>
          </w:tcPr>
          <w:p w:rsidR="006B7CB7" w:rsidRPr="00CA6CB6" w:rsidRDefault="006B7CB7" w:rsidP="00B209BA">
            <w:pPr>
              <w:ind w:firstLine="0"/>
              <w:rPr>
                <w:sz w:val="22"/>
              </w:rPr>
            </w:pPr>
            <w:r>
              <w:rPr>
                <w:sz w:val="22"/>
              </w:rPr>
              <w:t>4</w:t>
            </w:r>
          </w:p>
        </w:tc>
        <w:tc>
          <w:tcPr>
            <w:tcW w:w="0" w:type="auto"/>
          </w:tcPr>
          <w:p w:rsidR="006B7CB7" w:rsidRPr="00CA6CB6" w:rsidRDefault="006B7CB7" w:rsidP="00B209BA">
            <w:pPr>
              <w:ind w:firstLine="0"/>
              <w:rPr>
                <w:sz w:val="22"/>
              </w:rPr>
            </w:pPr>
            <w:r>
              <w:rPr>
                <w:sz w:val="22"/>
              </w:rPr>
              <w:t>РФ</w:t>
            </w:r>
          </w:p>
        </w:tc>
        <w:tc>
          <w:tcPr>
            <w:tcW w:w="0" w:type="auto"/>
          </w:tcPr>
          <w:p w:rsidR="006B7CB7" w:rsidRPr="00CA6CB6" w:rsidRDefault="006B7CB7" w:rsidP="00B209BA">
            <w:pPr>
              <w:ind w:firstLine="0"/>
              <w:rPr>
                <w:sz w:val="22"/>
              </w:rPr>
            </w:pPr>
            <w:r>
              <w:rPr>
                <w:sz w:val="22"/>
              </w:rPr>
              <w:t>-</w:t>
            </w:r>
          </w:p>
        </w:tc>
      </w:tr>
      <w:tr w:rsidR="006B7CB7" w:rsidRPr="00CA6CB6" w:rsidTr="00B209BA">
        <w:tc>
          <w:tcPr>
            <w:tcW w:w="0" w:type="auto"/>
          </w:tcPr>
          <w:p w:rsidR="006B7CB7" w:rsidRPr="008519A7" w:rsidRDefault="006B7CB7" w:rsidP="00B209BA">
            <w:pPr>
              <w:ind w:firstLine="0"/>
              <w:rPr>
                <w:sz w:val="22"/>
              </w:rPr>
            </w:pPr>
            <w:r>
              <w:rPr>
                <w:sz w:val="22"/>
              </w:rPr>
              <w:t>2.</w:t>
            </w:r>
          </w:p>
        </w:tc>
        <w:tc>
          <w:tcPr>
            <w:tcW w:w="0" w:type="auto"/>
            <w:vAlign w:val="center"/>
          </w:tcPr>
          <w:p w:rsidR="006B7CB7" w:rsidRPr="00CA6CB6" w:rsidRDefault="006B7CB7" w:rsidP="00B209BA">
            <w:pPr>
              <w:ind w:firstLine="0"/>
              <w:rPr>
                <w:sz w:val="22"/>
              </w:rPr>
            </w:pPr>
            <w:r w:rsidRPr="008519A7">
              <w:rPr>
                <w:sz w:val="22"/>
              </w:rPr>
              <w:t>Продление гарантийного обслуживания, ESR-3200, до 3 лет</w:t>
            </w:r>
          </w:p>
        </w:tc>
        <w:tc>
          <w:tcPr>
            <w:tcW w:w="0" w:type="auto"/>
          </w:tcPr>
          <w:p w:rsidR="006B7CB7" w:rsidRPr="00CA6CB6" w:rsidRDefault="006B7CB7" w:rsidP="00B209BA">
            <w:pPr>
              <w:ind w:firstLine="0"/>
              <w:rPr>
                <w:sz w:val="22"/>
              </w:rPr>
            </w:pPr>
            <w:r>
              <w:rPr>
                <w:sz w:val="22"/>
              </w:rPr>
              <w:t>Исполнение доходного договора</w:t>
            </w:r>
          </w:p>
        </w:tc>
        <w:tc>
          <w:tcPr>
            <w:tcW w:w="0" w:type="auto"/>
          </w:tcPr>
          <w:p w:rsidR="006B7CB7" w:rsidRPr="00721F03" w:rsidRDefault="006B7CB7" w:rsidP="00B209BA">
            <w:pPr>
              <w:ind w:firstLine="0"/>
              <w:rPr>
                <w:sz w:val="22"/>
              </w:rPr>
            </w:pPr>
            <w:r w:rsidRPr="00721F03">
              <w:rPr>
                <w:sz w:val="22"/>
              </w:rPr>
              <w:t>Сроки поставки товара – до 01.09.2026</w:t>
            </w:r>
          </w:p>
          <w:p w:rsidR="006B7CB7" w:rsidRPr="00721F03" w:rsidRDefault="006B7CB7" w:rsidP="00B209BA">
            <w:pPr>
              <w:ind w:firstLine="0"/>
              <w:rPr>
                <w:sz w:val="22"/>
              </w:rPr>
            </w:pPr>
            <w:r w:rsidRPr="00721F03">
              <w:rPr>
                <w:sz w:val="22"/>
              </w:rPr>
              <w:t xml:space="preserve">Аванс – </w:t>
            </w:r>
            <w:r>
              <w:rPr>
                <w:sz w:val="22"/>
              </w:rPr>
              <w:t>не предусмотрен</w:t>
            </w:r>
          </w:p>
          <w:p w:rsidR="006B7CB7" w:rsidRPr="00721F03" w:rsidRDefault="006B7CB7" w:rsidP="00B209BA">
            <w:pPr>
              <w:ind w:firstLine="0"/>
              <w:rPr>
                <w:sz w:val="22"/>
              </w:rPr>
            </w:pPr>
            <w:r w:rsidRPr="00721F03">
              <w:rPr>
                <w:sz w:val="22"/>
              </w:rPr>
              <w:t xml:space="preserve">Оплата в течение </w:t>
            </w:r>
            <w:r>
              <w:rPr>
                <w:sz w:val="22"/>
              </w:rPr>
              <w:t>30</w:t>
            </w:r>
            <w:r w:rsidRPr="00721F03">
              <w:rPr>
                <w:sz w:val="22"/>
              </w:rPr>
              <w:t xml:space="preserve"> календарных дней по факту подписания УПД</w:t>
            </w:r>
          </w:p>
          <w:p w:rsidR="006B7CB7" w:rsidRDefault="006B7CB7" w:rsidP="00B209BA">
            <w:pPr>
              <w:ind w:firstLine="0"/>
              <w:rPr>
                <w:sz w:val="22"/>
              </w:rPr>
            </w:pPr>
            <w:r w:rsidRPr="00721F03">
              <w:rPr>
                <w:sz w:val="22"/>
              </w:rPr>
              <w:t>Гарантийный срок – не менее 36 месяцев с момента ввода оборудования в эксплуатацию</w:t>
            </w:r>
          </w:p>
          <w:p w:rsidR="006B7CB7" w:rsidRPr="00721F03" w:rsidRDefault="006B7CB7" w:rsidP="00B209BA">
            <w:pPr>
              <w:ind w:firstLine="0"/>
              <w:rPr>
                <w:sz w:val="22"/>
              </w:rPr>
            </w:pPr>
            <w:r>
              <w:rPr>
                <w:sz w:val="22"/>
              </w:rPr>
              <w:t>Техническая поддержка 24*7 36 месяцев</w:t>
            </w:r>
          </w:p>
          <w:p w:rsidR="006B7CB7" w:rsidRPr="00063AB3" w:rsidRDefault="006B7CB7" w:rsidP="00B209BA">
            <w:pPr>
              <w:ind w:firstLine="0"/>
              <w:jc w:val="left"/>
              <w:rPr>
                <w:sz w:val="22"/>
              </w:rPr>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vAlign w:val="center"/>
          </w:tcPr>
          <w:p w:rsidR="006B7CB7" w:rsidRPr="00CA6CB6" w:rsidRDefault="006B7CB7" w:rsidP="00B209BA">
            <w:pPr>
              <w:ind w:firstLine="0"/>
              <w:rPr>
                <w:sz w:val="22"/>
              </w:rPr>
            </w:pPr>
            <w:r w:rsidRPr="008519A7">
              <w:rPr>
                <w:sz w:val="22"/>
              </w:rPr>
              <w:t>Продление гарантийного обслуживания, ESR-3200, до 3 лет</w:t>
            </w:r>
          </w:p>
        </w:tc>
        <w:tc>
          <w:tcPr>
            <w:tcW w:w="0" w:type="auto"/>
          </w:tcPr>
          <w:p w:rsidR="006B7CB7" w:rsidRPr="00CA6CB6" w:rsidRDefault="006B7CB7" w:rsidP="00B209BA">
            <w:pPr>
              <w:ind w:firstLine="0"/>
              <w:rPr>
                <w:sz w:val="22"/>
              </w:rPr>
            </w:pPr>
            <w:r>
              <w:rPr>
                <w:sz w:val="22"/>
              </w:rPr>
              <w:t>4</w:t>
            </w:r>
          </w:p>
        </w:tc>
        <w:tc>
          <w:tcPr>
            <w:tcW w:w="0" w:type="auto"/>
          </w:tcPr>
          <w:p w:rsidR="006B7CB7" w:rsidRPr="00CA6CB6" w:rsidRDefault="006B7CB7" w:rsidP="00B209BA">
            <w:pPr>
              <w:ind w:firstLine="0"/>
              <w:rPr>
                <w:sz w:val="22"/>
              </w:rPr>
            </w:pPr>
            <w:r>
              <w:rPr>
                <w:sz w:val="22"/>
              </w:rPr>
              <w:t>РФ</w:t>
            </w:r>
          </w:p>
        </w:tc>
        <w:tc>
          <w:tcPr>
            <w:tcW w:w="0" w:type="auto"/>
          </w:tcPr>
          <w:p w:rsidR="006B7CB7" w:rsidRPr="00CA6CB6" w:rsidRDefault="006B7CB7" w:rsidP="00B209BA">
            <w:pPr>
              <w:ind w:firstLine="0"/>
              <w:rPr>
                <w:sz w:val="22"/>
              </w:rPr>
            </w:pPr>
            <w:r>
              <w:rPr>
                <w:sz w:val="22"/>
              </w:rPr>
              <w:t>-</w:t>
            </w:r>
          </w:p>
        </w:tc>
      </w:tr>
      <w:tr w:rsidR="006B7CB7" w:rsidRPr="00CA6CB6" w:rsidTr="00B209BA">
        <w:tc>
          <w:tcPr>
            <w:tcW w:w="0" w:type="auto"/>
          </w:tcPr>
          <w:p w:rsidR="006B7CB7" w:rsidRPr="008519A7" w:rsidRDefault="006B7CB7" w:rsidP="00B209BA">
            <w:pPr>
              <w:ind w:firstLine="0"/>
              <w:rPr>
                <w:sz w:val="22"/>
              </w:rPr>
            </w:pPr>
            <w:r>
              <w:rPr>
                <w:sz w:val="22"/>
              </w:rPr>
              <w:lastRenderedPageBreak/>
              <w:t>3.</w:t>
            </w:r>
          </w:p>
        </w:tc>
        <w:tc>
          <w:tcPr>
            <w:tcW w:w="0" w:type="auto"/>
            <w:vAlign w:val="center"/>
          </w:tcPr>
          <w:p w:rsidR="006B7CB7" w:rsidRPr="00CA6CB6" w:rsidRDefault="006B7CB7" w:rsidP="00B209BA">
            <w:pPr>
              <w:ind w:firstLine="0"/>
              <w:rPr>
                <w:sz w:val="22"/>
              </w:rPr>
            </w:pPr>
            <w:r w:rsidRPr="008519A7">
              <w:rPr>
                <w:sz w:val="22"/>
              </w:rPr>
              <w:t xml:space="preserve">Сертификат на консультационные услуги по вопросам эксплуатации оборудования </w:t>
            </w:r>
            <w:proofErr w:type="spellStart"/>
            <w:r w:rsidRPr="008519A7">
              <w:rPr>
                <w:sz w:val="22"/>
              </w:rPr>
              <w:t>Eltex</w:t>
            </w:r>
            <w:proofErr w:type="spellEnd"/>
            <w:r w:rsidRPr="008519A7">
              <w:rPr>
                <w:sz w:val="22"/>
              </w:rPr>
              <w:t xml:space="preserve"> - ESR-3200 - </w:t>
            </w:r>
            <w:proofErr w:type="spellStart"/>
            <w:r w:rsidRPr="008519A7">
              <w:rPr>
                <w:sz w:val="22"/>
              </w:rPr>
              <w:t>безлимитное</w:t>
            </w:r>
            <w:proofErr w:type="spellEnd"/>
            <w:r w:rsidRPr="008519A7">
              <w:rPr>
                <w:sz w:val="22"/>
              </w:rPr>
              <w:t xml:space="preserve"> количество обращений 24х7, 3 календарных года</w:t>
            </w:r>
          </w:p>
        </w:tc>
        <w:tc>
          <w:tcPr>
            <w:tcW w:w="0" w:type="auto"/>
          </w:tcPr>
          <w:p w:rsidR="006B7CB7" w:rsidRPr="00CA6CB6" w:rsidRDefault="006B7CB7" w:rsidP="00B209BA">
            <w:pPr>
              <w:ind w:firstLine="0"/>
              <w:rPr>
                <w:sz w:val="22"/>
              </w:rPr>
            </w:pPr>
            <w:r>
              <w:rPr>
                <w:sz w:val="22"/>
              </w:rPr>
              <w:t>Исполнение доходного договора</w:t>
            </w:r>
          </w:p>
        </w:tc>
        <w:tc>
          <w:tcPr>
            <w:tcW w:w="0" w:type="auto"/>
          </w:tcPr>
          <w:p w:rsidR="006B7CB7" w:rsidRPr="00721F03" w:rsidRDefault="006B7CB7" w:rsidP="00B209BA">
            <w:pPr>
              <w:ind w:firstLine="0"/>
              <w:rPr>
                <w:sz w:val="22"/>
              </w:rPr>
            </w:pPr>
            <w:r w:rsidRPr="00721F03">
              <w:rPr>
                <w:sz w:val="22"/>
              </w:rPr>
              <w:t>Сроки поставки товара – до 01.09.2026</w:t>
            </w:r>
          </w:p>
          <w:p w:rsidR="006B7CB7" w:rsidRPr="00721F03" w:rsidRDefault="006B7CB7" w:rsidP="00B209BA">
            <w:pPr>
              <w:ind w:firstLine="0"/>
              <w:rPr>
                <w:sz w:val="22"/>
              </w:rPr>
            </w:pPr>
            <w:r w:rsidRPr="00721F03">
              <w:rPr>
                <w:sz w:val="22"/>
              </w:rPr>
              <w:t xml:space="preserve">Аванс – </w:t>
            </w:r>
            <w:r>
              <w:rPr>
                <w:sz w:val="22"/>
              </w:rPr>
              <w:t>не предусмотрен</w:t>
            </w:r>
          </w:p>
          <w:p w:rsidR="006B7CB7" w:rsidRPr="00721F03" w:rsidRDefault="006B7CB7" w:rsidP="00B209BA">
            <w:pPr>
              <w:ind w:firstLine="0"/>
              <w:rPr>
                <w:sz w:val="22"/>
              </w:rPr>
            </w:pPr>
            <w:r w:rsidRPr="00721F03">
              <w:rPr>
                <w:sz w:val="22"/>
              </w:rPr>
              <w:t xml:space="preserve">Оплата в течение </w:t>
            </w:r>
            <w:r>
              <w:rPr>
                <w:sz w:val="22"/>
              </w:rPr>
              <w:t>30</w:t>
            </w:r>
            <w:r w:rsidRPr="00721F03">
              <w:rPr>
                <w:sz w:val="22"/>
              </w:rPr>
              <w:t xml:space="preserve"> календарных дней по факту подписания УПД</w:t>
            </w:r>
          </w:p>
          <w:p w:rsidR="006B7CB7" w:rsidRDefault="006B7CB7" w:rsidP="00B209BA">
            <w:pPr>
              <w:ind w:firstLine="0"/>
              <w:rPr>
                <w:sz w:val="22"/>
              </w:rPr>
            </w:pPr>
            <w:r w:rsidRPr="00721F03">
              <w:rPr>
                <w:sz w:val="22"/>
              </w:rPr>
              <w:t>Гарантийный срок – не менее 36 месяцев с момента ввода оборудования в эксплуатацию</w:t>
            </w:r>
          </w:p>
          <w:p w:rsidR="006B7CB7" w:rsidRPr="00721F03" w:rsidRDefault="006B7CB7" w:rsidP="00B209BA">
            <w:pPr>
              <w:ind w:firstLine="0"/>
              <w:rPr>
                <w:sz w:val="22"/>
              </w:rPr>
            </w:pPr>
            <w:r>
              <w:rPr>
                <w:sz w:val="22"/>
              </w:rPr>
              <w:t>Техническая поддержка 24*7 36 месяцев</w:t>
            </w:r>
          </w:p>
          <w:p w:rsidR="006B7CB7" w:rsidRPr="008519A7" w:rsidRDefault="006B7CB7" w:rsidP="00B209BA">
            <w:pPr>
              <w:ind w:firstLine="0"/>
              <w:jc w:val="left"/>
              <w:rPr>
                <w:sz w:val="22"/>
              </w:rPr>
            </w:pPr>
            <w:r w:rsidRPr="00721F03">
              <w:rPr>
                <w:sz w:val="22"/>
              </w:rPr>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vAlign w:val="center"/>
          </w:tcPr>
          <w:p w:rsidR="006B7CB7" w:rsidRPr="00CA6CB6" w:rsidRDefault="006B7CB7" w:rsidP="00B209BA">
            <w:pPr>
              <w:ind w:firstLine="0"/>
              <w:rPr>
                <w:sz w:val="22"/>
              </w:rPr>
            </w:pPr>
            <w:r w:rsidRPr="008519A7">
              <w:rPr>
                <w:sz w:val="22"/>
              </w:rPr>
              <w:t xml:space="preserve">Сертификат на консультационные услуги по вопросам эксплуатации оборудования </w:t>
            </w:r>
            <w:proofErr w:type="spellStart"/>
            <w:r w:rsidRPr="008519A7">
              <w:rPr>
                <w:sz w:val="22"/>
              </w:rPr>
              <w:t>Eltex</w:t>
            </w:r>
            <w:proofErr w:type="spellEnd"/>
            <w:r w:rsidRPr="008519A7">
              <w:rPr>
                <w:sz w:val="22"/>
              </w:rPr>
              <w:t xml:space="preserve"> - ESR-3200 - </w:t>
            </w:r>
            <w:proofErr w:type="spellStart"/>
            <w:r w:rsidRPr="008519A7">
              <w:rPr>
                <w:sz w:val="22"/>
              </w:rPr>
              <w:t>безлимитное</w:t>
            </w:r>
            <w:proofErr w:type="spellEnd"/>
            <w:r w:rsidRPr="008519A7">
              <w:rPr>
                <w:sz w:val="22"/>
              </w:rPr>
              <w:t xml:space="preserve"> количество обращений 24х7, 3 календарных года</w:t>
            </w:r>
          </w:p>
        </w:tc>
        <w:tc>
          <w:tcPr>
            <w:tcW w:w="0" w:type="auto"/>
          </w:tcPr>
          <w:p w:rsidR="006B7CB7" w:rsidRPr="00CA6CB6" w:rsidRDefault="006B7CB7" w:rsidP="00B209BA">
            <w:pPr>
              <w:ind w:firstLine="0"/>
              <w:rPr>
                <w:sz w:val="22"/>
              </w:rPr>
            </w:pPr>
            <w:r>
              <w:rPr>
                <w:sz w:val="22"/>
              </w:rPr>
              <w:t>4</w:t>
            </w:r>
          </w:p>
        </w:tc>
        <w:tc>
          <w:tcPr>
            <w:tcW w:w="0" w:type="auto"/>
          </w:tcPr>
          <w:p w:rsidR="006B7CB7" w:rsidRPr="00CA6CB6" w:rsidRDefault="006B7CB7" w:rsidP="00B209BA">
            <w:pPr>
              <w:ind w:firstLine="0"/>
              <w:rPr>
                <w:sz w:val="22"/>
              </w:rPr>
            </w:pPr>
            <w:r>
              <w:rPr>
                <w:sz w:val="22"/>
              </w:rPr>
              <w:t>РФ</w:t>
            </w:r>
          </w:p>
        </w:tc>
        <w:tc>
          <w:tcPr>
            <w:tcW w:w="0" w:type="auto"/>
          </w:tcPr>
          <w:p w:rsidR="006B7CB7" w:rsidRPr="00CA6CB6" w:rsidRDefault="006B7CB7" w:rsidP="00B209BA">
            <w:pPr>
              <w:ind w:firstLine="0"/>
              <w:rPr>
                <w:sz w:val="22"/>
              </w:rPr>
            </w:pPr>
            <w:r>
              <w:rPr>
                <w:sz w:val="22"/>
              </w:rPr>
              <w:t>-</w:t>
            </w:r>
          </w:p>
        </w:tc>
      </w:tr>
      <w:tr w:rsidR="006B7CB7" w:rsidRPr="00CA6CB6" w:rsidTr="00B209BA">
        <w:tc>
          <w:tcPr>
            <w:tcW w:w="0" w:type="auto"/>
          </w:tcPr>
          <w:p w:rsidR="006B7CB7" w:rsidRPr="008519A7" w:rsidRDefault="006B7CB7" w:rsidP="00B209BA">
            <w:pPr>
              <w:ind w:firstLine="0"/>
              <w:rPr>
                <w:sz w:val="22"/>
              </w:rPr>
            </w:pPr>
            <w:r>
              <w:rPr>
                <w:sz w:val="22"/>
              </w:rPr>
              <w:t>4.</w:t>
            </w:r>
          </w:p>
        </w:tc>
        <w:tc>
          <w:tcPr>
            <w:tcW w:w="0" w:type="auto"/>
            <w:vAlign w:val="center"/>
          </w:tcPr>
          <w:p w:rsidR="006B7CB7" w:rsidRPr="00CA6CB6" w:rsidRDefault="006B7CB7" w:rsidP="00B209BA">
            <w:pPr>
              <w:ind w:firstLine="0"/>
              <w:rPr>
                <w:sz w:val="22"/>
              </w:rPr>
            </w:pPr>
            <w:r w:rsidRPr="008519A7">
              <w:rPr>
                <w:sz w:val="22"/>
              </w:rPr>
              <w:t>Модуль питания PM160-220/12, 220V AC, 160W</w:t>
            </w:r>
          </w:p>
        </w:tc>
        <w:tc>
          <w:tcPr>
            <w:tcW w:w="0" w:type="auto"/>
          </w:tcPr>
          <w:p w:rsidR="006B7CB7" w:rsidRPr="00CA6CB6" w:rsidRDefault="006B7CB7" w:rsidP="00B209BA">
            <w:pPr>
              <w:ind w:firstLine="0"/>
              <w:rPr>
                <w:sz w:val="22"/>
              </w:rPr>
            </w:pPr>
            <w:r>
              <w:rPr>
                <w:sz w:val="22"/>
              </w:rPr>
              <w:t>Исполнение доходного договора</w:t>
            </w:r>
          </w:p>
        </w:tc>
        <w:tc>
          <w:tcPr>
            <w:tcW w:w="0" w:type="auto"/>
          </w:tcPr>
          <w:p w:rsidR="006B7CB7" w:rsidRPr="00721F03" w:rsidRDefault="006B7CB7" w:rsidP="00B209BA">
            <w:pPr>
              <w:ind w:firstLine="0"/>
              <w:rPr>
                <w:sz w:val="22"/>
              </w:rPr>
            </w:pPr>
            <w:r w:rsidRPr="00721F03">
              <w:rPr>
                <w:sz w:val="22"/>
              </w:rPr>
              <w:t>Сроки поставки товара – до 01.09.2026</w:t>
            </w:r>
          </w:p>
          <w:p w:rsidR="006B7CB7" w:rsidRPr="00721F03" w:rsidRDefault="006B7CB7" w:rsidP="00B209BA">
            <w:pPr>
              <w:ind w:firstLine="0"/>
              <w:rPr>
                <w:sz w:val="22"/>
              </w:rPr>
            </w:pPr>
            <w:r w:rsidRPr="00721F03">
              <w:rPr>
                <w:sz w:val="22"/>
              </w:rPr>
              <w:t xml:space="preserve">Аванс – </w:t>
            </w:r>
            <w:r>
              <w:rPr>
                <w:sz w:val="22"/>
              </w:rPr>
              <w:t>не предусмотрен</w:t>
            </w:r>
          </w:p>
          <w:p w:rsidR="006B7CB7" w:rsidRPr="00721F03" w:rsidRDefault="006B7CB7" w:rsidP="00B209BA">
            <w:pPr>
              <w:ind w:firstLine="0"/>
              <w:rPr>
                <w:sz w:val="22"/>
              </w:rPr>
            </w:pPr>
            <w:r w:rsidRPr="00721F03">
              <w:rPr>
                <w:sz w:val="22"/>
              </w:rPr>
              <w:t xml:space="preserve">Оплата в течение </w:t>
            </w:r>
            <w:r>
              <w:rPr>
                <w:sz w:val="22"/>
              </w:rPr>
              <w:t>30</w:t>
            </w:r>
            <w:r w:rsidRPr="00721F03">
              <w:rPr>
                <w:sz w:val="22"/>
              </w:rPr>
              <w:t xml:space="preserve"> календарных дней по факту подписания УПД</w:t>
            </w:r>
          </w:p>
          <w:p w:rsidR="006B7CB7" w:rsidRDefault="006B7CB7" w:rsidP="00B209BA">
            <w:pPr>
              <w:ind w:firstLine="0"/>
              <w:rPr>
                <w:sz w:val="22"/>
              </w:rPr>
            </w:pPr>
            <w:r w:rsidRPr="00721F03">
              <w:rPr>
                <w:sz w:val="22"/>
              </w:rPr>
              <w:t>Гарантийный срок – не менее 36 месяцев с момента ввода оборудования в эксплуатацию</w:t>
            </w:r>
          </w:p>
          <w:p w:rsidR="006B7CB7" w:rsidRPr="00721F03" w:rsidRDefault="006B7CB7" w:rsidP="00B209BA">
            <w:pPr>
              <w:ind w:firstLine="0"/>
              <w:rPr>
                <w:sz w:val="22"/>
              </w:rPr>
            </w:pPr>
            <w:r>
              <w:rPr>
                <w:sz w:val="22"/>
              </w:rPr>
              <w:t>Техническая поддержка 24*7 36 месяцев</w:t>
            </w:r>
          </w:p>
          <w:p w:rsidR="006B7CB7" w:rsidRPr="008519A7" w:rsidRDefault="006B7CB7" w:rsidP="00B209BA">
            <w:pPr>
              <w:ind w:firstLine="0"/>
              <w:jc w:val="left"/>
              <w:rPr>
                <w:sz w:val="22"/>
              </w:rPr>
            </w:pPr>
            <w:r w:rsidRPr="00721F03">
              <w:rPr>
                <w:sz w:val="22"/>
              </w:rPr>
              <w:lastRenderedPageBreak/>
              <w:t>Результатом поставки оборудования и материалов для СКС, является доведение всего комплекса оборудования до доступности из корпоративной сети передачи данных</w:t>
            </w:r>
          </w:p>
        </w:tc>
        <w:tc>
          <w:tcPr>
            <w:tcW w:w="0" w:type="auto"/>
            <w:vAlign w:val="center"/>
          </w:tcPr>
          <w:p w:rsidR="006B7CB7" w:rsidRPr="00CA6CB6" w:rsidRDefault="006B7CB7" w:rsidP="00B209BA">
            <w:pPr>
              <w:ind w:firstLine="0"/>
              <w:rPr>
                <w:sz w:val="22"/>
              </w:rPr>
            </w:pPr>
            <w:r w:rsidRPr="008519A7">
              <w:rPr>
                <w:sz w:val="22"/>
              </w:rPr>
              <w:lastRenderedPageBreak/>
              <w:t>Модуль питания PM160-220/12, 220V AC, 160W</w:t>
            </w:r>
          </w:p>
        </w:tc>
        <w:tc>
          <w:tcPr>
            <w:tcW w:w="0" w:type="auto"/>
          </w:tcPr>
          <w:p w:rsidR="006B7CB7" w:rsidRPr="00CA6CB6" w:rsidRDefault="006B7CB7" w:rsidP="00B209BA">
            <w:pPr>
              <w:ind w:firstLine="0"/>
              <w:rPr>
                <w:sz w:val="22"/>
              </w:rPr>
            </w:pPr>
            <w:r>
              <w:rPr>
                <w:sz w:val="22"/>
              </w:rPr>
              <w:t>8</w:t>
            </w:r>
          </w:p>
        </w:tc>
        <w:tc>
          <w:tcPr>
            <w:tcW w:w="0" w:type="auto"/>
          </w:tcPr>
          <w:p w:rsidR="006B7CB7" w:rsidRPr="00CA6CB6" w:rsidRDefault="006B7CB7" w:rsidP="00B209BA">
            <w:pPr>
              <w:ind w:firstLine="0"/>
              <w:rPr>
                <w:sz w:val="22"/>
              </w:rPr>
            </w:pPr>
            <w:r>
              <w:rPr>
                <w:sz w:val="22"/>
              </w:rPr>
              <w:t>РФ</w:t>
            </w:r>
          </w:p>
        </w:tc>
        <w:tc>
          <w:tcPr>
            <w:tcW w:w="0" w:type="auto"/>
          </w:tcPr>
          <w:p w:rsidR="006B7CB7" w:rsidRPr="00CA6CB6" w:rsidRDefault="006B7CB7" w:rsidP="00B209BA">
            <w:pPr>
              <w:ind w:firstLine="0"/>
              <w:rPr>
                <w:sz w:val="22"/>
              </w:rPr>
            </w:pPr>
            <w:r>
              <w:rPr>
                <w:sz w:val="22"/>
              </w:rPr>
              <w:t>-</w:t>
            </w:r>
          </w:p>
        </w:tc>
      </w:tr>
    </w:tbl>
    <w:p w:rsidR="006B7CB7" w:rsidRPr="006B7CB7" w:rsidRDefault="006B7CB7" w:rsidP="006B7CB7">
      <w:pPr>
        <w:jc w:val="center"/>
        <w:rPr>
          <w:rFonts w:ascii="Times New Roman" w:hAnsi="Times New Roman" w:cs="Times New Roman"/>
          <w:b/>
          <w:sz w:val="24"/>
          <w:szCs w:val="24"/>
        </w:rPr>
      </w:pPr>
      <w:bookmarkStart w:id="0" w:name="_GoBack"/>
      <w:bookmarkEnd w:id="0"/>
    </w:p>
    <w:sectPr w:rsidR="006B7CB7" w:rsidRPr="006B7CB7" w:rsidSect="006B7CB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CB7" w:rsidRDefault="006B7CB7" w:rsidP="006B7CB7">
      <w:pPr>
        <w:spacing w:after="0" w:line="240" w:lineRule="auto"/>
      </w:pPr>
      <w:r>
        <w:separator/>
      </w:r>
    </w:p>
  </w:endnote>
  <w:endnote w:type="continuationSeparator" w:id="0">
    <w:p w:rsidR="006B7CB7" w:rsidRDefault="006B7CB7" w:rsidP="006B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CB7" w:rsidRDefault="006B7CB7" w:rsidP="006B7CB7">
      <w:pPr>
        <w:spacing w:after="0" w:line="240" w:lineRule="auto"/>
      </w:pPr>
      <w:r>
        <w:separator/>
      </w:r>
    </w:p>
  </w:footnote>
  <w:footnote w:type="continuationSeparator" w:id="0">
    <w:p w:rsidR="006B7CB7" w:rsidRDefault="006B7CB7" w:rsidP="006B7CB7">
      <w:pPr>
        <w:spacing w:after="0" w:line="240" w:lineRule="auto"/>
      </w:pPr>
      <w:r>
        <w:continuationSeparator/>
      </w:r>
    </w:p>
  </w:footnote>
  <w:footnote w:id="1">
    <w:p w:rsidR="006B7CB7" w:rsidRDefault="006B7CB7" w:rsidP="006B7CB7">
      <w:pPr>
        <w:pStyle w:val="a4"/>
        <w:jc w:val="both"/>
      </w:pPr>
      <w:r>
        <w:rPr>
          <w:rStyle w:val="a6"/>
        </w:rPr>
        <w:footnoteRef/>
      </w:r>
      <w:r>
        <w:t xml:space="preserve"> Номер реестровой записи указывается в случае, если предлагаемый к поставке товар/ПО включен в реестр</w:t>
      </w:r>
      <w:r w:rsidRPr="00E50317">
        <w:t xml:space="preserve"> </w:t>
      </w:r>
      <w:r w:rsidRPr="00702A6B">
        <w:t>промышленной продукции</w:t>
      </w:r>
      <w:r>
        <w:t>,</w:t>
      </w:r>
      <w:r w:rsidRPr="00702A6B">
        <w:t xml:space="preserve"> произведенной на территории РФ</w:t>
      </w:r>
      <w:r>
        <w:t>,</w:t>
      </w:r>
      <w:r w:rsidRPr="00702A6B">
        <w:t xml:space="preserve"> </w:t>
      </w:r>
      <w:r>
        <w:t>или реестр</w:t>
      </w:r>
      <w:r w:rsidRPr="00E50317">
        <w:t xml:space="preserve"> </w:t>
      </w:r>
      <w:r w:rsidRPr="00702A6B">
        <w:t>промышленной продукции</w:t>
      </w:r>
      <w:r>
        <w:t xml:space="preserve">, произведенной </w:t>
      </w:r>
      <w:r w:rsidRPr="00702A6B">
        <w:t>на территории государства - члена Евразийского экономического союза, за исключением Российской Федерации</w:t>
      </w:r>
      <w:r>
        <w:t xml:space="preserve">, </w:t>
      </w:r>
      <w:r w:rsidRPr="00702A6B">
        <w:t>предусмотренн</w:t>
      </w:r>
      <w:r>
        <w:t xml:space="preserve">ые </w:t>
      </w:r>
      <w:r w:rsidRPr="00702A6B">
        <w:t xml:space="preserve">постановлением Правительства РФ № 616 </w:t>
      </w:r>
      <w:r>
        <w:t>/ в</w:t>
      </w:r>
      <w:r w:rsidRPr="00702A6B">
        <w:t xml:space="preserve"> единый реестр российской радиоэлектронной продукции</w:t>
      </w:r>
      <w:r>
        <w:t xml:space="preserve">, </w:t>
      </w:r>
      <w:r w:rsidRPr="00702A6B">
        <w:t>предусмотренный постановлением Правительства РФ № 878</w:t>
      </w:r>
      <w:r>
        <w:t>/</w:t>
      </w:r>
      <w:r w:rsidRPr="00CA6CB6">
        <w:t>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предусмотренные Постановление № 1236.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B7"/>
    <w:rsid w:val="00291EFE"/>
    <w:rsid w:val="006B7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FB0A"/>
  <w15:chartTrackingRefBased/>
  <w15:docId w15:val="{49E67393-A06A-4566-BBA0-EB89C472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CB7"/>
    <w:pPr>
      <w:spacing w:after="0" w:line="240" w:lineRule="auto"/>
      <w:ind w:firstLine="709"/>
      <w:jc w:val="both"/>
    </w:pPr>
    <w:rPr>
      <w:rFonts w:ascii="Times New Roman"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nhideWhenUsed/>
    <w:qFormat/>
    <w:rsid w:val="006B7CB7"/>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rsid w:val="006B7CB7"/>
    <w:rPr>
      <w:rFonts w:ascii="Times New Roman" w:eastAsia="Times New Roman" w:hAnsi="Times New Roman" w:cs="Times New Roman"/>
      <w:sz w:val="20"/>
      <w:szCs w:val="20"/>
      <w:lang w:eastAsia="ru-RU"/>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nhideWhenUsed/>
    <w:qFormat/>
    <w:rsid w:val="006B7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7173-D752-40DC-8B93-CE5809A7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Сенченко Юлия Викторовна</dc:creator>
  <cp:keywords/>
  <dc:description/>
  <cp:lastModifiedBy>Сенченко Юлия Викторовна</cp:lastModifiedBy>
  <cp:revision>1</cp:revision>
  <dcterms:created xsi:type="dcterms:W3CDTF">2026-04-29T03:48:00Z</dcterms:created>
  <dcterms:modified xsi:type="dcterms:W3CDTF">2026-04-29T03:49:00Z</dcterms:modified>
</cp:coreProperties>
</file>