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11"/>
        <w:widowControl/>
        <w:ind w:hanging="0" w:start="0" w:end="0"/>
        <w:jc w:val="center"/>
        <w:rPr>
          <w:b/>
        </w:rPr>
      </w:pPr>
      <w:r>
        <w:rPr>
          <w:b/>
        </w:rPr>
        <w:t>ТЕХНИЧЕСКОЕ ЗАДАНИЕ</w:t>
      </w:r>
    </w:p>
    <w:p>
      <w:pPr>
        <w:pStyle w:val="211"/>
        <w:widowControl/>
        <w:ind w:hanging="0" w:start="0" w:end="0"/>
        <w:jc w:val="center"/>
        <w:rPr>
          <w:b/>
        </w:rPr>
      </w:pPr>
      <w:r>
        <w:rPr>
          <w:b/>
        </w:rPr>
      </w:r>
    </w:p>
    <w:p>
      <w:pPr>
        <w:pStyle w:val="211"/>
        <w:widowControl/>
        <w:ind w:hanging="0" w:start="0" w:end="0"/>
        <w:jc w:val="center"/>
        <w:rPr>
          <w:b/>
          <w:sz w:val="26"/>
        </w:rPr>
      </w:pPr>
      <w:bookmarkStart w:id="0" w:name="_Hlk130554486"/>
      <w:r>
        <w:rPr>
          <w:b/>
          <w:sz w:val="26"/>
        </w:rPr>
        <w:t xml:space="preserve">на поставку </w:t>
      </w:r>
      <w:bookmarkEnd w:id="0"/>
      <w:r>
        <w:rPr>
          <w:b/>
          <w:sz w:val="26"/>
        </w:rPr>
        <w:t>запасных частей, инструментов и принадлежностей к муниципальной системе оповещения населения на территории Кемеровской области-Кузбасса</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r>
        <w:br w:type="page"/>
      </w:r>
    </w:p>
    <w:p>
      <w:pPr>
        <w:pStyle w:val="Normal"/>
        <w:spacing w:before="0" w:after="160"/>
        <w:rPr>
          <w:rFonts w:ascii="Times New Roman" w:hAnsi="Times New Roman"/>
          <w:sz w:val="24"/>
        </w:rPr>
      </w:pPr>
      <w:r>
        <w:rPr>
          <w:rFonts w:ascii="Times New Roman" w:hAnsi="Times New Roman"/>
          <w:sz w:val="24"/>
        </w:rPr>
      </w:r>
    </w:p>
    <w:p>
      <w:pPr>
        <w:pStyle w:val="ListParagraph1"/>
        <w:widowControl/>
        <w:numPr>
          <w:ilvl w:val="0"/>
          <w:numId w:val="1"/>
        </w:numPr>
        <w:ind w:firstLine="567" w:start="0" w:end="0"/>
        <w:jc w:val="center"/>
        <w:rPr>
          <w:rFonts w:ascii="Times New Roman" w:hAnsi="Times New Roman"/>
          <w:sz w:val="26"/>
        </w:rPr>
      </w:pPr>
      <w:r>
        <w:rPr>
          <w:rFonts w:ascii="Times New Roman" w:hAnsi="Times New Roman"/>
          <w:b/>
          <w:sz w:val="26"/>
        </w:rPr>
        <w:t>Условия поставки</w:t>
      </w:r>
    </w:p>
    <w:p>
      <w:pPr>
        <w:pStyle w:val="ListParagraph1"/>
        <w:widowControl/>
        <w:numPr>
          <w:ilvl w:val="0"/>
          <w:numId w:val="2"/>
        </w:numPr>
        <w:ind w:firstLine="567" w:start="0" w:end="0"/>
        <w:jc w:val="both"/>
        <w:rPr>
          <w:rFonts w:ascii="Times New Roman" w:hAnsi="Times New Roman"/>
          <w:sz w:val="26"/>
        </w:rPr>
      </w:pPr>
      <w:r>
        <w:rPr>
          <w:rFonts w:ascii="Times New Roman" w:hAnsi="Times New Roman"/>
          <w:sz w:val="26"/>
        </w:rPr>
        <w:t xml:space="preserve"> </w:t>
      </w:r>
      <w:r>
        <w:rPr>
          <w:rFonts w:ascii="Times New Roman" w:hAnsi="Times New Roman"/>
          <w:sz w:val="26"/>
        </w:rPr>
        <w:t>Все оборудование, поставляемое в рамках Договора, должно быть новым, неподержанным, собранным из новых комплектующих. Оборудование должно быть серийного производства и состоять из серийно выпускаемых компонентов. Оборудование не должно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 при соблюдении Заказчиком правил эксплуатации. Условием поставки товара является наличие сертификатов соответствия или заверенных должным образом их копий, которые предоставляются заказчику при поставке товара.</w:t>
      </w:r>
    </w:p>
    <w:p>
      <w:pPr>
        <w:pStyle w:val="NoSpacing1"/>
        <w:widowControl/>
        <w:numPr>
          <w:ilvl w:val="0"/>
          <w:numId w:val="1"/>
        </w:numPr>
        <w:ind w:hanging="360" w:start="720" w:end="0"/>
        <w:jc w:val="center"/>
        <w:rPr>
          <w:rFonts w:ascii="Times New Roman" w:hAnsi="Times New Roman"/>
          <w:sz w:val="26"/>
        </w:rPr>
      </w:pPr>
      <w:r>
        <w:rPr>
          <w:rFonts w:ascii="Times New Roman" w:hAnsi="Times New Roman"/>
          <w:b/>
          <w:sz w:val="26"/>
        </w:rPr>
        <w:t>Срок поставки товара</w:t>
      </w:r>
    </w:p>
    <w:p>
      <w:pPr>
        <w:pStyle w:val="14"/>
        <w:keepNext w:val="false"/>
        <w:keepLines w:val="false"/>
        <w:widowControl w:val="false"/>
        <w:numPr>
          <w:ilvl w:val="0"/>
          <w:numId w:val="3"/>
        </w:numPr>
        <w:ind w:firstLine="567" w:start="0" w:end="0"/>
        <w:rPr/>
      </w:pPr>
      <w:r>
        <w:rPr/>
        <w:t xml:space="preserve"> </w:t>
      </w:r>
      <w:r>
        <w:rPr/>
        <w:t>Срок поставки Товара: по каждой отдельной Заявке указывается в такой Заявке.</w:t>
      </w:r>
    </w:p>
    <w:p>
      <w:pPr>
        <w:pStyle w:val="ListParagraph1"/>
        <w:widowControl/>
        <w:ind w:hanging="0" w:start="567" w:end="0"/>
        <w:rPr>
          <w:rFonts w:ascii="Times New Roman" w:hAnsi="Times New Roman"/>
          <w:sz w:val="26"/>
        </w:rPr>
      </w:pPr>
      <w:r>
        <w:rPr>
          <w:rFonts w:ascii="Times New Roman" w:hAnsi="Times New Roman"/>
          <w:sz w:val="26"/>
        </w:rPr>
      </w:r>
    </w:p>
    <w:p>
      <w:pPr>
        <w:pStyle w:val="ListParagraph1"/>
        <w:widowControl/>
        <w:numPr>
          <w:ilvl w:val="0"/>
          <w:numId w:val="1"/>
        </w:numPr>
        <w:ind w:firstLine="567" w:start="0" w:end="0"/>
        <w:jc w:val="center"/>
        <w:rPr>
          <w:rFonts w:ascii="Times New Roman" w:hAnsi="Times New Roman"/>
          <w:sz w:val="26"/>
        </w:rPr>
      </w:pPr>
      <w:r>
        <w:rPr>
          <w:rFonts w:ascii="Times New Roman" w:hAnsi="Times New Roman"/>
          <w:b/>
          <w:sz w:val="26"/>
        </w:rPr>
        <w:t>Место поставки товара</w:t>
      </w:r>
    </w:p>
    <w:p>
      <w:pPr>
        <w:pStyle w:val="ListParagraph1"/>
        <w:widowControl/>
        <w:numPr>
          <w:ilvl w:val="0"/>
          <w:numId w:val="4"/>
        </w:numPr>
        <w:ind w:firstLine="567" w:start="0" w:end="0"/>
        <w:rPr>
          <w:rFonts w:ascii="Times New Roman" w:hAnsi="Times New Roman"/>
          <w:sz w:val="26"/>
        </w:rPr>
      </w:pPr>
      <w:r>
        <w:rPr>
          <w:rFonts w:ascii="Times New Roman" w:hAnsi="Times New Roman"/>
          <w:sz w:val="26"/>
        </w:rPr>
        <w:t xml:space="preserve"> </w:t>
      </w:r>
      <w:r>
        <w:rPr>
          <w:rFonts w:ascii="Times New Roman" w:hAnsi="Times New Roman"/>
          <w:sz w:val="26"/>
        </w:rPr>
        <w:t>Место поставки Товара: по каждой отдельной Заявке указывается в такой Заявке.</w:t>
      </w:r>
    </w:p>
    <w:p>
      <w:pPr>
        <w:pStyle w:val="ListParagraph1"/>
        <w:widowControl/>
        <w:numPr>
          <w:ilvl w:val="0"/>
          <w:numId w:val="4"/>
        </w:numPr>
        <w:ind w:firstLine="567" w:start="0" w:end="0"/>
        <w:rPr>
          <w:rFonts w:ascii="Times New Roman" w:hAnsi="Times New Roman"/>
          <w:sz w:val="26"/>
        </w:rPr>
      </w:pPr>
      <w:r>
        <w:rPr>
          <w:rFonts w:ascii="Times New Roman" w:hAnsi="Times New Roman"/>
          <w:sz w:val="26"/>
        </w:rPr>
        <w:t xml:space="preserve"> </w:t>
      </w:r>
      <w:r>
        <w:rPr>
          <w:rFonts w:ascii="Times New Roman" w:hAnsi="Times New Roman"/>
          <w:sz w:val="26"/>
        </w:rPr>
        <w:t>Доставка и разгрузка товара производится транспортом и силами поставщика.</w:t>
      </w:r>
    </w:p>
    <w:p>
      <w:pPr>
        <w:pStyle w:val="ListParagraph1"/>
        <w:widowControl/>
        <w:numPr>
          <w:ilvl w:val="0"/>
          <w:numId w:val="4"/>
        </w:numPr>
        <w:ind w:firstLine="567" w:start="0" w:end="0"/>
        <w:rPr>
          <w:rFonts w:ascii="Times New Roman" w:hAnsi="Times New Roman"/>
          <w:sz w:val="26"/>
        </w:rPr>
      </w:pPr>
      <w:r>
        <w:rPr>
          <w:rFonts w:ascii="Times New Roman" w:hAnsi="Times New Roman"/>
          <w:sz w:val="26"/>
        </w:rPr>
        <w:t xml:space="preserve"> </w:t>
      </w:r>
      <w:r>
        <w:rPr>
          <w:rFonts w:ascii="Times New Roman" w:hAnsi="Times New Roman"/>
          <w:sz w:val="26"/>
        </w:rPr>
        <w:t>Поставка товара осуществляется одной партией.</w:t>
      </w:r>
    </w:p>
    <w:p>
      <w:pPr>
        <w:pStyle w:val="211"/>
        <w:rPr>
          <w:sz w:val="26"/>
        </w:rPr>
      </w:pPr>
      <w:r>
        <w:rPr>
          <w:b/>
          <w:sz w:val="24"/>
        </w:rPr>
      </w:r>
    </w:p>
    <w:p>
      <w:pPr>
        <w:pStyle w:val="ListParagraph1"/>
        <w:widowControl/>
        <w:numPr>
          <w:ilvl w:val="0"/>
          <w:numId w:val="1"/>
        </w:numPr>
        <w:ind w:firstLine="567" w:start="0" w:end="0"/>
        <w:jc w:val="center"/>
        <w:rPr>
          <w:rFonts w:ascii="Times New Roman" w:hAnsi="Times New Roman"/>
          <w:b/>
          <w:sz w:val="26"/>
        </w:rPr>
      </w:pPr>
      <w:r>
        <w:rPr>
          <w:rFonts w:ascii="Times New Roman" w:hAnsi="Times New Roman"/>
          <w:b/>
          <w:sz w:val="26"/>
        </w:rPr>
        <w:t>Требования к Товару</w:t>
        <w:tab/>
      </w:r>
    </w:p>
    <w:p>
      <w:pPr>
        <w:pStyle w:val="ListParagraph1"/>
        <w:widowControl/>
        <w:ind w:hanging="0" w:start="567" w:end="0"/>
        <w:rPr>
          <w:rFonts w:ascii="Times New Roman" w:hAnsi="Times New Roman"/>
          <w:b/>
          <w:sz w:val="26"/>
        </w:rPr>
      </w:pPr>
      <w:r>
        <w:rPr>
          <w:rFonts w:ascii="Times New Roman" w:hAnsi="Times New Roman"/>
          <w:b/>
          <w:sz w:val="26"/>
        </w:rPr>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 </w:t>
      </w:r>
      <w:r>
        <w:rPr>
          <w:rFonts w:ascii="Times New Roman" w:hAnsi="Times New Roman"/>
          <w:sz w:val="26"/>
        </w:rPr>
        <w:t>Гарантийный срок на поставляемый товар должен составлять не менее 12 месяцев. Началом гарантийного периода является дата подписания документа о приемке.</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Весь поставляемый Товар должен быть новым, то есть не бывшим в употреблении или ремонте, не восстановленным (у которого не была осуществлена замена составных частей), не были восстановлены потребительские свойства. Товар должен быть изготовленным не ранее 2021 года. Товар не должен иметь внешних и внутренних повреждений.</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Товар должен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Качество поставляемого Товара должно соответствовать требованиям действующего законодательства Российской Федерации, включая:</w:t>
      </w:r>
    </w:p>
    <w:p>
      <w:pPr>
        <w:pStyle w:val="ListParagraph1"/>
        <w:widowControl/>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Технический регламент Таможенного союза ТР ТС 004/2011 «О безопасности низковольтного оборудования»;</w:t>
      </w:r>
    </w:p>
    <w:p>
      <w:pPr>
        <w:pStyle w:val="ListParagraph1"/>
        <w:widowControl/>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Технический регламент Таможенного союза ТР ТС 020/2011 «Электромагнитная совместимость технических средств»;</w:t>
      </w:r>
    </w:p>
    <w:p>
      <w:pPr>
        <w:pStyle w:val="ListParagraph1"/>
        <w:widowControl/>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а также иным нормативным документам, применимым к данному виду оборудования.</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Товар должен иметь документы, подтверждающие его соответствие установленным требованиям (декларации о соответствии и/или сертификаты соответствия), в случаях, предусмотренных законодательством Российской Федерации.</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Весь поставляемый Товар должен быть работоспособным и обеспечивать предусмотренную производителем функциональность. </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Товар должен быть надлежащего качества, комплектности и должен соответствовать всем установленным законодательством Российской Федерации требованиям, обычно предъявляемым к продукции подобного рода.</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Товар должен иметь соответствующие сертификаты в случае, если данный Товар подлежит обязательной сертификации в соответствии с действующим законодательством Российской Федерации.</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Каждая единица Товара должна сопровождаться оформленным гарантийным талоном или аналогичным документом, с указанием заводских (серийных) номеров Товара и гарантийного периода.</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Каждая единица оборудования должна сопровождаться документацией на русском языке, позволяющей обеспечить каждодневную работу пользователя. Также каждая единица оборудования должна сопровождаться руководством пользователя. Техническая документация также должна быть представлена на русском языке. Все драйверы и настроечные утилиты, необходимые для эксплуатации оборудования, должны присутствовать в составе стандартной поставке.</w:t>
      </w:r>
    </w:p>
    <w:p>
      <w:pPr>
        <w:pStyle w:val="ListParagraph1"/>
        <w:widowControl/>
        <w:numPr>
          <w:ilvl w:val="0"/>
          <w:numId w:val="5"/>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Поставляемое оборудование (ЗИП) должно быть полностью совместимым с существующей системой оповещения населения МСОН, построенной на базе П-166 ИТК ОС </w:t>
      </w:r>
      <w:r>
        <w:rPr/>
        <w:t>(</w:t>
      </w:r>
      <w:r>
        <w:rPr>
          <w:rFonts w:ascii="Times New Roman" w:hAnsi="Times New Roman"/>
          <w:sz w:val="26"/>
        </w:rPr>
        <w:t>производства ООО «Инком» г. Томск)</w:t>
      </w:r>
      <w:bookmarkStart w:id="1" w:name="_GoBack"/>
      <w:bookmarkEnd w:id="1"/>
      <w:r>
        <w:rPr>
          <w:rFonts w:ascii="Times New Roman" w:hAnsi="Times New Roman"/>
          <w:sz w:val="26"/>
        </w:rPr>
        <w:t>. Совместимость подтверждается:</w:t>
      </w:r>
    </w:p>
    <w:p>
      <w:pPr>
        <w:pStyle w:val="ListParagraph1"/>
        <w:widowControl/>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возможностью прямой замены без доработок, перепрограммирования или изменения конфигурации системы; </w:t>
      </w:r>
    </w:p>
    <w:p>
      <w:pPr>
        <w:pStyle w:val="ListParagraph1"/>
        <w:widowControl/>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сохранением всех функциональных характеристик и параметров системы оповещения после установки; </w:t>
      </w:r>
    </w:p>
    <w:p>
      <w:pPr>
        <w:pStyle w:val="ListParagraph1"/>
        <w:widowControl/>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 </w:t>
      </w:r>
      <w:r>
        <w:rPr>
          <w:rFonts w:ascii="Times New Roman" w:hAnsi="Times New Roman"/>
          <w:sz w:val="26"/>
        </w:rPr>
        <w:t>соответствием интерфейсам, протоколам обмена данными и электрическим параметрам существующего оборудования П-166 ИТК ОС</w:t>
      </w:r>
    </w:p>
    <w:p>
      <w:pPr>
        <w:pStyle w:val="Normal"/>
        <w:widowControl/>
        <w:spacing w:lineRule="auto" w:line="240" w:before="0" w:after="0"/>
        <w:rPr>
          <w:rFonts w:ascii="Times New Roman" w:hAnsi="Times New Roman"/>
          <w:sz w:val="26"/>
        </w:rPr>
      </w:pPr>
      <w:r>
        <w:rPr>
          <w:rFonts w:ascii="Times New Roman" w:hAnsi="Times New Roman"/>
          <w:sz w:val="26"/>
        </w:rPr>
      </w:r>
    </w:p>
    <w:p>
      <w:pPr>
        <w:pStyle w:val="ListParagraph1"/>
        <w:widowControl/>
        <w:numPr>
          <w:ilvl w:val="0"/>
          <w:numId w:val="1"/>
        </w:numPr>
        <w:ind w:firstLine="567" w:start="0" w:end="0"/>
        <w:jc w:val="center"/>
        <w:rPr>
          <w:rFonts w:ascii="Times New Roman" w:hAnsi="Times New Roman"/>
          <w:sz w:val="26"/>
        </w:rPr>
      </w:pPr>
      <w:r>
        <w:rPr>
          <w:rFonts w:ascii="Times New Roman" w:hAnsi="Times New Roman"/>
          <w:b/>
          <w:sz w:val="26"/>
        </w:rPr>
        <w:t>Требования к объему гарантийного обслуживания</w:t>
      </w:r>
    </w:p>
    <w:p>
      <w:pPr>
        <w:pStyle w:val="Normal"/>
        <w:widowControl/>
        <w:jc w:val="center"/>
        <w:rPr>
          <w:rFonts w:ascii="Times New Roman" w:hAnsi="Times New Roman"/>
          <w:sz w:val="26"/>
        </w:rPr>
      </w:pPr>
      <w:r>
        <w:rPr>
          <w:rFonts w:ascii="Times New Roman" w:hAnsi="Times New Roman"/>
          <w:sz w:val="26"/>
        </w:rPr>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Срок предоставления гарантии качества Товара в соответствии со сроком, установленным производителем, но не менее 12 месяцев с даты приемки Заказчиком Товара в полном объеме, при соблюдении условий эксплуатации.</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Гарантия должна включать замену неисправных компонентов и работы по ремонту. </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Доставка до сервисного центра и обратно в течение гарантийного срока должна осуществляться за счет Поставщика (или указанного Поставщиком сервисного центра).</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 xml:space="preserve">Неисправный Товар передается Поставщику (или указанному Поставщиком сервисному центру) для проведения ремонта, после чего всю ответственность за его сохранность и техническое состояние несет Поставщик (или указанный Поставщиком сервисный центр) до момента возврата отремонтированного Товара Заказчику. Срок гарантийного ремонта – не более двух недель, в случае превышения срока ремонта Поставщиком производится замена оборудование на аналогичное. На Товар, переданный взамен неисправного, распространяются все условия по гарантийному обслуживанию Товара. </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Если в течение гарантийного срока обнаруживаются неустранимые недостатки (дефекты) Товара, не связанные с неправильной эксплуатацией Товара, его хранением, действиями третьих лиц или непреодолимой силы, то Поставщик обязан заменить Товар в течение 20 (Двадцати) рабочих дней, с момента поступления телефонной, электронной либо письменной заявки от Заказчика.</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Поставщик (или указанный Поставщиком сервисный центр) должен обеспечить работоспособность Товара в гарантийный период без дополнительных расходов со стороны Заказчика при условии соблюдения Заказчиком условий эксплуатации, установленных производителем.</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Все запасные части, которые Поставщик устанавливает на Товар в течение гарантийного периода, должны быть произведены и сертифицированы тем же производителем, что и исходные комплектующие Товара, и иметь не худшие технические характеристики.</w:t>
      </w:r>
    </w:p>
    <w:p>
      <w:pPr>
        <w:pStyle w:val="ListParagraph1"/>
        <w:widowControl/>
        <w:numPr>
          <w:ilvl w:val="0"/>
          <w:numId w:val="6"/>
        </w:numPr>
        <w:tabs>
          <w:tab w:val="clear" w:pos="708"/>
          <w:tab w:val="left" w:pos="851" w:leader="none"/>
        </w:tabs>
        <w:spacing w:lineRule="auto" w:line="240" w:before="0" w:after="0"/>
        <w:ind w:firstLine="567" w:start="0" w:end="0"/>
        <w:contextualSpacing/>
        <w:jc w:val="both"/>
        <w:rPr>
          <w:rFonts w:ascii="Times New Roman" w:hAnsi="Times New Roman"/>
          <w:sz w:val="26"/>
        </w:rPr>
      </w:pPr>
      <w:r>
        <w:rPr>
          <w:rFonts w:ascii="Times New Roman" w:hAnsi="Times New Roman"/>
          <w:sz w:val="26"/>
        </w:rPr>
        <w:t>В случае если в течение гарантийного срока происходит третий случай гарантийного ремонта одной единицы Товара, Поставщик обязан заменить данную единицу Товара на новую своими силами и за свой счет.</w:t>
      </w:r>
    </w:p>
    <w:p>
      <w:pPr>
        <w:pStyle w:val="Normal"/>
        <w:widowControl/>
        <w:jc w:val="center"/>
        <w:rPr>
          <w:rFonts w:ascii="Times New Roman" w:hAnsi="Times New Roman"/>
          <w:sz w:val="26"/>
        </w:rPr>
      </w:pPr>
      <w:r>
        <w:rPr>
          <w:rFonts w:ascii="Times New Roman" w:hAnsi="Times New Roman"/>
          <w:sz w:val="24"/>
        </w:rPr>
      </w:r>
    </w:p>
    <w:p>
      <w:pPr>
        <w:pStyle w:val="Normal"/>
        <w:widowControl/>
        <w:spacing w:before="120" w:after="120"/>
        <w:ind w:firstLine="482" w:start="0" w:end="0"/>
        <w:jc w:val="end"/>
        <w:rPr>
          <w:rFonts w:ascii="Times New Roman" w:hAnsi="Times New Roman"/>
          <w:sz w:val="24"/>
        </w:rPr>
      </w:pPr>
      <w:r>
        <w:rPr>
          <w:rFonts w:ascii="Times New Roman" w:hAnsi="Times New Roman"/>
          <w:sz w:val="24"/>
        </w:rPr>
        <w:t>Приложение № 1</w:t>
      </w:r>
    </w:p>
    <w:p>
      <w:pPr>
        <w:pStyle w:val="Normal"/>
        <w:widowControl/>
        <w:spacing w:before="120" w:after="120"/>
        <w:ind w:firstLine="482" w:start="0" w:end="0"/>
        <w:jc w:val="end"/>
        <w:rPr>
          <w:rFonts w:ascii="Times New Roman" w:hAnsi="Times New Roman"/>
          <w:sz w:val="24"/>
        </w:rPr>
      </w:pPr>
      <w:r>
        <w:rPr>
          <w:rFonts w:ascii="Times New Roman" w:hAnsi="Times New Roman"/>
          <w:sz w:val="24"/>
        </w:rPr>
        <w:t>к Техническому заданию</w:t>
      </w:r>
    </w:p>
    <w:p>
      <w:pPr>
        <w:pStyle w:val="Normal"/>
        <w:widowControl/>
        <w:spacing w:before="120" w:after="120"/>
        <w:ind w:firstLine="482" w:start="0" w:end="0"/>
        <w:jc w:val="both"/>
        <w:rPr>
          <w:rFonts w:ascii="Times New Roman" w:hAnsi="Times New Roman"/>
          <w:sz w:val="24"/>
        </w:rPr>
      </w:pPr>
      <w:r>
        <w:rPr>
          <w:rFonts w:ascii="Times New Roman" w:hAnsi="Times New Roman"/>
          <w:sz w:val="24"/>
        </w:rPr>
      </w:r>
    </w:p>
    <w:p>
      <w:pPr>
        <w:pStyle w:val="Normal"/>
        <w:widowControl/>
        <w:spacing w:before="120" w:after="120"/>
        <w:ind w:firstLine="482" w:start="0" w:end="0"/>
        <w:jc w:val="center"/>
        <w:rPr>
          <w:rFonts w:ascii="Times New Roman" w:hAnsi="Times New Roman"/>
          <w:b/>
          <w:sz w:val="26"/>
        </w:rPr>
      </w:pPr>
      <w:r>
        <w:rPr>
          <w:rFonts w:ascii="Times New Roman" w:hAnsi="Times New Roman"/>
          <w:b/>
          <w:sz w:val="26"/>
        </w:rPr>
        <w:t xml:space="preserve">Перечень поставляемого Товара </w:t>
      </w:r>
    </w:p>
    <w:p>
      <w:pPr>
        <w:pStyle w:val="Normal"/>
        <w:widowControl/>
        <w:tabs>
          <w:tab w:val="clear" w:pos="708"/>
          <w:tab w:val="left" w:pos="5490" w:leader="none"/>
        </w:tabs>
        <w:spacing w:before="120" w:after="120"/>
        <w:ind w:firstLine="482" w:start="0" w:end="0"/>
        <w:rPr>
          <w:rFonts w:ascii="Times New Roman" w:hAnsi="Times New Roman"/>
          <w:sz w:val="24"/>
        </w:rPr>
      </w:pPr>
      <w:r>
        <w:rPr>
          <w:rFonts w:ascii="Times New Roman" w:hAnsi="Times New Roman"/>
          <w:sz w:val="24"/>
        </w:rPr>
        <w:tab/>
      </w:r>
    </w:p>
    <w:tbl>
      <w:tblPr>
        <w:tblStyle w:val="Style_6"/>
        <w:tblW w:w="9493" w:type="dxa"/>
        <w:jc w:val="center"/>
        <w:tblInd w:w="0" w:type="dxa"/>
        <w:tblLayout w:type="fixed"/>
        <w:tblCellMar>
          <w:top w:w="0" w:type="dxa"/>
          <w:start w:w="108" w:type="dxa"/>
          <w:bottom w:w="0" w:type="dxa"/>
          <w:end w:w="108" w:type="dxa"/>
        </w:tblCellMar>
      </w:tblPr>
      <w:tblGrid>
        <w:gridCol w:w="431"/>
        <w:gridCol w:w="5659"/>
        <w:gridCol w:w="1137"/>
        <w:gridCol w:w="2265"/>
      </w:tblGrid>
      <w:tr>
        <w:trPr>
          <w:trHeight w:val="624" w:hRule="exact"/>
        </w:trPr>
        <w:tc>
          <w:tcPr>
            <w:tcW w:w="43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w:t>
            </w:r>
          </w:p>
        </w:tc>
        <w:tc>
          <w:tcPr>
            <w:tcW w:w="5659"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Наименование Товара</w:t>
            </w:r>
          </w:p>
        </w:tc>
        <w:tc>
          <w:tcPr>
            <w:tcW w:w="1137"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Кол- во, шт</w:t>
            </w:r>
          </w:p>
        </w:tc>
        <w:tc>
          <w:tcPr>
            <w:tcW w:w="2265" w:type="dxa"/>
            <w:tcBorders>
              <w:top w:val="single" w:sz="4" w:space="0" w:color="000000"/>
              <w:start w:val="single" w:sz="4" w:space="0" w:color="000000"/>
              <w:bottom w:val="single" w:sz="4" w:space="0" w:color="000000"/>
              <w:end w:val="single" w:sz="4" w:space="0" w:color="000000"/>
            </w:tcBorders>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Адрес поставки</w:t>
            </w:r>
          </w:p>
        </w:tc>
      </w:tr>
      <w:tr>
        <w:trPr>
          <w:trHeight w:val="624" w:hRule="exact"/>
        </w:trPr>
        <w:tc>
          <w:tcPr>
            <w:tcW w:w="431" w:type="dxa"/>
            <w:tcBorders>
              <w:top w:val="single" w:sz="4" w:space="0" w:color="000000"/>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1</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Сирена С-40</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40</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2</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Модуль Isensor (МЕВК.467479.622 ТУ)</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40</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3</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Модуль UPS 60W (МЕВК.467479.719 ТУ)</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40</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4</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Модуль UZSR (МЕВК.467479.633 ТУ)</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40</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5</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Роутер IRZ RL</w:t>
            </w:r>
            <w:r>
              <w:rPr>
                <w:rFonts w:ascii="Times New Roman" w:hAnsi="Times New Roman"/>
                <w:color w:val="000000"/>
                <w:spacing w:val="0"/>
                <w:kern w:val="0"/>
                <w:sz w:val="22"/>
                <w:szCs w:val="20"/>
              </w:rPr>
              <w:t>01 4G</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78</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1172"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6</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 xml:space="preserve">Антенна "Антей-2600» </w:t>
            </w:r>
            <w:r>
              <w:rPr>
                <w:rFonts w:cs="Times New Roman" w:ascii="Times New Roman" w:hAnsi="Times New Roman"/>
                <w:color w:val="000000"/>
                <w:spacing w:val="0"/>
                <w:kern w:val="0"/>
                <w:sz w:val="24"/>
                <w:szCs w:val="20"/>
              </w:rPr>
              <w:t>с кабелем снижения 10м</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78</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7</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Маршрутизатор MikroTik RB750Gr3</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78</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8</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Цифровой блок управления запуском голосового оповещения П - 166 ИТК ОС КГО</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32</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9</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Цифровой блок управления запуском сирен П- 166 ИТК ОС УЭС</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40</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10</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 xml:space="preserve">Аккумулятор для П-166 ИТК ОС КГО </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36</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r>
        <w:trPr>
          <w:trHeight w:val="624" w:hRule="exact"/>
        </w:trPr>
        <w:tc>
          <w:tcPr>
            <w:tcW w:w="431" w:type="dxa"/>
            <w:tcBorders>
              <w:start w:val="single" w:sz="4" w:space="0" w:color="000000"/>
              <w:bottom w:val="single" w:sz="4" w:space="0" w:color="000000"/>
              <w:end w:val="single" w:sz="4" w:space="0" w:color="000000"/>
            </w:tcBorders>
            <w:shd w:fill="auto" w:val="clear"/>
            <w:vAlign w:val="center"/>
          </w:tcPr>
          <w:p>
            <w:pPr>
              <w:pStyle w:val="Normal"/>
              <w:widowControl/>
              <w:suppressAutoHyphens w:val="true"/>
              <w:bidi w:val="0"/>
              <w:spacing w:lineRule="auto" w:line="240" w:before="0" w:after="0"/>
              <w:ind w:hanging="0" w:start="-113" w:end="0"/>
              <w:jc w:val="center"/>
              <w:rPr>
                <w:rFonts w:ascii="Times New Roman" w:hAnsi="Times New Roman"/>
              </w:rPr>
            </w:pPr>
            <w:r>
              <w:rPr>
                <w:rFonts w:ascii="Times New Roman" w:hAnsi="Times New Roman"/>
                <w:color w:val="000000"/>
                <w:spacing w:val="0"/>
                <w:kern w:val="0"/>
                <w:sz w:val="22"/>
                <w:szCs w:val="20"/>
              </w:rPr>
              <w:t>11</w:t>
            </w:r>
          </w:p>
        </w:tc>
        <w:tc>
          <w:tcPr>
            <w:tcW w:w="5659"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Рупорный громкоговоритель 100ГР-З8Н</w:t>
            </w:r>
          </w:p>
        </w:tc>
        <w:tc>
          <w:tcPr>
            <w:tcW w:w="1137" w:type="dxa"/>
            <w:tcBorders>
              <w:bottom w:val="single" w:sz="4" w:space="0" w:color="000000"/>
              <w:end w:val="single" w:sz="4" w:space="0" w:color="000000"/>
            </w:tcBorders>
            <w:shd w:fill="auto" w:val="clear"/>
            <w:vAlign w:val="center"/>
          </w:tcPr>
          <w:p>
            <w:pPr>
              <w:pStyle w:val="Normal"/>
              <w:widowControl/>
              <w:suppressAutoHyphens w:val="true"/>
              <w:spacing w:lineRule="auto" w:line="240" w:before="0" w:after="0"/>
              <w:ind w:hanging="0" w:start="0" w:end="0"/>
              <w:jc w:val="center"/>
              <w:rPr>
                <w:rFonts w:ascii="Times New Roman" w:hAnsi="Times New Roman"/>
              </w:rPr>
            </w:pPr>
            <w:r>
              <w:rPr>
                <w:rFonts w:ascii="Times New Roman" w:hAnsi="Times New Roman"/>
                <w:color w:val="000000"/>
                <w:spacing w:val="0"/>
                <w:kern w:val="0"/>
                <w:sz w:val="22"/>
                <w:szCs w:val="20"/>
              </w:rPr>
              <w:t>180</w:t>
            </w:r>
          </w:p>
        </w:tc>
        <w:tc>
          <w:tcPr>
            <w:tcW w:w="2265" w:type="dxa"/>
            <w:tcBorders>
              <w:bottom w:val="single" w:sz="4" w:space="0" w:color="000000"/>
              <w:end w:val="single" w:sz="4" w:space="0" w:color="000000"/>
            </w:tcBorders>
            <w:vAlign w:val="center"/>
          </w:tcPr>
          <w:p>
            <w:pPr>
              <w:pStyle w:val="Normal"/>
              <w:widowControl/>
              <w:suppressAutoHyphens w:val="true"/>
              <w:spacing w:lineRule="auto" w:line="259" w:before="0" w:after="160"/>
              <w:ind w:hanging="0" w:start="0" w:end="0"/>
              <w:jc w:val="center"/>
              <w:rPr>
                <w:rFonts w:ascii="Times New Roman" w:hAnsi="Times New Roman"/>
              </w:rPr>
            </w:pPr>
            <w:r>
              <w:rPr>
                <w:rFonts w:ascii="Times New Roman" w:hAnsi="Times New Roman"/>
                <w:color w:val="000000"/>
                <w:spacing w:val="0"/>
                <w:kern w:val="0"/>
                <w:sz w:val="22"/>
                <w:szCs w:val="20"/>
              </w:rPr>
              <w:t>Согласно Заявки на поставку Товара</w:t>
            </w:r>
          </w:p>
        </w:tc>
      </w:tr>
    </w:tbl>
    <w:p>
      <w:pPr>
        <w:pStyle w:val="Normal"/>
        <w:widowControl/>
        <w:tabs>
          <w:tab w:val="clear" w:pos="708"/>
          <w:tab w:val="left" w:pos="5490" w:leader="none"/>
        </w:tabs>
        <w:spacing w:before="120" w:after="120"/>
        <w:ind w:firstLine="482" w:start="0" w:end="0"/>
        <w:rPr>
          <w:rFonts w:ascii="Times New Roman" w:hAnsi="Times New Roman"/>
          <w:sz w:val="24"/>
        </w:rPr>
      </w:pPr>
      <w:r>
        <w:rPr>
          <w:rFonts w:ascii="Times New Roman" w:hAnsi="Times New Roman"/>
          <w:sz w:val="24"/>
        </w:rPr>
      </w:r>
    </w:p>
    <w:p>
      <w:pPr>
        <w:pStyle w:val="Normal"/>
        <w:widowControl/>
        <w:spacing w:before="120" w:after="120"/>
        <w:ind w:firstLine="482" w:start="0" w:end="0"/>
        <w:jc w:val="center"/>
        <w:rPr>
          <w:rFonts w:ascii="Times New Roman" w:hAnsi="Times New Roman"/>
          <w:sz w:val="24"/>
        </w:rPr>
      </w:pPr>
      <w:r>
        <w:rPr>
          <w:rFonts w:ascii="Times New Roman" w:hAnsi="Times New Roman"/>
          <w:sz w:val="24"/>
        </w:rPr>
        <w:t xml:space="preserve">*Информация о количестве Товара имеет информационно-справочный характер и приведена исходя из планируемого к приобретению Заказчиком объема Товара. </w:t>
      </w:r>
    </w:p>
    <w:p>
      <w:pPr>
        <w:pStyle w:val="Normal"/>
        <w:widowControl/>
        <w:spacing w:before="120" w:after="120"/>
        <w:ind w:firstLine="482" w:start="0" w:end="0"/>
        <w:jc w:val="center"/>
        <w:rPr>
          <w:rFonts w:ascii="Times New Roman" w:hAnsi="Times New Roman"/>
          <w:sz w:val="24"/>
        </w:rPr>
      </w:pPr>
      <w:r>
        <w:rPr>
          <w:rFonts w:ascii="Times New Roman" w:hAnsi="Times New Roman"/>
          <w:sz w:val="24"/>
        </w:rPr>
        <w:t>Указание количества Товара не налагает на Заказчика обязательств по приобретению Товара в полном объёме, указанном в настоящем Приложении.</w:t>
      </w:r>
    </w:p>
    <w:sectPr>
      <w:type w:val="nextPage"/>
      <w:pgSz w:w="11906" w:h="16838"/>
      <w:pgMar w:left="1276"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XO Thames">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1."/>
      <w:lvlJc w:val="start"/>
      <w:pPr>
        <w:tabs>
          <w:tab w:val="num" w:pos="0"/>
        </w:tabs>
        <w:ind w:start="1287" w:hanging="360"/>
      </w:pPr>
      <w:rPr>
        <w:sz w:val="24"/>
        <w:rFonts w:ascii="Times New Roman" w:hAnsi="Times New Roman"/>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3">
    <w:lvl w:ilvl="0">
      <w:start w:val="1"/>
      <w:numFmt w:val="decimal"/>
      <w:lvlText w:val="2.%1."/>
      <w:lvlJc w:val="start"/>
      <w:pPr>
        <w:tabs>
          <w:tab w:val="num" w:pos="0"/>
        </w:tabs>
        <w:ind w:start="1287" w:hanging="360"/>
      </w:pPr>
      <w:rPr>
        <w:sz w:val="24"/>
        <w:rFonts w:ascii="Times New Roman" w:hAnsi="Times New Roman"/>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4">
    <w:lvl w:ilvl="0">
      <w:start w:val="1"/>
      <w:numFmt w:val="decimal"/>
      <w:lvlText w:val="3.%1."/>
      <w:lvlJc w:val="start"/>
      <w:pPr>
        <w:tabs>
          <w:tab w:val="num" w:pos="0"/>
        </w:tabs>
        <w:ind w:start="1287" w:hanging="360"/>
      </w:pPr>
      <w:rPr>
        <w:sz w:val="24"/>
        <w:rFonts w:ascii="Times New Roman" w:hAnsi="Times New Roman"/>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5">
    <w:lvl w:ilvl="0">
      <w:start w:val="1"/>
      <w:numFmt w:val="decimal"/>
      <w:lvlText w:val="4.%1."/>
      <w:lvlJc w:val="start"/>
      <w:pPr>
        <w:tabs>
          <w:tab w:val="num" w:pos="0"/>
        </w:tabs>
        <w:ind w:start="1287" w:hanging="360"/>
      </w:pPr>
      <w:rPr>
        <w:sz w:val="24"/>
        <w:rFonts w:ascii="Times New Roman" w:hAnsi="Times New Roman"/>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6">
    <w:lvl w:ilvl="0">
      <w:start w:val="1"/>
      <w:numFmt w:val="decimal"/>
      <w:lvlText w:val="5.%1"/>
      <w:lvlJc w:val="start"/>
      <w:pPr>
        <w:tabs>
          <w:tab w:val="num" w:pos="0"/>
        </w:tabs>
        <w:ind w:start="1287" w:hanging="360"/>
      </w:pPr>
      <w:rPr>
        <w:sz w:val="24"/>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7">
    <w:lvl w:ilvl="0">
      <w:start w:val="1"/>
      <w:numFmt w:val="decimal"/>
      <w:lvlText w:val="%1."/>
      <w:lvlJc w:val="start"/>
      <w:pPr>
        <w:tabs>
          <w:tab w:val="num" w:pos="0"/>
        </w:tabs>
        <w:ind w:start="360" w:hanging="360"/>
      </w:pPr>
      <w:rPr/>
    </w:lvl>
    <w:lvl w:ilvl="1">
      <w:start w:val="1"/>
      <w:numFmt w:val="decimal"/>
      <w:lvlText w:val="%1.%2."/>
      <w:lvlJc w:val="start"/>
      <w:pPr>
        <w:tabs>
          <w:tab w:val="num" w:pos="0"/>
        </w:tabs>
        <w:ind w:start="720" w:hanging="360"/>
      </w:pPr>
      <w:rPr>
        <w:i w:val="false"/>
        <w:b w:val="false"/>
        <w:color w:val="000000"/>
      </w:rPr>
    </w:lvl>
    <w:lvl w:ilvl="2">
      <w:start w:val="1"/>
      <w:numFmt w:val="decimal"/>
      <w:lvlText w:val="%1.%2.%3."/>
      <w:lvlJc w:val="start"/>
      <w:pPr>
        <w:tabs>
          <w:tab w:val="num" w:pos="0"/>
        </w:tabs>
        <w:ind w:start="8015" w:hanging="360"/>
      </w:pPr>
      <w:rPr>
        <w:i w:val="false"/>
        <w:color w:val="000000"/>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59" w:before="0" w:after="16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59" w:before="120" w:after="120"/>
      <w:ind w:hanging="0" w:start="0" w:end="0"/>
      <w:jc w:val="both"/>
      <w:outlineLvl w:val="0"/>
    </w:pPr>
    <w:rPr>
      <w:rFonts w:ascii="XO Thames" w:hAnsi="XO Thames" w:eastAsia="Tahoma" w:cs="Noto Sans"/>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59" w:before="120" w:after="120"/>
      <w:ind w:hanging="0" w:start="0" w:end="0"/>
      <w:jc w:val="both"/>
      <w:outlineLvl w:val="1"/>
    </w:pPr>
    <w:rPr>
      <w:rFonts w:ascii="XO Thames" w:hAnsi="XO Thames" w:eastAsia="Tahoma" w:cs="Noto Sans"/>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59" w:before="120" w:after="120"/>
      <w:ind w:hanging="0" w:start="0" w:end="0"/>
      <w:jc w:val="both"/>
      <w:outlineLvl w:val="2"/>
    </w:pPr>
    <w:rPr>
      <w:rFonts w:ascii="XO Thames" w:hAnsi="XO Thames" w:eastAsia="Tahoma" w:cs="Noto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59" w:before="120" w:after="120"/>
      <w:ind w:hanging="0" w:start="0" w:end="0"/>
      <w:jc w:val="both"/>
      <w:outlineLvl w:val="3"/>
    </w:pPr>
    <w:rPr>
      <w:rFonts w:ascii="XO Thames" w:hAnsi="XO Thames" w:eastAsia="Tahoma" w:cs="Noto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59" w:before="120" w:after="120"/>
      <w:ind w:hanging="0" w:start="0" w:end="0"/>
      <w:jc w:val="both"/>
      <w:outlineLvl w:val="4"/>
    </w:pPr>
    <w:rPr>
      <w:rFonts w:ascii="XO Thames" w:hAnsi="XO Thames" w:eastAsia="Tahoma" w:cs="Noto Sans"/>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DefaultParagraphFont">
    <w:name w:val="Default Paragraph Font"/>
    <w:link w:val="DefaultParagraphFont1"/>
    <w:qFormat/>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Style9">
    <w:name w:val="п"/>
    <w:basedOn w:val="Style10"/>
    <w:link w:val="14"/>
    <w:qFormat/>
    <w:rPr>
      <w:b w:val="false"/>
    </w:rPr>
  </w:style>
  <w:style w:type="character" w:styleId="11">
    <w:name w:val="Заголовок 11"/>
    <w:link w:val="111"/>
    <w:qFormat/>
    <w:rPr>
      <w:rFonts w:ascii="XO Thames" w:hAnsi="XO Thames"/>
      <w:b/>
      <w:sz w:val="32"/>
    </w:rPr>
  </w:style>
  <w:style w:type="character" w:styleId="Endnote">
    <w:name w:val="Endnote"/>
    <w:link w:val="Endnote1"/>
    <w:qFormat/>
    <w:rPr>
      <w:rFonts w:ascii="XO Thames" w:hAnsi="XO Thames"/>
    </w:rPr>
  </w:style>
  <w:style w:type="character" w:styleId="Heading31">
    <w:name w:val="Heading 31"/>
    <w:qFormat/>
    <w:rPr>
      <w:rFonts w:ascii="XO Thames" w:hAnsi="XO Thames"/>
      <w:b/>
      <w:sz w:val="26"/>
    </w:rPr>
  </w:style>
  <w:style w:type="character" w:styleId="1">
    <w:name w:val="Гиперссылка1"/>
    <w:link w:val="112"/>
    <w:qFormat/>
    <w:rPr>
      <w:color w:val="0000FF"/>
      <w:u w:val="single"/>
    </w:rPr>
  </w:style>
  <w:style w:type="character" w:styleId="Contents3">
    <w:name w:val="Contents 3"/>
    <w:qFormat/>
    <w:rPr>
      <w:rFonts w:ascii="XO Thames" w:hAnsi="XO Thames"/>
      <w:sz w:val="28"/>
    </w:rPr>
  </w:style>
  <w:style w:type="character" w:styleId="12">
    <w:name w:val="Обычный1"/>
    <w:link w:val="113"/>
    <w:qFormat/>
    <w:rPr/>
  </w:style>
  <w:style w:type="character" w:styleId="21">
    <w:name w:val="Основной текст 21"/>
    <w:link w:val="211"/>
    <w:qFormat/>
    <w:rPr>
      <w:rFonts w:ascii="Times New Roman" w:hAnsi="Times New Roman"/>
      <w:sz w:val="24"/>
    </w:rPr>
  </w:style>
  <w:style w:type="character" w:styleId="Heading51">
    <w:name w:val="Heading 51"/>
    <w:qFormat/>
    <w:rPr>
      <w:rFonts w:ascii="XO Thames" w:hAnsi="XO Thames"/>
      <w:b/>
    </w:rPr>
  </w:style>
  <w:style w:type="character" w:styleId="Heading11">
    <w:name w:val="Heading 11"/>
    <w:qFormat/>
    <w:rPr>
      <w:rFonts w:ascii="XO Thames" w:hAnsi="XO Thames"/>
      <w:b/>
      <w:sz w:val="32"/>
    </w:rPr>
  </w:style>
  <w:style w:type="character" w:styleId="Hyperlink">
    <w:name w:val="Hyperlink"/>
    <w:rPr>
      <w:color w:val="0000FF"/>
      <w:u w:val="single"/>
    </w:rPr>
  </w:style>
  <w:style w:type="character" w:styleId="Footnote">
    <w:name w:val="Footnote"/>
    <w:link w:val="Footnote1"/>
    <w:qFormat/>
    <w:rPr>
      <w:rFonts w:ascii="XO Thames" w:hAnsi="XO Thames"/>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Style10">
    <w:name w:val="р"/>
    <w:link w:val="15"/>
    <w:qFormat/>
    <w:rPr>
      <w:rFonts w:ascii="Times New Roman" w:hAnsi="Times New Roman"/>
      <w:b/>
      <w:color w:val="000000"/>
      <w:sz w:val="26"/>
    </w:rPr>
  </w:style>
  <w:style w:type="character" w:styleId="Contents9">
    <w:name w:val="Contents 9"/>
    <w:qFormat/>
    <w:rPr>
      <w:rFonts w:ascii="XO Thames" w:hAnsi="XO Thames"/>
      <w:sz w:val="28"/>
    </w:rPr>
  </w:style>
  <w:style w:type="character" w:styleId="13">
    <w:name w:val="Основной шрифт абзаца1"/>
    <w:link w:val="114"/>
    <w:qFormat/>
    <w:rPr/>
  </w:style>
  <w:style w:type="character" w:styleId="Contents8">
    <w:name w:val="Contents 8"/>
    <w:qFormat/>
    <w:rPr>
      <w:rFonts w:ascii="XO Thames" w:hAnsi="XO Thames"/>
      <w:sz w:val="28"/>
    </w:rPr>
  </w:style>
  <w:style w:type="character" w:styleId="Style11">
    <w:name w:val="пп"/>
    <w:basedOn w:val="Style9"/>
    <w:link w:val="16"/>
    <w:qFormat/>
    <w:rPr/>
  </w:style>
  <w:style w:type="character" w:styleId="NoSpacing">
    <w:name w:val="No Spacing"/>
    <w:link w:val="NoSpacing1"/>
    <w:qFormat/>
    <w:rPr/>
  </w:style>
  <w:style w:type="character" w:styleId="ListParagraph">
    <w:name w:val="List Paragraph"/>
    <w:link w:val="ListParagraph1"/>
    <w:qFormat/>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12">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3">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TOC2">
    <w:name w:val="toc 2"/>
    <w:next w:val="Normal"/>
    <w:uiPriority w:val="39"/>
    <w:pPr>
      <w:widowControl/>
      <w:suppressAutoHyphens w:val="true"/>
      <w:bidi w:val="0"/>
      <w:spacing w:lineRule="auto" w:line="259" w:before="0" w:after="160"/>
      <w:ind w:hanging="0" w:start="200" w:end="0"/>
      <w:jc w:val="start"/>
    </w:pPr>
    <w:rPr>
      <w:rFonts w:ascii="XO Thames" w:hAnsi="XO Thames" w:eastAsia="Tahoma" w:cs="Noto Sans"/>
      <w:color w:val="000000"/>
      <w:spacing w:val="0"/>
      <w:kern w:val="0"/>
      <w:sz w:val="28"/>
      <w:szCs w:val="20"/>
      <w:lang w:val="ru-RU" w:eastAsia="zh-CN" w:bidi="hi-IN"/>
    </w:rPr>
  </w:style>
  <w:style w:type="paragraph" w:styleId="DefaultParagraphFont1">
    <w:name w:val="Default Paragraph Font1"/>
    <w:link w:val="DefaultParagraphFont"/>
    <w:qFormat/>
    <w:pPr>
      <w:widowControl/>
      <w:suppressAutoHyphens w:val="true"/>
      <w:bidi w:val="0"/>
      <w:spacing w:lineRule="auto" w:line="259" w:before="0" w:after="16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TOC4">
    <w:name w:val="toc 4"/>
    <w:next w:val="Normal"/>
    <w:uiPriority w:val="39"/>
    <w:pPr>
      <w:widowControl/>
      <w:suppressAutoHyphens w:val="true"/>
      <w:bidi w:val="0"/>
      <w:spacing w:lineRule="auto" w:line="259" w:before="0" w:after="160"/>
      <w:ind w:hanging="0" w:start="600" w:end="0"/>
      <w:jc w:val="start"/>
    </w:pPr>
    <w:rPr>
      <w:rFonts w:ascii="XO Thames" w:hAnsi="XO Thames" w:eastAsia="Tahoma" w:cs="Noto Sans"/>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59" w:before="0" w:after="160"/>
      <w:ind w:hanging="0" w:start="1000" w:end="0"/>
      <w:jc w:val="start"/>
    </w:pPr>
    <w:rPr>
      <w:rFonts w:ascii="XO Thames" w:hAnsi="XO Thames" w:eastAsia="Tahoma" w:cs="Noto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59" w:before="0" w:after="160"/>
      <w:ind w:hanging="0" w:start="1200" w:end="0"/>
      <w:jc w:val="start"/>
    </w:pPr>
    <w:rPr>
      <w:rFonts w:ascii="XO Thames" w:hAnsi="XO Thames" w:eastAsia="Tahoma" w:cs="Noto Sans"/>
      <w:color w:val="000000"/>
      <w:spacing w:val="0"/>
      <w:kern w:val="0"/>
      <w:sz w:val="28"/>
      <w:szCs w:val="20"/>
      <w:lang w:val="ru-RU" w:eastAsia="zh-CN" w:bidi="hi-IN"/>
    </w:rPr>
  </w:style>
  <w:style w:type="paragraph" w:styleId="14">
    <w:name w:val="п1"/>
    <w:basedOn w:val="15"/>
    <w:link w:val="Style9"/>
    <w:qFormat/>
    <w:pPr>
      <w:widowControl/>
      <w:jc w:val="both"/>
    </w:pPr>
    <w:rPr>
      <w:b w:val="false"/>
    </w:rPr>
  </w:style>
  <w:style w:type="paragraph" w:styleId="111">
    <w:name w:val="Заголовок 111"/>
    <w:link w:val="11"/>
    <w:qFormat/>
    <w:pPr>
      <w:widowControl/>
      <w:suppressAutoHyphens w:val="true"/>
      <w:bidi w:val="0"/>
      <w:spacing w:lineRule="auto" w:line="259" w:before="0" w:after="160"/>
      <w:ind w:hanging="0" w:start="0" w:end="0"/>
      <w:jc w:val="start"/>
    </w:pPr>
    <w:rPr>
      <w:rFonts w:ascii="XO Thames" w:hAnsi="XO Thames" w:eastAsia="Tahoma" w:cs="Noto Sans"/>
      <w:b/>
      <w:color w:val="000000"/>
      <w:spacing w:val="0"/>
      <w:kern w:val="0"/>
      <w:sz w:val="32"/>
      <w:szCs w:val="20"/>
      <w:lang w:val="ru-RU" w:eastAsia="zh-CN" w:bidi="hi-IN"/>
    </w:rPr>
  </w:style>
  <w:style w:type="paragraph" w:styleId="Endnote1">
    <w:name w:val="Endnote1"/>
    <w:link w:val="Endnote"/>
    <w:qFormat/>
    <w:pPr>
      <w:widowControl/>
      <w:suppressAutoHyphens w:val="true"/>
      <w:bidi w:val="0"/>
      <w:spacing w:lineRule="auto" w:line="259" w:before="0" w:after="160"/>
      <w:ind w:firstLine="851" w:start="0" w:end="0"/>
      <w:jc w:val="both"/>
    </w:pPr>
    <w:rPr>
      <w:rFonts w:ascii="XO Thames" w:hAnsi="XO Thames" w:eastAsia="Tahoma" w:cs="Noto Sans"/>
      <w:color w:val="000000"/>
      <w:spacing w:val="0"/>
      <w:kern w:val="0"/>
      <w:sz w:val="22"/>
      <w:szCs w:val="20"/>
      <w:lang w:val="ru-RU" w:eastAsia="zh-CN" w:bidi="hi-IN"/>
    </w:rPr>
  </w:style>
  <w:style w:type="paragraph" w:styleId="112">
    <w:name w:val="Гиперссылка11"/>
    <w:link w:val="1"/>
    <w:qFormat/>
    <w:pPr>
      <w:widowControl/>
      <w:suppressAutoHyphens w:val="true"/>
      <w:bidi w:val="0"/>
      <w:spacing w:lineRule="auto" w:line="259" w:before="0" w:after="160"/>
      <w:ind w:hanging="0" w:start="0" w:end="0"/>
      <w:jc w:val="start"/>
    </w:pPr>
    <w:rPr>
      <w:rFonts w:ascii="Calibri" w:hAnsi="Calibri" w:eastAsia="Tahoma" w:cs="Noto Sans"/>
      <w:color w:val="0000FF"/>
      <w:spacing w:val="0"/>
      <w:kern w:val="0"/>
      <w:sz w:val="22"/>
      <w:szCs w:val="20"/>
      <w:u w:val="single"/>
      <w:lang w:val="ru-RU" w:eastAsia="zh-CN" w:bidi="hi-IN"/>
    </w:rPr>
  </w:style>
  <w:style w:type="paragraph" w:styleId="TOC3">
    <w:name w:val="toc 3"/>
    <w:next w:val="Normal"/>
    <w:uiPriority w:val="39"/>
    <w:pPr>
      <w:widowControl/>
      <w:suppressAutoHyphens w:val="true"/>
      <w:bidi w:val="0"/>
      <w:spacing w:lineRule="auto" w:line="259" w:before="0" w:after="160"/>
      <w:ind w:hanging="0" w:start="400" w:end="0"/>
      <w:jc w:val="start"/>
    </w:pPr>
    <w:rPr>
      <w:rFonts w:ascii="XO Thames" w:hAnsi="XO Thames" w:eastAsia="Tahoma" w:cs="Noto Sans"/>
      <w:color w:val="000000"/>
      <w:spacing w:val="0"/>
      <w:kern w:val="0"/>
      <w:sz w:val="28"/>
      <w:szCs w:val="20"/>
      <w:lang w:val="ru-RU" w:eastAsia="zh-CN" w:bidi="hi-IN"/>
    </w:rPr>
  </w:style>
  <w:style w:type="paragraph" w:styleId="113">
    <w:name w:val="Обычный11"/>
    <w:link w:val="12"/>
    <w:qFormat/>
    <w:pPr>
      <w:widowControl/>
      <w:suppressAutoHyphens w:val="true"/>
      <w:bidi w:val="0"/>
      <w:spacing w:lineRule="auto" w:line="259" w:before="0" w:after="16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211">
    <w:name w:val="Основной текст 211"/>
    <w:basedOn w:val="Normal"/>
    <w:link w:val="21"/>
    <w:qFormat/>
    <w:pPr>
      <w:widowControl/>
      <w:spacing w:lineRule="auto" w:line="240" w:before="0" w:after="0"/>
      <w:ind w:firstLine="567"/>
      <w:jc w:val="both"/>
    </w:pPr>
    <w:rPr>
      <w:rFonts w:ascii="Times New Roman" w:hAnsi="Times New Roman"/>
      <w:sz w:val="24"/>
    </w:rPr>
  </w:style>
  <w:style w:type="paragraph" w:styleId="Internetlink">
    <w:name w:val="Internet link"/>
    <w:qFormat/>
    <w:pPr>
      <w:widowControl/>
      <w:suppressAutoHyphens w:val="true"/>
      <w:bidi w:val="0"/>
      <w:spacing w:lineRule="auto" w:line="259" w:before="0" w:after="160"/>
      <w:ind w:hanging="0" w:start="0" w:end="0"/>
      <w:jc w:val="start"/>
    </w:pPr>
    <w:rPr>
      <w:rFonts w:ascii="Calibri" w:hAnsi="Calibri" w:eastAsia="Tahoma" w:cs="Noto Sans"/>
      <w:color w:val="0000FF"/>
      <w:spacing w:val="0"/>
      <w:kern w:val="0"/>
      <w:sz w:val="22"/>
      <w:szCs w:val="20"/>
      <w:u w:val="single"/>
      <w:lang w:val="ru-RU" w:eastAsia="zh-CN" w:bidi="hi-IN"/>
    </w:rPr>
  </w:style>
  <w:style w:type="paragraph" w:styleId="Footnote1">
    <w:name w:val="Footnote1"/>
    <w:link w:val="Footnote"/>
    <w:qFormat/>
    <w:pPr>
      <w:widowControl/>
      <w:suppressAutoHyphens w:val="true"/>
      <w:bidi w:val="0"/>
      <w:spacing w:lineRule="auto" w:line="259" w:before="0" w:after="160"/>
      <w:ind w:firstLine="851" w:start="0" w:end="0"/>
      <w:jc w:val="both"/>
    </w:pPr>
    <w:rPr>
      <w:rFonts w:ascii="XO Thames" w:hAnsi="XO Thames" w:eastAsia="Tahoma" w:cs="Noto Sans"/>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59" w:before="0" w:after="160"/>
      <w:ind w:hanging="0" w:start="0" w:end="0"/>
      <w:jc w:val="start"/>
    </w:pPr>
    <w:rPr>
      <w:rFonts w:ascii="XO Thames" w:hAnsi="XO Thames" w:eastAsia="Tahoma" w:cs="Noto Sans"/>
      <w:b/>
      <w:color w:val="000000"/>
      <w:spacing w:val="0"/>
      <w:kern w:val="0"/>
      <w:sz w:val="28"/>
      <w:szCs w:val="20"/>
      <w:lang w:val="ru-RU" w:eastAsia="zh-CN" w:bidi="hi-IN"/>
    </w:rPr>
  </w:style>
  <w:style w:type="paragraph" w:styleId="Style14">
    <w:name w:val="Колонтитулы"/>
    <w:qFormat/>
    <w:pPr>
      <w:widowControl/>
      <w:suppressAutoHyphens w:val="true"/>
      <w:bidi w:val="0"/>
      <w:spacing w:lineRule="auto" w:line="240" w:before="0" w:after="160"/>
      <w:ind w:hanging="0" w:start="0" w:end="0"/>
      <w:jc w:val="both"/>
    </w:pPr>
    <w:rPr>
      <w:rFonts w:ascii="XO Thames" w:hAnsi="XO Thames" w:eastAsia="Tahoma" w:cs="Noto Sans"/>
      <w:color w:val="000000"/>
      <w:spacing w:val="0"/>
      <w:kern w:val="0"/>
      <w:sz w:val="28"/>
      <w:szCs w:val="20"/>
      <w:lang w:val="ru-RU" w:eastAsia="zh-CN" w:bidi="hi-IN"/>
    </w:rPr>
  </w:style>
  <w:style w:type="paragraph" w:styleId="15">
    <w:name w:val="р1"/>
    <w:basedOn w:val="Normal"/>
    <w:link w:val="Style10"/>
    <w:qFormat/>
    <w:pPr>
      <w:keepNext w:val="true"/>
      <w:keepLines/>
      <w:widowControl/>
      <w:numPr>
        <w:ilvl w:val="0"/>
        <w:numId w:val="7"/>
      </w:numPr>
      <w:spacing w:lineRule="auto" w:line="240" w:before="0" w:after="0"/>
      <w:jc w:val="center"/>
    </w:pPr>
    <w:rPr>
      <w:rFonts w:ascii="Times New Roman" w:hAnsi="Times New Roman"/>
      <w:b/>
      <w:color w:val="000000"/>
      <w:sz w:val="26"/>
    </w:rPr>
  </w:style>
  <w:style w:type="paragraph" w:styleId="TOC9">
    <w:name w:val="toc 9"/>
    <w:next w:val="Normal"/>
    <w:uiPriority w:val="39"/>
    <w:pPr>
      <w:widowControl/>
      <w:suppressAutoHyphens w:val="true"/>
      <w:bidi w:val="0"/>
      <w:spacing w:lineRule="auto" w:line="259" w:before="0" w:after="160"/>
      <w:ind w:hanging="0" w:start="1600" w:end="0"/>
      <w:jc w:val="start"/>
    </w:pPr>
    <w:rPr>
      <w:rFonts w:ascii="XO Thames" w:hAnsi="XO Thames" w:eastAsia="Tahoma" w:cs="Noto Sans"/>
      <w:color w:val="000000"/>
      <w:spacing w:val="0"/>
      <w:kern w:val="0"/>
      <w:sz w:val="28"/>
      <w:szCs w:val="20"/>
      <w:lang w:val="ru-RU" w:eastAsia="zh-CN" w:bidi="hi-IN"/>
    </w:rPr>
  </w:style>
  <w:style w:type="paragraph" w:styleId="114">
    <w:name w:val="Основной шрифт абзаца11"/>
    <w:link w:val="13"/>
    <w:qFormat/>
    <w:pPr>
      <w:widowControl/>
      <w:suppressAutoHyphens w:val="true"/>
      <w:bidi w:val="0"/>
      <w:spacing w:lineRule="auto" w:line="259" w:before="0" w:after="16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TOC8">
    <w:name w:val="toc 8"/>
    <w:next w:val="Normal"/>
    <w:uiPriority w:val="39"/>
    <w:pPr>
      <w:widowControl/>
      <w:suppressAutoHyphens w:val="true"/>
      <w:bidi w:val="0"/>
      <w:spacing w:lineRule="auto" w:line="259" w:before="0" w:after="160"/>
      <w:ind w:hanging="0" w:start="1400" w:end="0"/>
      <w:jc w:val="start"/>
    </w:pPr>
    <w:rPr>
      <w:rFonts w:ascii="XO Thames" w:hAnsi="XO Thames" w:eastAsia="Tahoma" w:cs="Noto Sans"/>
      <w:color w:val="000000"/>
      <w:spacing w:val="0"/>
      <w:kern w:val="0"/>
      <w:sz w:val="28"/>
      <w:szCs w:val="20"/>
      <w:lang w:val="ru-RU" w:eastAsia="zh-CN" w:bidi="hi-IN"/>
    </w:rPr>
  </w:style>
  <w:style w:type="paragraph" w:styleId="16">
    <w:name w:val="пп1"/>
    <w:basedOn w:val="14"/>
    <w:link w:val="Style11"/>
    <w:qFormat/>
    <w:pPr/>
    <w:rPr/>
  </w:style>
  <w:style w:type="paragraph" w:styleId="NoSpacing1">
    <w:name w:val="No Spacing1"/>
    <w:link w:val="NoSpacing"/>
    <w:qFormat/>
    <w:pPr>
      <w:widowControl/>
      <w:suppressAutoHyphens w:val="true"/>
      <w:bidi w:val="0"/>
      <w:spacing w:lineRule="auto" w:line="240" w:before="0" w:after="0"/>
      <w:ind w:hanging="0" w:start="0" w:end="0"/>
      <w:jc w:val="start"/>
    </w:pPr>
    <w:rPr>
      <w:rFonts w:ascii="Calibri" w:hAnsi="Calibri" w:eastAsia="Tahoma" w:cs="Noto Sans" w:asciiTheme="minorAscii" w:hAnsiTheme="minorHAnsi"/>
      <w:color w:val="000000"/>
      <w:spacing w:val="0"/>
      <w:kern w:val="0"/>
      <w:sz w:val="22"/>
      <w:szCs w:val="20"/>
      <w:lang w:val="ru-RU" w:eastAsia="zh-CN" w:bidi="hi-IN"/>
    </w:rPr>
  </w:style>
  <w:style w:type="paragraph" w:styleId="ListParagraph1">
    <w:name w:val="List Paragraph1"/>
    <w:basedOn w:val="Normal"/>
    <w:link w:val="ListParagraph"/>
    <w:qFormat/>
    <w:pPr>
      <w:widowControl/>
      <w:spacing w:before="0" w:after="160"/>
      <w:ind w:start="720"/>
      <w:contextualSpacing/>
    </w:pPr>
    <w:rPr/>
  </w:style>
  <w:style w:type="paragraph" w:styleId="TOC5">
    <w:name w:val="toc 5"/>
    <w:next w:val="Normal"/>
    <w:uiPriority w:val="39"/>
    <w:pPr>
      <w:widowControl/>
      <w:suppressAutoHyphens w:val="true"/>
      <w:bidi w:val="0"/>
      <w:spacing w:lineRule="auto" w:line="259" w:before="0" w:after="160"/>
      <w:ind w:hanging="0" w:start="800" w:end="0"/>
      <w:jc w:val="start"/>
    </w:pPr>
    <w:rPr>
      <w:rFonts w:ascii="XO Thames" w:hAnsi="XO Thames" w:eastAsia="Tahoma" w:cs="Noto Sans"/>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59" w:before="0" w:after="160"/>
      <w:ind w:hanging="0" w:start="0" w:end="0"/>
      <w:jc w:val="both"/>
    </w:pPr>
    <w:rPr>
      <w:rFonts w:ascii="XO Thames" w:hAnsi="XO Thames" w:eastAsia="Tahoma" w:cs="Noto Sans"/>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59" w:before="567" w:after="567"/>
      <w:ind w:hanging="0" w:start="0" w:end="0"/>
      <w:jc w:val="center"/>
    </w:pPr>
    <w:rPr>
      <w:rFonts w:ascii="XO Thames" w:hAnsi="XO Thames" w:eastAsia="Tahoma" w:cs="Noto Sans"/>
      <w:b/>
      <w:caps/>
      <w:color w:val="000000"/>
      <w:spacing w:val="0"/>
      <w:kern w:val="0"/>
      <w:sz w:val="40"/>
      <w:szCs w:val="20"/>
      <w:lang w:val="ru-RU" w:eastAsia="zh-CN" w:bidi="hi-IN"/>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paragraph" w:styleId="user2">
    <w:name w:val="Содержимое таблицы (user)"/>
    <w:basedOn w:val="Normal"/>
    <w:qFormat/>
    <w:pPr>
      <w:widowControl w:val="false"/>
      <w:suppressLineNumbers/>
    </w:pPr>
    <w:rPr/>
  </w:style>
  <w:style w:type="paragraph" w:styleId="user3">
    <w:name w:val="Заголовок таблицы (user)"/>
    <w:basedOn w:val="user2"/>
    <w:qFormat/>
    <w:pPr>
      <w:suppressLineNumbers/>
      <w:jc w:val="center"/>
    </w:pPr>
    <w:rPr>
      <w:b/>
      <w:bCs/>
    </w:rPr>
  </w:style>
  <w:style w:type="table" w:default="1" w:styleId="Style_6">
    <w:name w:val="Normal Table"/>
    <w:tblPr>
      <w:tblCellMar>
        <w:top w:w="0" w:type="dxa"/>
        <w:left w:w="108" w:type="dxa"/>
        <w:bottom w:w="0" w:type="dxa"/>
        <w:right w:w="108" w:type="dxa"/>
      </w:tblCellMar>
    </w:tblPr>
  </w:style>
  <w:style w:type="table" w:styleId="Style_35">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5">
    <w:name w:val="Сетка таблицы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LibreOffice/25.8.0.4$Linux_X86_64 LibreOffice_project/48f00303701489684e67c38c28aff00cd5929e67</Application>
  <AppVersion>15.0000</AppVersion>
  <Pages>5</Pages>
  <Words>948</Words>
  <Characters>6606</Characters>
  <CharactersWithSpaces>7452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2025-07-28T01:31:00Z</dcterms:created>
  <dc:creator/>
  <dc:description/>
  <dc:language>ru-RU</dc:language>
  <cp:lastModifiedBy/>
  <dcterms:modified xsi:type="dcterms:W3CDTF">2026-04-29T12:59:55Z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