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240"/>
        <w:jc w:val="end"/>
        <w:rPr/>
      </w:pPr>
      <w:r>
        <w:rPr/>
      </w:r>
    </w:p>
    <w:p>
      <w:pPr>
        <w:pStyle w:val="NormalWeb"/>
        <w:spacing w:lineRule="auto" w:line="240" w:before="28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Техническое задание</w:t>
      </w:r>
    </w:p>
    <w:p>
      <w:pPr>
        <w:pStyle w:val="NormalWeb"/>
        <w:spacing w:lineRule="auto" w:line="240" w:before="28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поставку оборудования, выполнение монтажных и пусконаладочных работ для развития и поддержания в технически исправном состоянии Муниципальной системы оповещения городского округа город Воронеж</w:t>
      </w:r>
    </w:p>
    <w:p>
      <w:pPr>
        <w:pStyle w:val="NormalWeb"/>
        <w:spacing w:lineRule="auto" w:line="240" w:before="280" w:after="0"/>
        <w:jc w:val="center"/>
        <w:rPr/>
      </w:pPr>
      <w:r>
        <w:rPr>
          <w:b/>
          <w:bCs/>
        </w:rPr>
        <w:t xml:space="preserve">Раздел «Общие требования» </w:t>
      </w:r>
    </w:p>
    <w:p>
      <w:pPr>
        <w:pStyle w:val="western"/>
        <w:spacing w:before="280" w:after="159"/>
        <w:rPr/>
      </w:pPr>
      <w:r>
        <w:rPr/>
      </w:r>
    </w:p>
    <w:tbl>
      <w:tblPr>
        <w:tblW w:w="4950" w:type="pct"/>
        <w:jc w:val="start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590"/>
        <w:gridCol w:w="3240"/>
        <w:gridCol w:w="5991"/>
      </w:tblGrid>
      <w:tr>
        <w:trPr>
          <w:tblHeader w:val="true"/>
        </w:trPr>
        <w:tc>
          <w:tcPr>
            <w:tcW w:w="5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п/п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Наименование товара, работы, услуги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Требования к товару, работе, услуге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blHeader w:val="true"/>
        </w:trPr>
        <w:tc>
          <w:tcPr>
            <w:tcW w:w="5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5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western"/>
              <w:spacing w:before="0" w:after="142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western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Устройство усилительное электронной сирены *</w:t>
            </w:r>
          </w:p>
        </w:tc>
        <w:tc>
          <w:tcPr>
            <w:tcW w:w="59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western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Терминология </w:t>
              <w:br/>
              <w:t xml:space="preserve">ЕДДС – единая дежурно-диспетчерская служба; </w:t>
              <w:br/>
              <w:t xml:space="preserve">МСО – муниципальные системы оповещения; </w:t>
              <w:br/>
              <w:t xml:space="preserve">МО - Муниципальное образование </w:t>
              <w:br/>
              <w:t xml:space="preserve">КТС – комплекс технических средств; </w:t>
              <w:br/>
              <w:t xml:space="preserve">ТСО - технические средства оповещения; </w:t>
              <w:br/>
              <w:t xml:space="preserve">ББР – блок базовой радиостанции; </w:t>
              <w:br/>
              <w:t xml:space="preserve">КПУ – командный пульт управления; </w:t>
              <w:br/>
              <w:t xml:space="preserve">УЗСР – устройство запуска сирен по радиоканалу; </w:t>
              <w:br/>
              <w:t xml:space="preserve">УКБ – усилительно-коммутационный блок; </w:t>
              <w:br/>
              <w:t xml:space="preserve">УУЭС - устройство усилительное электронной сирены. </w:t>
              <w:br/>
              <w:t xml:space="preserve">Качество поставляемого оборудование должно соответствовать требованиям ГОСТ Р 42.3.01-2021 Национальный стандарт Российской Федерации. Гражданская оборона. Технические средства оповещения населения. Классификация. Общие технические требования согласно сводам правил СП 165.1325800.2014 «Инженерно-технические мероприятия по гражданской обороне» ст. 6.43 «Создание (модернизация) и развитие системы оповещения населения должны осуществлять на базе комплексов технических средств оповещения, разработанных под контролем Федерального органа исполнительной власти, осуществляющего государственную политику в области гражданской обороны и уполномоченного для решения задач в области гражданской обороны, прошедших в установленном порядке приемочные испытания и принятых к серийному производству на территории Российской Федерации», ТР ЕАЭС 050/2021 "О безопасности продукции, предназначенной для гражданской обороны и защиты от чрезвычайных ситуаций природного и техногенного характера". В части электробезопасности оборудование должно удовлетворять требованиям «Правила устройства электроустановок. Электропитание и заземление оборудования предусмотреть от существующих источников гарантированного электропитания и систем заземления. Подключение к электропитанию оконечных средств оповещения осуществляет ответственный за подключение электроприемников к сети электропитания собственников объектов т.к. согласно пункта 12 Правил технической эксплуатации электроустановок потребителей электрической энергии (утверждены приказом Минэнерго от 12 августа 2022 г. № 811) все переключения в электроустановках имеют право выполнять только определенные собственником работники. </w:t>
              <w:br/>
              <w:t xml:space="preserve">Вновь устанавливаемое оборудование должно быть совместимо и управляться от существующего пункта управления ЕДДС МО ГО г. Воронеж (КТС П-166М КПУ УЯИД.466259.002ТУ) производства АО «Азимут» по сети Ethernet (основной приоритетный канал) и по радиоканалу в диапазоне частот 146-174 МГц (резервный канал) от блока базовой радиостанции ББР СГС-22-М производства ООО «Элес», без применения дополнительных устройств сопряжения. </w:t>
              <w:br/>
              <w:t xml:space="preserve">Поставляемое оборудование должно быть новое, не восстановленное. В качестве основы МСО должны использоваться сертифицированные и рекомендованные МЧС России к применению комплексы технических средств оповещения населения согласно «Справочника технических средств оповещения» одобренные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20 декабря 2023 г. № 1. Поставщик после завершения наладки оборудования в соответствии с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Договором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представляет Заказчику необходимые документы о готовности оконечных устройств МСО к эксплуатации. До приема оконечных устройств МСО в эксплуатацию Поставщик при участии Заказчика организует проверку, регулировку, настройку, тренировку, и электрические измерения индивидуального оборудования, а также предварительные испытание на предмет соответствия системы требованиям технического задания, в процессе которых все параметры оборудования и системы должны быть доведены до нормативных; По результатам испытаний оформляется акт, в котором указываются основные замечания и рекомендации, делается вывод о соответствии установленных оконечных устройств требованиям технического задания и даются рекомендации по приему системы в эксплуатацию. Если принимается решение о невозможности приемки оконечных устройств МСО в эксплуатацию, то вместо акта составляется мотивированное заключение с обоснованиями, имеющими ссылки на действующие законодательные и нормативные акты и рекомендуемыми мерами по обеспечению ввода системы в эксплуатацию. </w:t>
            </w:r>
          </w:p>
        </w:tc>
      </w:tr>
      <w:tr>
        <w:trPr/>
        <w:tc>
          <w:tcPr>
            <w:tcW w:w="5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western"/>
              <w:spacing w:before="0" w:after="142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western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Ввод в эксплуатацию устройства усилительного электронной сирены, логистика, монтаж, настройка </w:t>
            </w:r>
          </w:p>
        </w:tc>
        <w:tc>
          <w:tcPr>
            <w:tcW w:w="59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western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оборудования, монтаж, наладка и ввод оборудования в эксплуатацию должны осуществляться без снижения готовности действующих автоматизированных систем оповещения (МСО).</w:t>
            </w:r>
          </w:p>
          <w:p>
            <w:pPr>
              <w:pStyle w:val="western"/>
              <w:spacing w:before="28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В период наладки оборудования разрабатывается и проводится комплекс организационно-технических мероприятий по исключению несанкционированного задействования системы оповещения.</w:t>
            </w:r>
          </w:p>
          <w:p>
            <w:pPr>
              <w:pStyle w:val="western"/>
              <w:spacing w:before="28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Ввод в эксплуатацию устройства усилительного электронной сирены, монтаж, настройка должны выполняться в соответствии с требованиями: </w:t>
              <w:br/>
              <w:t xml:space="preserve">- Федерального закона Российской Федерации от 21.12.1994 г. № 68-ФЗ «О защите населения и территорий от чрезвычайных ситуаций природного и техногенного характера»; </w:t>
              <w:br/>
              <w:t xml:space="preserve">- постановления Правительства Российской Федерации от 17.05.2023 г. № 769 «О порядке создания, реконструкции и поддержания в состоянии постоянной готовности к использованию систем оповещения населения»; </w:t>
              <w:br/>
              <w:t xml:space="preserve">- приказа МЧС России № 578, Минкомсвязи России № 365 от 31.07.2020 г. «Об утверждении Положения о системах оповещения населения»; </w:t>
              <w:br/>
              <w:t xml:space="preserve">- ГОСТа 42.3.01-2021. "ГРАЖДАНСКАЯ ОБОРОНА. ТЕХНИЧЕСКИЕ СРЕДСТВА ОПОВЕЩЕНИЯ НАСЕЛЕНИЯ. КЛАССИФИКАЦИЯ. ОБЩИЕ ТЕХНИЧЕСКИЕ ТРЕБОВАНИЯ"; </w:t>
              <w:br/>
              <w:t xml:space="preserve">- ГОСТа 12.1.030-81 «Система стандартов безопасности труда. Электробезопасность. Защитное заземление. Зануление»; </w:t>
              <w:br/>
              <w:t xml:space="preserve">- Правил устройств электроустановок. </w:t>
              <w:br/>
              <w:t xml:space="preserve">Электропитание аппаратуры оповещения осуществляется от источников переменного тока напряжением 220 В. Оборудование запитывается от существующих на объекте электрощитов через отдельные автоматические выключатели. </w:t>
              <w:br/>
              <w:t xml:space="preserve">Токоведущие составные части технических средств системы оповещения населения должны быть надежно изолированы и не допускать электрического замыкания на корпус, их корпуса должны быть заземлены в соответствии с указаниями, изложенными в эксплуатационной документации на технические средства оповещения. </w:t>
              <w:br/>
              <w:t xml:space="preserve">Монтаж должен производиться с использованием монтажных комплектов, поставляемых с оборудованием. </w:t>
              <w:br/>
            </w:r>
          </w:p>
        </w:tc>
      </w:tr>
    </w:tbl>
    <w:p>
      <w:pPr>
        <w:pStyle w:val="Normal"/>
        <w:jc w:val="both"/>
        <w:rPr/>
      </w:pPr>
      <w:r>
        <w:rPr/>
        <w:t xml:space="preserve">Гарантия на поставляемое оборудование составляет не менее 12 месяцев.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Гарантийный срок рассчитывается с момента подписания документа о приемке. Расходы на гарантийный ремонт оборудования (в течение срока действия гарантии) осуществляются за счет средств Исполнителя. Объем предоставления гарантии качества оборудования распространяется на весь объем передаваемого оборудования. В случае необходимости доставки оборудования в сервисный центр Исполнителя, эту доставку обеспечивает Исполнитель, а также оплачивает все транспортные расходы.</w:t>
      </w:r>
      <w:r>
        <w:br w:type="page"/>
      </w:r>
    </w:p>
    <w:p>
      <w:pPr>
        <w:pStyle w:val="Normal"/>
        <w:jc w:val="both"/>
        <w:rPr/>
      </w:pPr>
      <w:r>
        <w:rPr/>
      </w:r>
    </w:p>
    <w:p>
      <w:pPr>
        <w:pStyle w:val="NormalWeb"/>
        <w:spacing w:lineRule="auto" w:line="240" w:before="280" w:after="0"/>
        <w:jc w:val="center"/>
        <w:rPr/>
      </w:pPr>
      <w:r>
        <w:rPr>
          <w:b/>
          <w:bCs/>
        </w:rPr>
        <w:t>Раздел «</w:t>
      </w:r>
      <w:r>
        <w:rPr>
          <w:b/>
          <w:bCs/>
        </w:rPr>
        <w:t>Технические характеристики поставляемого товара»</w:t>
      </w:r>
      <w:r>
        <w:rPr>
          <w:b/>
          <w:bCs/>
        </w:rPr>
        <w:t xml:space="preserve"> </w:t>
      </w:r>
    </w:p>
    <w:p>
      <w:pPr>
        <w:pStyle w:val="western"/>
        <w:spacing w:before="280" w:after="159"/>
        <w:rPr/>
      </w:pPr>
      <w:r>
        <w:rPr/>
      </w:r>
    </w:p>
    <w:tbl>
      <w:tblPr>
        <w:tblW w:w="4950" w:type="pct"/>
        <w:jc w:val="start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359"/>
        <w:gridCol w:w="2677"/>
        <w:gridCol w:w="2253"/>
        <w:gridCol w:w="2746"/>
        <w:gridCol w:w="1786"/>
      </w:tblGrid>
      <w:tr>
        <w:trPr>
          <w:tblHeader w:val="true"/>
        </w:trPr>
        <w:tc>
          <w:tcPr>
            <w:tcW w:w="3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п/п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Наименование характеристики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Значение характеристики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Единица измерения характеристики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blHeader w:val="true"/>
        </w:trPr>
        <w:tc>
          <w:tcPr>
            <w:tcW w:w="35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western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359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western"/>
              <w:spacing w:before="0" w:after="142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677" w:type="dxa"/>
            <w:vMerge w:val="restart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western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усилительное электронной сирены </w:t>
            </w:r>
          </w:p>
        </w:tc>
        <w:tc>
          <w:tcPr>
            <w:tcW w:w="22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46" w:type="dxa"/>
            <w:tcBorders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786" w:type="dxa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Автономный источник бесперебойного питания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аккумуляторная батарея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Вид климатического исполнения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УХЛ1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Время работы от резервного источника питания в режиме передачи информации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Час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Выполняемые функции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передача речевых сообщений и подача сигнала электронной сирены при работе в комплексе технических средств оповещения различного уровня; - управление звуковой информацией по сети Ethernet и по командам ЦСО 2, 3, 6; - управление речевой информацией по сети Ethernet и по команде ЦСО 5; - формирование сирены «Внимание всем» и «Тревога»; - контроль работоспособности устройства электронной сирены; - формирование и передачу сигнала о несанкционированном вскрытии и запуске устройства электронной сирены; - круглосуточную работу и постоянную готовность к передаче и приему сигналов и информации оповещения; - проверку выходных линий на наличие короткого замыкания, обрыва и перегрузки; - отключение неисправной линии до устранения неисправности; - наличие индикации неисправности выходных линий; - наличие индикации срабатывания защиты при неисправности или перегреве усилителя мощности; - наличие индикации управления от централизованной системы оповещения (ЦСО); - индикацию неисправности платы микроконтроллера; - передача речевых сообщений и подача сигнала электронной сирены при работе в комплексе технических средств оповещения различного уровня.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Год выпуска оборудования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 ранее 2025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Комплект документов на русском языке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Руководства по эксплуатации; формуляры (паспорта).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Комплектность поставки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устройство усилительное электронной сирены 1 шт; рупорный громкоговоритель 6 штук; вставка плавкая 50А 1 шт.; вилка DB-9М с корпусом Н-9 1 шт.; розетка MHU-2 2 шт.; кронштейн крепления громкоговорителей КГР6 1 шт.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Максимальная мощность выхода для подключения громкоговорителей для каждой линии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160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Ватт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Мощность, потребляемая УУЭС от сети переменного тока 220 В при частоте 50 Гц в дежурном режиме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≤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Ватт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Мощность, потребляемая УУЭС от сети переменного тока 220 В при частоте 50 Гц в дежурном режиме при температуре ниже минус 10°С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≤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340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Ватт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Мощность, потребляемая УУЭС от сети переменного тока 220 В при частоте 50 Гц в режиме оповещения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≤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210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Ватт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Мощность, потребляемая УУЭС от сети переменного тока 220 В при частоте 50 Гц в режиме оповещения при температуре ниже минус 10°С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≤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540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Ватт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Номинальная мощность выхода для подключения громкоговорителей для каждой линии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Ватт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Номинальная сопротивление нагрузки каждой линии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Ом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Номинальное напряжение выходов для подключения громкоговорителей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Вольт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Переключение на электроснабжение от резервного источника происходит автоматически при пропадании напряжения на вводе от основного источника питания с последующим автоматическим переключением на основной источник питания при появлении основного питания.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Степень защиты от воздействия окружающей среды (исполнение)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IP65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Суммарная номинальная мощность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600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Ватт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Управление ЭС по сети Ethernet, по радиоканалу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Уровень звукового давления рупорных громкоговорителей при 1 Вт,на расстоянии 1 м, на частоте 1 кГц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114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Децибел </w:t>
            </w:r>
          </w:p>
        </w:tc>
      </w:tr>
      <w:tr>
        <w:trPr/>
        <w:tc>
          <w:tcPr>
            <w:tcW w:w="35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7" w:type="dxa"/>
            <w:vMerge w:val="continue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53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Электропитание ЭС осуществляется от сети переменного тока напряжением 220±22 В при частоте сети 50±2 Гц </w:t>
            </w:r>
          </w:p>
        </w:tc>
        <w:tc>
          <w:tcPr>
            <w:tcW w:w="274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western"/>
              <w:spacing w:before="0" w:after="142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786" w:type="dxa"/>
            <w:tcBorders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western"/>
        <w:spacing w:lineRule="auto" w:line="252" w:before="280" w:after="240"/>
        <w:rPr>
          <w:rFonts w:ascii="Times New Roman" w:hAnsi="Times New Roman" w:cs="Times New Roman"/>
        </w:rPr>
      </w:pPr>
      <w:r>
        <w:rPr/>
        <w:t xml:space="preserve">* </w:t>
      </w:r>
      <w:r>
        <w:rPr>
          <w:rFonts w:cs="Times New Roman" w:ascii="Times New Roman" w:hAnsi="Times New Roman"/>
        </w:rPr>
        <w:t>Товар отсутствует в реестре российской промышленной продукции с характеристиками, соответствующими потребности заказчика.</w:t>
      </w:r>
      <w:r>
        <w:br w:type="page"/>
      </w:r>
    </w:p>
    <w:p>
      <w:pPr>
        <w:pStyle w:val="western"/>
        <w:spacing w:lineRule="auto" w:line="252" w:before="28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western"/>
        <w:spacing w:lineRule="auto" w:line="252" w:before="280" w:after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Адресный перечень:</w:t>
      </w:r>
    </w:p>
    <w:tbl>
      <w:tblPr>
        <w:tblStyle w:val="a4"/>
        <w:tblW w:w="96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58"/>
        <w:gridCol w:w="8647"/>
      </w:tblGrid>
      <w:tr>
        <w:trPr>
          <w:trHeight w:val="300" w:hRule="atLeast"/>
        </w:trPr>
        <w:tc>
          <w:tcPr>
            <w:tcW w:w="9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7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86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установки ТСО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пер. Гвардейский, 50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пер. Политехнический, 16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просп. Ленинский , 92А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просп. Ленинский, 207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просп. Патриотов,1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просп. Революции, 19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20-летия Октября, 84, корпус № 6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25 Января, 40А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9 Января, 108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9 Января, 46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Академика Конопатова, 9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Баррикадная, 29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Беговая, 96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Веры Фигнер, 77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ул. Владимира Невского, 65Б 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Димитрова, д. 81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Дубянского, 4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Загоровского, 17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Кольцовская, 3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Космонавтов, 8А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Ленина, 79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Лескова, 43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Лётчика Филипова, 1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Лидии Рябцевой, 51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Ломоносова, 114/2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Минская, 14</w:t>
            </w:r>
          </w:p>
        </w:tc>
      </w:tr>
      <w:tr>
        <w:trPr>
          <w:trHeight w:val="287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Набережная, 15</w:t>
            </w:r>
          </w:p>
        </w:tc>
      </w:tr>
      <w:tr>
        <w:trPr>
          <w:trHeight w:val="285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П. Осипенко, 4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Паровозная, 62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Переверткина, 5а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Покровская, 18/5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Пушкинская, 39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Силикатная, 14</w:t>
            </w:r>
          </w:p>
        </w:tc>
      </w:tr>
      <w:tr>
        <w:trPr>
          <w:trHeight w:val="30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Советская, 2</w:t>
            </w:r>
          </w:p>
        </w:tc>
      </w:tr>
      <w:tr>
        <w:trPr>
          <w:trHeight w:val="299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Степана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Солодовникова, 2В</w:t>
            </w:r>
          </w:p>
        </w:tc>
      </w:tr>
      <w:tr>
        <w:trPr>
          <w:trHeight w:val="345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Тобольская, 2</w:t>
            </w:r>
          </w:p>
        </w:tc>
      </w:tr>
      <w:tr>
        <w:trPr>
          <w:trHeight w:val="285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Фридриха Энгельса, 23</w:t>
            </w:r>
          </w:p>
        </w:tc>
      </w:tr>
      <w:tr>
        <w:trPr>
          <w:trHeight w:val="270" w:hRule="atLeast"/>
        </w:trPr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64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start="34"/>
              <w:jc w:val="start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Хользунова, 42Д</w:t>
            </w:r>
          </w:p>
        </w:tc>
      </w:tr>
    </w:tbl>
    <w:p>
      <w:pPr>
        <w:pStyle w:val="western"/>
        <w:spacing w:lineRule="auto" w:line="252" w:before="28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western"/>
        <w:spacing w:lineRule="auto" w:line="252" w:before="28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График реализации:</w:t>
      </w:r>
    </w:p>
    <w:tbl>
      <w:tblPr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541"/>
        <w:gridCol w:w="2969"/>
        <w:gridCol w:w="1134"/>
        <w:gridCol w:w="1134"/>
        <w:gridCol w:w="1276"/>
        <w:gridCol w:w="1276"/>
        <w:gridCol w:w="1134"/>
        <w:gridCol w:w="1132"/>
      </w:tblGrid>
      <w:tr>
        <w:trPr/>
        <w:tc>
          <w:tcPr>
            <w:tcW w:w="5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</w:t>
            </w:r>
          </w:p>
        </w:tc>
        <w:tc>
          <w:tcPr>
            <w:tcW w:w="708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 xml:space="preserve">Периоды выполнения поставки, монтажа и наладки оборудования  или отдельных этапов исполнения </w:t>
            </w:r>
            <w:r>
              <w:rPr>
                <w:rFonts w:eastAsia="Times New Roman"/>
              </w:rPr>
              <w:t>Договора</w:t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9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/>
              <w:t>25</w:t>
            </w:r>
            <w:r>
              <w:rPr>
                <w:rFonts w:eastAsia="Times New Roman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/>
              <w:t>25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дней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/>
              <w:t>15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дней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дней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дней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  <w:t>Поставка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</w:tcPr>
          <w:p>
            <w:pPr>
              <w:pStyle w:val="Normal"/>
              <w:snapToGrid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</w:tcPr>
          <w:p>
            <w:pPr>
              <w:pStyle w:val="Normal"/>
              <w:snapToGrid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Обследование мест установки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</w:tcPr>
          <w:p>
            <w:pPr>
              <w:pStyle w:val="Normal"/>
              <w:snapToGrid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</w:tcPr>
          <w:p>
            <w:pPr>
              <w:pStyle w:val="Normal"/>
              <w:snapToGrid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Монтаж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Наладка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Times New Roman"/>
              </w:rPr>
            </w:pPr>
            <w:r>
              <w:rPr>
                <w:rFonts w:eastAsia="Times New Roman"/>
              </w:rPr>
              <w:t>Сдача объекта в эксплуатацию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tabs>
                <w:tab w:val="clear" w:pos="720"/>
                <w:tab w:val="left" w:pos="708" w:leader="none"/>
                <w:tab w:val="left" w:pos="8225" w:leader="none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</w:tbl>
    <w:p>
      <w:pPr>
        <w:pStyle w:val="western"/>
        <w:spacing w:lineRule="auto" w:line="252" w:before="28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eastAsia="" w:eastAsiaTheme="minorEastAsia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msonormal" w:customStyle="1">
    <w:name w:val="msonormal"/>
    <w:basedOn w:val="Normal"/>
    <w:uiPriority w:val="99"/>
    <w:semiHidden/>
    <w:qFormat/>
    <w:pPr>
      <w:spacing w:lineRule="auto" w:line="276" w:beforeAutospacing="1" w:after="142"/>
    </w:pPr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76" w:beforeAutospacing="1" w:after="142"/>
    </w:pPr>
    <w:rPr>
      <w:color w:val="000000"/>
    </w:rPr>
  </w:style>
  <w:style w:type="paragraph" w:styleId="western" w:customStyle="1">
    <w:name w:val="western"/>
    <w:basedOn w:val="Normal"/>
    <w:uiPriority w:val="99"/>
    <w:semiHidden/>
    <w:qFormat/>
    <w:pPr>
      <w:spacing w:lineRule="auto" w:line="276" w:beforeAutospacing="1" w:after="142"/>
    </w:pPr>
    <w:rPr>
      <w:rFonts w:ascii="Calibri" w:hAnsi="Calibri" w:cs="Calibri"/>
      <w:color w:val="000000"/>
      <w:sz w:val="22"/>
      <w:szCs w:val="22"/>
    </w:rPr>
  </w:style>
  <w:style w:type="paragraph" w:styleId="cjk" w:customStyle="1">
    <w:name w:val="cjk"/>
    <w:basedOn w:val="Normal"/>
    <w:uiPriority w:val="99"/>
    <w:semiHidden/>
    <w:qFormat/>
    <w:pPr>
      <w:spacing w:lineRule="auto" w:line="276" w:beforeAutospacing="1" w:after="142"/>
    </w:pPr>
    <w:rPr>
      <w:rFonts w:ascii="Calibri" w:hAnsi="Calibri" w:cs="Calibri"/>
      <w:color w:val="000000"/>
      <w:sz w:val="22"/>
      <w:szCs w:val="22"/>
    </w:rPr>
  </w:style>
  <w:style w:type="paragraph" w:styleId="ctl" w:customStyle="1">
    <w:name w:val="ctl"/>
    <w:basedOn w:val="Normal"/>
    <w:uiPriority w:val="99"/>
    <w:semiHidden/>
    <w:qFormat/>
    <w:pPr>
      <w:spacing w:lineRule="auto" w:line="276" w:beforeAutospacing="1" w:after="142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c25ac"/>
    <w:pPr>
      <w:spacing w:lineRule="auto" w:line="276" w:before="0" w:after="200"/>
      <w:ind w:start="720"/>
      <w:contextualSpacing/>
      <w:jc w:val="both"/>
    </w:pPr>
    <w:rPr>
      <w:rFonts w:eastAsia="Calibri" w:cs="" w:cstheme="minorBidi" w:eastAsiaTheme="minorHAnsi"/>
      <w:sz w:val="28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c25ac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LibreOffice/25.8.0.4$Linux_X86_64 LibreOffice_project/48f00303701489684e67c38c28aff00cd5929e67</Application>
  <AppVersion>15.0000</AppVersion>
  <Pages>11</Pages>
  <Words>1503</Words>
  <Characters>10321</Characters>
  <CharactersWithSpaces>11749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2026-04-29T12:35:00Z</dcterms:created>
  <dc:creator>Nout</dc:creator>
  <dc:description/>
  <dc:language>ru-RU</dc:language>
  <cp:lastModifiedBy/>
  <dcterms:modified xsi:type="dcterms:W3CDTF">2026-04-29T15:50:13Z</dcterms:modified>
  <cp:revision>3</cp:revision>
  <dc:subject/>
  <dc:title>Закупка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