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_rels/document.xml.rels" ContentType="application/vnd.openxmlformats-package.relationships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Технические требования на поставку МТР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«ОКПД2 26.51. Поставка форм ЛО для нужд АО «ВНИИГ им. Б.Е. Веденеева»</w:t>
      </w:r>
    </w:p>
    <w:p>
      <w:pPr>
        <w:pStyle w:val="Normal"/>
        <w:tabs>
          <w:tab w:val="clear" w:pos="708"/>
          <w:tab w:val="left" w:pos="5805" w:leader="none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tabs>
          <w:tab w:val="clear" w:pos="708"/>
          <w:tab w:val="left" w:pos="5805" w:leader="none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360" w:before="0" w:after="0"/>
        <w:ind w:left="-284" w:right="-286" w:firstLine="284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360" w:before="0" w:after="0"/>
        <w:ind w:left="720" w:right="-286" w:hanging="360"/>
        <w:contextualSpacing/>
        <w:jc w:val="center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bookmarkStart w:id="0" w:name="_Ref124942916"/>
      <w:bookmarkStart w:id="1" w:name="_Ref124942913"/>
      <w:r>
        <w:rPr>
          <w:rFonts w:eastAsia="Calibri" w:cs="Times New Roman" w:ascii="Times New Roman" w:hAnsi="Times New Roman"/>
          <w:b/>
          <w:sz w:val="24"/>
          <w:szCs w:val="24"/>
        </w:rPr>
        <w:t>Общие сведения</w:t>
      </w:r>
      <w:bookmarkEnd w:id="0"/>
      <w:bookmarkEnd w:id="1"/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 xml:space="preserve"> </w:t>
      </w:r>
      <w:bookmarkStart w:id="2" w:name="_Ref124943483"/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>Обозначения и сокращения</w:t>
      </w:r>
      <w:bookmarkEnd w:id="2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tbl>
      <w:tblPr>
        <w:tblStyle w:val="affa"/>
        <w:tblW w:w="9133" w:type="dxa"/>
        <w:jc w:val="left"/>
        <w:tblInd w:w="7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938"/>
        <w:gridCol w:w="7194"/>
      </w:tblGrid>
      <w:tr>
        <w:trPr/>
        <w:tc>
          <w:tcPr>
            <w:tcW w:w="19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b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  <w:tc>
          <w:tcPr>
            <w:tcW w:w="71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eastAsia="Calibri" w:cs="Times New Roman" w:ascii="Times New Roman" w:hAnsi="Times New Roman"/>
                <w:kern w:val="0"/>
                <w:sz w:val="24"/>
                <w:szCs w:val="24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1938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/>
              </w:rPr>
            </w:r>
          </w:p>
        </w:tc>
        <w:tc>
          <w:tcPr>
            <w:tcW w:w="7194" w:type="dxa"/>
            <w:tcBorders/>
          </w:tcPr>
          <w:p>
            <w:pPr>
              <w:pStyle w:val="ListParagraph"/>
              <w:widowControl w:val="false"/>
              <w:suppressAutoHyphens w:val="true"/>
              <w:spacing w:lineRule="auto" w:line="240" w:before="0" w:after="0"/>
              <w:ind w:left="0" w:hanging="0"/>
              <w:contextualSpacing/>
              <w:jc w:val="center"/>
              <w:rPr>
                <w:rFonts w:ascii="Times New Roman" w:hAnsi="Times New Roman" w:eastAsia="Calibri" w:cs="Times New Roman"/>
                <w:b/>
                <w:sz w:val="24"/>
                <w:szCs w:val="24"/>
                <w:lang w:val="en-US"/>
              </w:rPr>
            </w:pPr>
            <w:r>
              <w:rPr>
                <w:rFonts w:eastAsia="Calibri" w:cs="Times New Roman" w:ascii="Times New Roman" w:hAnsi="Times New Roman"/>
                <w:b/>
                <w:sz w:val="24"/>
                <w:szCs w:val="24"/>
                <w:lang w:val="en-US"/>
              </w:rPr>
            </w:r>
          </w:p>
        </w:tc>
      </w:tr>
    </w:tbl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 xml:space="preserve"> </w:t>
      </w:r>
      <w:bookmarkStart w:id="3" w:name="_Ref124943524"/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  <w:t>Наименование закупаемой продукции</w:t>
      </w:r>
      <w:bookmarkEnd w:id="3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ListParagraph"/>
        <w:numPr>
          <w:ilvl w:val="1"/>
          <w:numId w:val="1"/>
        </w:numPr>
        <w:spacing w:lineRule="auto" w:line="240" w:before="0" w:after="0"/>
        <w:ind w:left="720" w:right="-284" w:hanging="36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</w:t>
      </w:r>
      <w:bookmarkStart w:id="4" w:name="_Ref124943607"/>
      <w:r>
        <w:rPr>
          <w:rFonts w:eastAsia="Calibri" w:cs="Times New Roman" w:ascii="Times New Roman" w:hAnsi="Times New Roman"/>
          <w:b/>
          <w:sz w:val="24"/>
          <w:szCs w:val="24"/>
        </w:rPr>
        <w:t>Цель использования закупаемой продукции</w:t>
      </w:r>
      <w:bookmarkEnd w:id="4"/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Целью закупки является  приобретение  оборудования  для  нужд ВНИИГ.</w:t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360" w:before="0" w:after="0"/>
        <w:ind w:left="720" w:right="-286" w:hanging="0"/>
        <w:contextualSpacing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5" w:name="_Ref124943717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продукции</w:t>
      </w:r>
      <w:bookmarkEnd w:id="5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1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 </w:t>
      </w:r>
      <w:bookmarkStart w:id="6" w:name="_Ref124943765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объемам и срокам поставки</w:t>
      </w:r>
      <w:bookmarkEnd w:id="6"/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7" w:name="_Ref124943853"/>
      <w:r>
        <w:rPr>
          <w:rFonts w:eastAsia="Calibri" w:cs="Times New Roman" w:ascii="Times New Roman" w:hAnsi="Times New Roman"/>
          <w:b/>
          <w:sz w:val="24"/>
          <w:szCs w:val="24"/>
        </w:rPr>
        <w:t>Перечень и объем закупаемой продукции</w:t>
      </w:r>
      <w:bookmarkEnd w:id="7"/>
    </w:p>
    <w:p>
      <w:pPr>
        <w:pStyle w:val="ListParagraph"/>
        <w:ind w:left="1080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Таблица 1.1 Перечень и объем закупаемой продукции</w:t>
      </w:r>
    </w:p>
    <w:tbl>
      <w:tblPr>
        <w:tblW w:w="9812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6"/>
        <w:gridCol w:w="6130"/>
        <w:gridCol w:w="1419"/>
        <w:gridCol w:w="1416"/>
      </w:tblGrid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>
          <w:trHeight w:val="18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lang w:eastAsia="ru-RU"/>
              </w:rPr>
              <w:t>1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 ФАС (ЛО-257) по ГОСТ 12801 внутренний диаметр 50,5 мм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</w:tr>
      <w:tr>
        <w:trPr>
          <w:trHeight w:val="182" w:hRule="atLeast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0"/>
                <w:lang w:eastAsia="ru-RU"/>
              </w:rPr>
              <w:t>2</w:t>
            </w:r>
          </w:p>
        </w:tc>
        <w:tc>
          <w:tcPr>
            <w:tcW w:w="6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 ФАС (ЛО-257) по ГОСТ 12801 внутренний диаметр  71,4 мм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200"/>
              <w:jc w:val="center"/>
              <w:rPr/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шт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bookmarkStart w:id="8" w:name="_GoBack"/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</w:t>
            </w:r>
            <w:bookmarkEnd w:id="8"/>
          </w:p>
        </w:tc>
      </w:tr>
    </w:tbl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cs="Times New Roman" w:ascii="Times New Roman" w:hAnsi="Times New Roman"/>
          <w:color w:val="auto"/>
          <w:sz w:val="24"/>
          <w:szCs w:val="24"/>
        </w:rPr>
      </w:r>
    </w:p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9" w:name="_Ref124944214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1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.2 Перечень и объем закупаемых сопутствующих услуг</w:t>
      </w:r>
      <w:bookmarkEnd w:id="9"/>
    </w:p>
    <w:tbl>
      <w:tblPr>
        <w:tblW w:w="9810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849"/>
        <w:gridCol w:w="4849"/>
        <w:gridCol w:w="1988"/>
        <w:gridCol w:w="2123"/>
      </w:tblGrid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№</w:t>
            </w:r>
          </w:p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Количество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ind w:left="360" w:hanging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Normal"/>
        <w:ind w:left="360" w:hanging="0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r>
        <w:rPr>
          <w:rFonts w:eastAsia="Calibri" w:cs="Times New Roman" w:ascii="Times New Roman" w:hAnsi="Times New Roman"/>
          <w:b/>
          <w:sz w:val="24"/>
          <w:szCs w:val="24"/>
          <w:lang w:val="en-US"/>
        </w:rPr>
      </w:r>
    </w:p>
    <w:p>
      <w:pPr>
        <w:pStyle w:val="ListParagraph"/>
        <w:numPr>
          <w:ilvl w:val="2"/>
          <w:numId w:val="1"/>
        </w:numPr>
        <w:rPr>
          <w:rFonts w:ascii="Times New Roman" w:hAnsi="Times New Roman" w:eastAsia="Calibri" w:cs="Times New Roman"/>
          <w:b/>
          <w:sz w:val="24"/>
          <w:szCs w:val="24"/>
        </w:rPr>
      </w:pPr>
      <w:bookmarkStart w:id="10" w:name="_Ref124944289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срокам поставки продукции и оказания сопутствующих услуг</w:t>
      </w:r>
      <w:bookmarkEnd w:id="10"/>
    </w:p>
    <w:p>
      <w:pPr>
        <w:pStyle w:val="ListParagraph"/>
        <w:ind w:left="1080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  <w:szCs w:val="24"/>
        </w:rPr>
      </w:pPr>
      <w:bookmarkStart w:id="11" w:name="_Ref124944389"/>
      <w:r>
        <w:rPr>
          <w:rFonts w:cs="Times New Roman" w:ascii="Times New Roman" w:hAnsi="Times New Roman"/>
          <w:color w:val="auto"/>
          <w:sz w:val="24"/>
          <w:szCs w:val="24"/>
        </w:rPr>
        <w:t xml:space="preserve">Таблица </w:t>
      </w:r>
      <w:r>
        <w:rPr>
          <w:rFonts w:cs="Times New Roman" w:ascii="Times New Roman" w:hAnsi="Times New Roman"/>
          <w:color w:val="auto"/>
          <w:sz w:val="24"/>
          <w:szCs w:val="24"/>
        </w:rPr>
        <w:fldChar w:fldCharType="begin"/>
      </w:r>
      <w:r>
        <w:rPr>
          <w:sz w:val="24"/>
          <w:szCs w:val="24"/>
          <w:rFonts w:cs="Times New Roman" w:ascii="Times New Roman" w:hAnsi="Times New Roman"/>
          <w:color w:val="auto"/>
        </w:rPr>
        <w:instrText xml:space="preserve"> SEQ Таблица \* ARABIC </w:instrTex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separate"/>
      </w:r>
      <w:r>
        <w:rPr>
          <w:sz w:val="24"/>
          <w:szCs w:val="24"/>
          <w:rFonts w:cs="Times New Roman" w:ascii="Times New Roman" w:hAnsi="Times New Roman"/>
          <w:color w:val="auto"/>
        </w:rPr>
        <w:t>2</w:t>
      </w:r>
      <w:r>
        <w:rPr>
          <w:sz w:val="24"/>
          <w:szCs w:val="24"/>
          <w:rFonts w:cs="Times New Roman" w:ascii="Times New Roman" w:hAnsi="Times New Roman"/>
          <w:color w:val="auto"/>
        </w:rPr>
        <w:fldChar w:fldCharType="end"/>
      </w:r>
      <w:r>
        <w:rPr>
          <w:rFonts w:cs="Times New Roman" w:ascii="Times New Roman" w:hAnsi="Times New Roman"/>
          <w:color w:val="auto"/>
          <w:sz w:val="24"/>
          <w:szCs w:val="24"/>
        </w:rPr>
        <w:t>.1 Требования по срокам поставки продукции</w:t>
      </w:r>
      <w:bookmarkEnd w:id="11"/>
    </w:p>
    <w:tbl>
      <w:tblPr>
        <w:tblW w:w="9776" w:type="dxa"/>
        <w:jc w:val="left"/>
        <w:tblInd w:w="109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30"/>
        <w:gridCol w:w="2699"/>
        <w:gridCol w:w="2830"/>
        <w:gridCol w:w="3116"/>
      </w:tblGrid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продукции / партии продукции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поставки продукции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24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поставки продукции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 ФАС (ЛО-257) по ГОСТ 12801 внутренний диаметр 50,5 мм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 (пятнадцать) календарных дней с даты, следующей за датой заключения договора</w:t>
            </w:r>
          </w:p>
        </w:tc>
      </w:tr>
      <w:tr>
        <w:trPr/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360" w:hanging="0"/>
              <w:contextualSpacing/>
              <w:jc w:val="center"/>
              <w:rPr>
                <w:rFonts w:ascii="Times New Roman" w:hAnsi="Times New Roman" w:eastAsia="Calibri" w:cs="Times New Roman"/>
                <w:sz w:val="24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keepNext w:val="true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Форма ФАС (ЛО-257) по ГОСТ 12801 внутренний диаметр  71,4 мм</w:t>
            </w:r>
          </w:p>
        </w:tc>
        <w:tc>
          <w:tcPr>
            <w:tcW w:w="2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С даты, следующей за датой заключения договора</w:t>
            </w:r>
          </w:p>
        </w:tc>
        <w:tc>
          <w:tcPr>
            <w:tcW w:w="3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15  (пятнадцать) календарных дней с даты, следующей за датой заключения договора</w:t>
            </w:r>
          </w:p>
        </w:tc>
      </w:tr>
    </w:tbl>
    <w:p>
      <w:pPr>
        <w:pStyle w:val="Normal"/>
        <w:keepNext w:val="true"/>
        <w:keepLines/>
        <w:numPr>
          <w:ilvl w:val="0"/>
          <w:numId w:val="0"/>
        </w:numPr>
        <w:spacing w:lineRule="auto" w:line="240" w:before="240" w:after="60"/>
        <w:ind w:left="0" w:firstLine="426"/>
        <w:outlineLvl w:val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Caption11"/>
        <w:keepNext w:val="true"/>
        <w:rPr>
          <w:rFonts w:ascii="Times New Roman" w:hAnsi="Times New Roman" w:cs="Times New Roman"/>
          <w:color w:val="auto"/>
          <w:sz w:val="24"/>
        </w:rPr>
      </w:pPr>
      <w:r>
        <w:rPr>
          <w:rFonts w:cs="Times New Roman" w:ascii="Times New Roman" w:hAnsi="Times New Roman"/>
          <w:color w:val="auto"/>
          <w:sz w:val="24"/>
        </w:rPr>
        <w:t>Таблица 2.2  Требования по срокам оказания сопутствующих услуг</w:t>
      </w:r>
    </w:p>
    <w:tbl>
      <w:tblPr>
        <w:tblW w:w="991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26"/>
        <w:gridCol w:w="2130"/>
        <w:gridCol w:w="2268"/>
        <w:gridCol w:w="2551"/>
        <w:gridCol w:w="1843"/>
      </w:tblGrid>
      <w:tr>
        <w:trPr/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Наименование услуг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началу срока оказания услуг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Требования к окончанию срока оказания услуг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Примечание</w:t>
            </w:r>
          </w:p>
        </w:tc>
      </w:tr>
      <w:tr>
        <w:trPr/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>
        <w:trPr/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40" w:after="40"/>
              <w:ind w:left="57" w:right="57" w:hanging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>
      <w:p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sectPr>
          <w:footerReference w:type="default" r:id="rId2"/>
          <w:type w:val="nextPage"/>
          <w:pgSz w:w="11906" w:h="16838"/>
          <w:pgMar w:left="1418" w:right="851" w:gutter="0" w:header="0" w:top="567" w:footer="284" w:bottom="341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Times New Roman" w:cs="Times New Roman" w:ascii="Times New Roman" w:hAnsi="Times New Roman"/>
          <w:bCs/>
          <w:iCs/>
          <w:sz w:val="24"/>
          <w:szCs w:val="24"/>
          <w:lang w:eastAsia="ru-RU"/>
        </w:rPr>
        <w:t>:</w:t>
      </w:r>
    </w:p>
    <w:p>
      <w:pPr>
        <w:pStyle w:val="ListParagraph"/>
        <w:numPr>
          <w:ilvl w:val="1"/>
          <w:numId w:val="1"/>
        </w:numPr>
        <w:ind w:left="993" w:hanging="0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качеству продукции</w:t>
      </w:r>
    </w:p>
    <w:p>
      <w:pPr>
        <w:pStyle w:val="Normal"/>
        <w:keepNext w:val="true"/>
        <w:tabs>
          <w:tab w:val="clear" w:pos="708"/>
          <w:tab w:val="left" w:pos="5835" w:leader="none"/>
        </w:tabs>
        <w:spacing w:lineRule="auto" w:line="240"/>
        <w:ind w:left="993" w:hanging="0"/>
        <w:rPr/>
      </w:pPr>
      <w:bookmarkStart w:id="12" w:name="_Ref124944990"/>
      <w:r>
        <w:rPr>
          <w:rFonts w:cs="Times New Roman" w:ascii="Times New Roman" w:hAnsi="Times New Roman"/>
          <w:b/>
          <w:bCs/>
          <w:sz w:val="24"/>
          <w:szCs w:val="24"/>
        </w:rPr>
        <w:t>Таблица 2.3 Требования к продукции</w:t>
      </w:r>
      <w:bookmarkEnd w:id="12"/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                </w:t>
      </w: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 xml:space="preserve">Наименование продукции (позиция №1 и №2 Таблицы 1.1): Форма ФАС (ЛО-257) по ГОСТ 12801 внутренний диаметр 50,5 мм и </w:t>
      </w:r>
      <w:r>
        <w:rPr>
          <w:rFonts w:eastAsia="Times New Roman" w:cs="Arial" w:ascii="Arial" w:hAnsi="Arial"/>
          <w:bCs/>
          <w:sz w:val="21"/>
          <w:szCs w:val="21"/>
          <w:lang w:eastAsia="ru-RU"/>
        </w:rPr>
        <w:t>71,4мм</w:t>
      </w:r>
    </w:p>
    <w:tbl>
      <w:tblPr>
        <w:tblStyle w:val="26"/>
        <w:tblW w:w="15007" w:type="dxa"/>
        <w:jc w:val="righ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42"/>
        <w:gridCol w:w="5529"/>
        <w:gridCol w:w="4229"/>
        <w:gridCol w:w="3406"/>
      </w:tblGrid>
      <w:tr>
        <w:trPr>
          <w:trHeight w:val="293" w:hRule="atLeast"/>
        </w:trPr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 xml:space="preserve">№ </w:t>
            </w: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п/п</w:t>
            </w:r>
          </w:p>
        </w:tc>
        <w:tc>
          <w:tcPr>
            <w:tcW w:w="5529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Наименование параметра</w:t>
            </w:r>
          </w:p>
        </w:tc>
        <w:tc>
          <w:tcPr>
            <w:tcW w:w="7635" w:type="dxa"/>
            <w:gridSpan w:val="2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kern w:val="0"/>
                <w:sz w:val="24"/>
                <w:szCs w:val="24"/>
                <w:lang w:val="ru-RU" w:eastAsia="ru-RU" w:bidi="ar-SA"/>
              </w:rPr>
              <w:t>Требование заказчика</w:t>
            </w:r>
          </w:p>
        </w:tc>
      </w:tr>
      <w:tr>
        <w:trPr>
          <w:trHeight w:val="293" w:hRule="atLeast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5529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  <w:tc>
          <w:tcPr>
            <w:tcW w:w="7635" w:type="dxa"/>
            <w:gridSpan w:val="2"/>
            <w:vMerge w:val="continue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60" w:after="60"/>
              <w:jc w:val="center"/>
              <w:rPr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9" w:type="dxa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7635" w:type="dxa"/>
            <w:gridSpan w:val="2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3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2"/>
              </w:numPr>
              <w:suppressAutoHyphens w:val="true"/>
              <w:spacing w:lineRule="auto" w:line="240" w:before="60" w:after="6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13164" w:type="dxa"/>
            <w:gridSpan w:val="3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kern w:val="0"/>
                <w:sz w:val="24"/>
                <w:szCs w:val="24"/>
                <w:lang w:val="ru-RU" w:eastAsia="ru-RU" w:bidi="ar-SA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>
        <w:trPr>
          <w:trHeight w:val="150" w:hRule="atLeast"/>
        </w:trPr>
        <w:tc>
          <w:tcPr>
            <w:tcW w:w="1842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sz w:val="21"/>
                <w:szCs w:val="21"/>
              </w:rPr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диаметр 50,5 мм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Times New Roman" w:ascii="Times New Roman" w:hAnsi="Times New Roman"/>
                <w:kern w:val="0"/>
                <w:sz w:val="24"/>
                <w:szCs w:val="24"/>
                <w:lang w:val="ru-RU" w:eastAsia="ru-RU" w:bidi="ar-SA"/>
              </w:rPr>
              <w:t>диаметр 71,4 мм</w:t>
            </w:r>
          </w:p>
        </w:tc>
      </w:tr>
      <w:tr>
        <w:trPr>
          <w:trHeight w:val="135" w:hRule="atLeast"/>
        </w:trPr>
        <w:tc>
          <w:tcPr>
            <w:tcW w:w="1842" w:type="dxa"/>
            <w:vMerge w:val="continue"/>
            <w:tcBorders/>
            <w:vAlign w:val="center"/>
          </w:tcPr>
          <w:p>
            <w:pPr>
              <w:pStyle w:val="Normal"/>
              <w:widowControl w:val="false"/>
              <w:numPr>
                <w:ilvl w:val="0"/>
                <w:numId w:val="0"/>
              </w:numPr>
              <w:suppressAutoHyphens w:val="true"/>
              <w:spacing w:lineRule="auto" w:line="240" w:before="60" w:after="60"/>
              <w:ind w:left="-117" w:hanging="0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Внутренний диаметр цилиндра, мм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50,50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71,40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  <w:bookmarkStart w:id="13" w:name="_Ref124944058"/>
            <w:bookmarkStart w:id="14" w:name="_Ref124944058"/>
            <w:bookmarkEnd w:id="14"/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Высота цилиндра, мм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130,0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160,0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Диаметр верхнего плунжера, мм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50,50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71,40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Высота верхнего плунжера, мм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80,0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100,0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Диаметр нижнего плунжера, мм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50,50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71,40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left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Высота нижнего плунжера, мм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50,0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60,0</w:t>
            </w:r>
          </w:p>
        </w:tc>
      </w:tr>
      <w:tr>
        <w:trPr/>
        <w:tc>
          <w:tcPr>
            <w:tcW w:w="1842" w:type="dxa"/>
            <w:tcBorders/>
            <w:vAlign w:val="center"/>
          </w:tcPr>
          <w:p>
            <w:pPr>
              <w:pStyle w:val="Normal"/>
              <w:widowControl w:val="false"/>
              <w:numPr>
                <w:ilvl w:val="1"/>
                <w:numId w:val="2"/>
              </w:numPr>
              <w:suppressAutoHyphens w:val="true"/>
              <w:spacing w:lineRule="auto" w:line="240" w:before="60" w:after="60"/>
              <w:ind w:left="-117" w:firstLine="142"/>
              <w:contextualSpacing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</w:r>
          </w:p>
        </w:tc>
        <w:tc>
          <w:tcPr>
            <w:tcW w:w="5529" w:type="dxa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left"/>
              <w:rPr>
                <w:rFonts w:ascii="Arial" w:hAnsi="Arial" w:cs="Arial"/>
                <w:color w:val="212529"/>
                <w:shd w:fill="FFFFFF" w:val="clear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Масса, кг</w:t>
            </w:r>
          </w:p>
        </w:tc>
        <w:tc>
          <w:tcPr>
            <w:tcW w:w="422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3,0</w:t>
            </w:r>
          </w:p>
        </w:tc>
        <w:tc>
          <w:tcPr>
            <w:tcW w:w="340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center"/>
              <w:rPr>
                <w:rFonts w:ascii="Arial" w:hAnsi="Arial" w:eastAsia="Times New Roman" w:cs="Arial"/>
                <w:color w:val="333333"/>
                <w:sz w:val="21"/>
                <w:szCs w:val="21"/>
              </w:rPr>
            </w:pPr>
            <w:r>
              <w:rPr>
                <w:rFonts w:eastAsia="Times New Roman" w:cs="Arial" w:ascii="Arial" w:hAnsi="Arial"/>
                <w:color w:val="333333"/>
                <w:kern w:val="0"/>
                <w:sz w:val="21"/>
                <w:szCs w:val="21"/>
                <w:lang w:val="ru-RU" w:eastAsia="ru-RU" w:bidi="ar-SA"/>
              </w:rPr>
              <w:t>6,0</w:t>
            </w:r>
          </w:p>
        </w:tc>
      </w:tr>
    </w:tbl>
    <w:p>
      <w:pPr>
        <w:pStyle w:val="Normal"/>
        <w:rPr>
          <w:b/>
          <w:lang w:eastAsia="ru-RU"/>
        </w:rPr>
      </w:pPr>
      <w:r>
        <w:rPr>
          <w:b/>
          <w:lang w:eastAsia="ru-RU"/>
        </w:rPr>
      </w:r>
    </w:p>
    <w:p>
      <w:pPr>
        <w:pStyle w:val="Normal"/>
        <w:rPr>
          <w:b/>
          <w:lang w:eastAsia="ru-RU"/>
        </w:rPr>
      </w:pPr>
      <w:r>
        <w:rPr>
          <w:b/>
          <w:lang w:eastAsia="ru-RU"/>
        </w:rPr>
      </w:r>
    </w:p>
    <w:p>
      <w:pPr>
        <w:sectPr>
          <w:footerReference w:type="default" r:id="rId3"/>
          <w:footerReference w:type="first" r:id="rId4"/>
          <w:type w:val="nextPage"/>
          <w:pgSz w:orient="landscape" w:w="16838" w:h="11906"/>
          <w:pgMar w:left="238" w:right="567" w:gutter="0" w:header="0" w:top="1418" w:footer="284" w:bottom="851"/>
          <w:pgNumType w:fmt="decimal"/>
          <w:formProt w:val="false"/>
          <w:textDirection w:val="lrTb"/>
          <w:docGrid w:type="default" w:linePitch="360" w:charSpace="8192"/>
        </w:sectPr>
        <w:pStyle w:val="Normal"/>
        <w:rPr>
          <w:b/>
          <w:lang w:eastAsia="ru-RU"/>
        </w:rPr>
      </w:pPr>
      <w:r>
        <w:rPr>
          <w:b/>
          <w:lang w:eastAsia="ru-RU"/>
        </w:rPr>
      </w:r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numPr>
          <w:ilvl w:val="0"/>
          <w:numId w:val="1"/>
        </w:numPr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bookmarkStart w:id="15" w:name="_Ref124945574"/>
      <w:r>
        <w:rPr>
          <w:rFonts w:eastAsia="Calibri" w:cs="Times New Roman" w:ascii="Times New Roman" w:hAnsi="Times New Roman"/>
          <w:b/>
          <w:sz w:val="24"/>
          <w:szCs w:val="24"/>
        </w:rPr>
        <w:t>Требования к документации по ценообразованию на этапе закупки</w:t>
      </w:r>
      <w:bookmarkEnd w:id="15"/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41"/>
        <w:numPr>
          <w:ilvl w:val="1"/>
          <w:numId w:val="1"/>
        </w:numPr>
        <w:shd w:val="clear" w:color="auto" w:fill="auto"/>
        <w:spacing w:lineRule="exact" w:line="248"/>
        <w:ind w:left="567" w:hanging="567"/>
        <w:jc w:val="both"/>
        <w:rPr>
          <w:rFonts w:ascii="Times New Roman" w:hAnsi="Times New Roman" w:eastAsia="Calibri" w:cs="Times New Roman"/>
          <w:spacing w:val="0"/>
          <w:sz w:val="24"/>
          <w:szCs w:val="24"/>
        </w:rPr>
      </w:pPr>
      <w:r>
        <w:rPr>
          <w:rFonts w:eastAsia="Calibri" w:cs="Times New Roman" w:ascii="Times New Roman" w:hAnsi="Times New Roman"/>
          <w:spacing w:val="0"/>
          <w:sz w:val="24"/>
          <w:szCs w:val="24"/>
        </w:rPr>
        <w:t>Стоимость Товара в предложении участника указывается с учетом НДС/ без НДС, и должна включать  прибыль Поставщика, а также расходы Поставщика на производство или приобретение, стоимость тары и упаковки, лицензий, необходимых для использования Товара (если применимо), подлежащие уплате налоги, сборы и пошлины (в т. ч. по таможенному оформлению, если применимо), а также все прочие затраты и расходы Поставщика, связанные с поставкой Товара и исполнением иных обязательств по Договору.</w:t>
      </w:r>
    </w:p>
    <w:p>
      <w:pPr>
        <w:pStyle w:val="41"/>
        <w:numPr>
          <w:ilvl w:val="1"/>
          <w:numId w:val="1"/>
        </w:numPr>
        <w:shd w:val="clear" w:color="auto" w:fill="auto"/>
        <w:spacing w:lineRule="exact" w:line="248"/>
        <w:ind w:left="567" w:hanging="567"/>
        <w:jc w:val="bot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spacing w:val="0"/>
          <w:sz w:val="24"/>
          <w:szCs w:val="24"/>
        </w:rPr>
        <w:t>Вместе с Коммерческим предложением Участник должен предоставить в составе заявки заполненную спецификацию поставляемого оборудования.</w:t>
      </w:r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</w:r>
    </w:p>
    <w:p>
      <w:pPr>
        <w:pStyle w:val="ListParagraph"/>
        <w:spacing w:lineRule="auto" w:line="240" w:before="0" w:after="0"/>
        <w:ind w:left="720" w:right="-284" w:hanging="0"/>
        <w:contextualSpacing/>
        <w:rPr>
          <w:rFonts w:ascii="Times New Roman" w:hAnsi="Times New Roman" w:eastAsia="Calibri" w:cs="Times New Roman"/>
          <w:sz w:val="24"/>
          <w:szCs w:val="24"/>
        </w:rPr>
      </w:pPr>
      <w:r>
        <w:rPr/>
      </w:r>
    </w:p>
    <w:sectPr>
      <w:footerReference w:type="default" r:id="rId5"/>
      <w:footerReference w:type="first" r:id="rId6"/>
      <w:type w:val="nextPage"/>
      <w:pgSz w:w="11906" w:h="16838"/>
      <w:pgMar w:left="1418" w:right="851" w:gutter="0" w:header="0" w:top="567" w:footer="284" w:bottom="34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Calibri">
    <w:charset w:val="01"/>
    <w:family w:val="roman"/>
    <w:pitch w:val="variable"/>
  </w:font>
  <w:font w:name="Cambria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65162122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3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suppressAutoHyphens w:val="true"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815188216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4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suppressAutoHyphens w:val="true"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923672320"/>
    </w:sdtPr>
    <w:sdtContent>
      <w:p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5</w:t>
        </w:r>
        <w:r>
          <w:rPr/>
          <w:fldChar w:fldCharType="end"/>
        </w:r>
      </w:p>
      <w:p>
        <w:pPr>
          <w:pStyle w:val="Footer"/>
          <w:rPr/>
        </w:pPr>
        <w:r>
          <w:rPr/>
        </w:r>
      </w:p>
      <w:p>
        <w:pPr>
          <w:pStyle w:val="Normal"/>
          <w:widowControl/>
          <w:suppressAutoHyphens w:val="true"/>
          <w:bidi w:val="0"/>
          <w:spacing w:lineRule="auto" w:line="276" w:before="0" w:after="200"/>
          <w:jc w:val="left"/>
          <w:rPr/>
        </w:pPr>
        <w:r>
          <w:rPr/>
        </w:r>
      </w:p>
    </w:sdtContent>
  </w:sdt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/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b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/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z w:val="24"/>
        <w:b/>
        <w:szCs w:val="24"/>
        <w:bCs w:val="false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1" w:hanging="432"/>
      </w:pPr>
      <w:rPr>
        <w:sz w:val="24"/>
        <w:b w:val="false"/>
        <w:szCs w:val="24"/>
        <w:bCs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/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/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/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7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0"/>
      <w:outlineLvl w:val="0"/>
    </w:pPr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22"/>
    <w:uiPriority w:val="9"/>
    <w:semiHidden/>
    <w:unhideWhenUsed/>
    <w:qFormat/>
    <w:pPr>
      <w:keepNext w:val="true"/>
      <w:keepLines/>
      <w:spacing w:before="200" w:after="0"/>
      <w:outlineLvl w:val="1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3"/>
    <w:uiPriority w:val="9"/>
    <w:semiHidden/>
    <w:unhideWhenUsed/>
    <w:qFormat/>
    <w:pPr>
      <w:keepNext w:val="true"/>
      <w:keepLines/>
      <w:spacing w:before="200" w:after="0"/>
      <w:outlineLvl w:val="2"/>
    </w:pPr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eading1Char" w:customStyle="1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 w:customStyle="1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 w:customStyle="1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" w:customStyle="1">
    <w:name w:val="Название Знак"/>
    <w:basedOn w:val="DefaultParagraphFont"/>
    <w:uiPriority w:val="10"/>
    <w:qFormat/>
    <w:rPr>
      <w:sz w:val="48"/>
      <w:szCs w:val="48"/>
    </w:rPr>
  </w:style>
  <w:style w:type="character" w:styleId="Style1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" w:customStyle="1">
    <w:name w:val="Цитата 2 Знак"/>
    <w:link w:val="Quote"/>
    <w:uiPriority w:val="29"/>
    <w:qFormat/>
    <w:rPr>
      <w:i/>
    </w:rPr>
  </w:style>
  <w:style w:type="character" w:styleId="Style2" w:customStyle="1">
    <w:name w:val="Выделенная цитата Знак"/>
    <w:link w:val="IntenseQuote"/>
    <w:uiPriority w:val="30"/>
    <w:qFormat/>
    <w:rPr>
      <w:i/>
    </w:rPr>
  </w:style>
  <w:style w:type="character" w:styleId="HeaderChar" w:customStyle="1">
    <w:name w:val="Header Char"/>
    <w:basedOn w:val="DefaultParagraphFont"/>
    <w:uiPriority w:val="99"/>
    <w:qFormat/>
    <w:rPr/>
  </w:style>
  <w:style w:type="character" w:styleId="FooterChar" w:customStyle="1">
    <w:name w:val="Footer Char"/>
    <w:basedOn w:val="DefaultParagraphFont"/>
    <w:uiPriority w:val="99"/>
    <w:qFormat/>
    <w:rPr/>
  </w:style>
  <w:style w:type="character" w:styleId="CaptionChar" w:customStyle="1">
    <w:name w:val="Caption Char"/>
    <w:uiPriority w:val="99"/>
    <w:qFormat/>
    <w:rPr/>
  </w:style>
  <w:style w:type="character" w:styleId="Style3" w:customStyle="1">
    <w:name w:val="Текст сноски Знак"/>
    <w:uiPriority w:val="99"/>
    <w:qFormat/>
    <w:rPr>
      <w:sz w:val="18"/>
    </w:rPr>
  </w:style>
  <w:style w:type="character" w:styleId="Style4" w:customStyle="1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 w:customStyle="1">
    <w:name w:val="Endnote Text Char"/>
    <w:uiPriority w:val="99"/>
    <w:qFormat/>
    <w:rPr>
      <w:sz w:val="20"/>
    </w:rPr>
  </w:style>
  <w:style w:type="character" w:styleId="Style5" w:customStyle="1">
    <w:name w:val="Верхний колонтитул Знак"/>
    <w:basedOn w:val="DefaultParagraphFont"/>
    <w:uiPriority w:val="99"/>
    <w:qFormat/>
    <w:rPr/>
  </w:style>
  <w:style w:type="character" w:styleId="Style6" w:customStyle="1">
    <w:name w:val="Нижний колонтитул Знак"/>
    <w:basedOn w:val="DefaultParagraphFont"/>
    <w:uiPriority w:val="99"/>
    <w:qFormat/>
    <w:rPr/>
  </w:style>
  <w:style w:type="character" w:styleId="Style7" w:customStyle="1">
    <w:name w:val="Текст выноски Знак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character" w:styleId="21" w:customStyle="1">
    <w:name w:val="Основной текст с отступом 2 Знак"/>
    <w:basedOn w:val="DefaultParagraphFont"/>
    <w:link w:val="BodyTextIndent2"/>
    <w:qFormat/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character" w:styleId="22" w:customStyle="1">
    <w:name w:val="Заголовок 2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character" w:styleId="3" w:customStyle="1">
    <w:name w:val="Заголовок 3 Знак"/>
    <w:basedOn w:val="DefaultParagraphFont"/>
    <w:uiPriority w:val="9"/>
    <w:semiHidden/>
    <w:qFormat/>
    <w:rPr>
      <w:rFonts w:ascii="Cambria" w:hAnsi="Cambria" w:eastAsia="Arial" w:cs="Arial" w:asciiTheme="majorHAnsi" w:cstheme="majorBidi" w:eastAsiaTheme="majorEastAsia" w:hAnsiTheme="majorHAnsi"/>
      <w:b/>
      <w:bCs/>
      <w:color w:val="4F81BD" w:themeColor="accent1"/>
    </w:rPr>
  </w:style>
  <w:style w:type="character" w:styleId="Apple-converted-space" w:customStyle="1">
    <w:name w:val="apple-converted-space"/>
    <w:basedOn w:val="DefaultParagraphFont"/>
    <w:qFormat/>
    <w:rPr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tyle8" w:customStyle="1">
    <w:name w:val="Основной текст Знак"/>
    <w:basedOn w:val="DefaultParagraphFont"/>
    <w:uiPriority w:val="99"/>
    <w:semiHidden/>
    <w:qFormat/>
    <w:rPr/>
  </w:style>
  <w:style w:type="character" w:styleId="Style9" w:customStyle="1">
    <w:name w:val="комментарий"/>
    <w:qFormat/>
    <w:rPr>
      <w:b/>
      <w:i/>
      <w:shd w:fill="FFFF99" w:val="clear"/>
    </w:rPr>
  </w:style>
  <w:style w:type="character" w:styleId="1" w:customStyle="1">
    <w:name w:val="Заголовок 1 Знак"/>
    <w:basedOn w:val="DefaultParagraphFont"/>
    <w:uiPriority w:val="9"/>
    <w:qFormat/>
    <w:rPr>
      <w:rFonts w:ascii="Cambria" w:hAnsi="Cambria" w:eastAsia="Arial" w:cs="Arial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Style10" w:customStyle="1">
    <w:name w:val="Основной текст_"/>
    <w:basedOn w:val="DefaultParagraphFont"/>
    <w:link w:val="41"/>
    <w:qFormat/>
    <w:rPr>
      <w:rFonts w:ascii="Arial" w:hAnsi="Arial" w:eastAsia="Arial" w:cs="Arial"/>
      <w:spacing w:val="8"/>
      <w:sz w:val="17"/>
      <w:szCs w:val="17"/>
      <w:shd w:fill="FFFFFF" w:val="clear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tyle11" w:customStyle="1">
    <w:name w:val="Текст концевой сноски Знак"/>
    <w:basedOn w:val="DefaultParagraphFont"/>
    <w:uiPriority w:val="99"/>
    <w:semiHidden/>
    <w:qFormat/>
    <w:rPr>
      <w:sz w:val="20"/>
      <w:szCs w:val="20"/>
    </w:rPr>
  </w:style>
  <w:style w:type="character" w:styleId="Style12" w:customStyle="1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Style13" w:customStyle="1">
    <w:name w:val="Текст примечания Знак"/>
    <w:basedOn w:val="DefaultParagraphFont"/>
    <w:link w:val="Annotationtext"/>
    <w:uiPriority w:val="99"/>
    <w:semiHidden/>
    <w:qFormat/>
    <w:rPr>
      <w:sz w:val="20"/>
      <w:szCs w:val="20"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WenQuanYi Zen Hei Sharp" w:cs="Lohit Devanagari"/>
      <w:sz w:val="28"/>
      <w:szCs w:val="28"/>
    </w:rPr>
  </w:style>
  <w:style w:type="paragraph" w:styleId="BodyText">
    <w:name w:val="Body Text"/>
    <w:basedOn w:val="Normal"/>
    <w:link w:val="Style8"/>
    <w:uiPriority w:val="99"/>
    <w:semiHidden/>
    <w:unhideWhenUsed/>
    <w:pPr>
      <w:spacing w:before="0" w:after="120"/>
    </w:pPr>
    <w:rPr/>
  </w:style>
  <w:style w:type="paragraph" w:styleId="List">
    <w:name w:val="List"/>
    <w:basedOn w:val="BodyText"/>
    <w:pPr/>
    <w:rPr>
      <w:rFonts w:ascii="Times New Roman" w:hAnsi="Times New Roman"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ascii="Times New Roman" w:hAnsi="Times New Roman" w:cs="Lohit Devanagari"/>
      <w:i/>
      <w:iCs/>
      <w:sz w:val="24"/>
      <w:szCs w:val="24"/>
    </w:rPr>
  </w:style>
  <w:style w:type="paragraph" w:styleId="Indexheading1">
    <w:name w:val="index heading1"/>
    <w:basedOn w:val="Style14"/>
    <w:qFormat/>
    <w:pPr/>
    <w:rPr/>
  </w:style>
  <w:style w:type="paragraph" w:styleId="Title">
    <w:name w:val="Title"/>
    <w:basedOn w:val="Normal"/>
    <w:next w:val="Normal"/>
    <w:link w:val="Styl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1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next w:val="Normal"/>
    <w:link w:val="Style2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 w:hanging="0"/>
    </w:pPr>
    <w:rPr>
      <w:i/>
    </w:rPr>
  </w:style>
  <w:style w:type="paragraph" w:styleId="FootnoteText">
    <w:name w:val="Footnote Text"/>
    <w:basedOn w:val="Normal"/>
    <w:link w:val="Style3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 w:hanging="0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 w:hanging="0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 w:hanging="0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 w:hanging="0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 w:hanging="0"/>
    </w:pPr>
    <w:rPr/>
  </w:style>
  <w:style w:type="paragraph" w:styleId="Tableoffigures">
    <w:name w:val="table of figures"/>
    <w:basedOn w:val="Normal"/>
    <w:next w:val="Normal"/>
    <w:uiPriority w:val="99"/>
    <w:unhideWhenUsed/>
    <w:qFormat/>
    <w:pPr>
      <w:spacing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paragraph" w:styleId="Caption11" w:customStyle="1">
    <w:name w:val="caption11"/>
    <w:basedOn w:val="Normal"/>
    <w:next w:val="Normal"/>
    <w:uiPriority w:val="35"/>
    <w:unhideWhenUsed/>
    <w:qFormat/>
    <w:pPr>
      <w:spacing w:lineRule="auto" w:line="240"/>
    </w:pPr>
    <w:rPr>
      <w:b/>
      <w:bCs/>
      <w:color w:val="4F81BD" w:themeColor="accent1"/>
      <w:sz w:val="18"/>
      <w:szCs w:val="18"/>
    </w:rPr>
  </w:style>
  <w:style w:type="paragraph" w:styleId="Style16" w:customStyle="1">
    <w:name w:val="Колонтитул"/>
    <w:basedOn w:val="Normal"/>
    <w:qFormat/>
    <w:pPr/>
    <w:rPr/>
  </w:style>
  <w:style w:type="paragraph" w:styleId="Header">
    <w:name w:val="Header"/>
    <w:basedOn w:val="Normal"/>
    <w:link w:val="Style5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6"/>
    <w:uiPriority w:val="99"/>
    <w:unhideWhenUsed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7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Default" w:customStyle="1">
    <w:name w:val="Default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ru-RU" w:eastAsia="en-US" w:bidi="ar-SA"/>
    </w:rPr>
  </w:style>
  <w:style w:type="paragraph" w:styleId="BodyTextIndent2">
    <w:name w:val="Body Text Indent 2"/>
    <w:basedOn w:val="Normal"/>
    <w:link w:val="21"/>
    <w:qFormat/>
    <w:pPr>
      <w:widowControl w:val="false"/>
      <w:spacing w:lineRule="auto" w:line="240" w:before="0" w:after="0"/>
      <w:ind w:firstLine="317"/>
      <w:jc w:val="both"/>
    </w:pPr>
    <w:rPr>
      <w:rFonts w:ascii="Times New Roman" w:hAnsi="Times New Roman" w:eastAsia="Times New Roman" w:cs="Times New Roman"/>
      <w:i/>
      <w:sz w:val="20"/>
      <w:szCs w:val="20"/>
      <w:lang w:eastAsia="ru-RU"/>
    </w:rPr>
  </w:style>
  <w:style w:type="paragraph" w:styleId="NoSpacing">
    <w:name w:val="No Spacing"/>
    <w:uiPriority w:val="1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Western" w:customStyle="1">
    <w:name w:val="western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41" w:customStyle="1">
    <w:name w:val="Основной текст4"/>
    <w:basedOn w:val="Normal"/>
    <w:link w:val="Style10"/>
    <w:qFormat/>
    <w:pPr>
      <w:widowControl w:val="false"/>
      <w:shd w:val="clear" w:color="auto" w:fill="FFFFFF"/>
      <w:spacing w:lineRule="exact" w:line="280" w:before="0" w:after="0"/>
      <w:jc w:val="right"/>
    </w:pPr>
    <w:rPr>
      <w:rFonts w:ascii="Arial" w:hAnsi="Arial" w:eastAsia="Arial" w:cs="Arial"/>
      <w:spacing w:val="8"/>
      <w:sz w:val="17"/>
      <w:szCs w:val="17"/>
    </w:rPr>
  </w:style>
  <w:style w:type="paragraph" w:styleId="IndexHeading">
    <w:name w:val="Index Heading"/>
    <w:basedOn w:val="Style14"/>
    <w:pPr/>
    <w:rPr/>
  </w:style>
  <w:style w:type="paragraph" w:styleId="TOCHeading">
    <w:name w:val="TOC Heading"/>
    <w:basedOn w:val="Heading1"/>
    <w:next w:val="Normal"/>
    <w:uiPriority w:val="39"/>
    <w:unhideWhenUsed/>
    <w:qFormat/>
    <w:pPr>
      <w:outlineLvl w:val="9"/>
    </w:pPr>
    <w:rPr>
      <w:lang w:eastAsia="ru-RU"/>
    </w:rPr>
  </w:style>
  <w:style w:type="paragraph" w:styleId="TOC2">
    <w:name w:val="TOC 2"/>
    <w:basedOn w:val="Normal"/>
    <w:next w:val="Normal"/>
    <w:uiPriority w:val="39"/>
    <w:unhideWhenUsed/>
    <w:qFormat/>
    <w:pPr>
      <w:spacing w:before="0" w:after="100"/>
      <w:ind w:left="220" w:hanging="0"/>
    </w:pPr>
    <w:rPr>
      <w:rFonts w:eastAsia="Arial" w:eastAsiaTheme="minorEastAsia"/>
      <w:lang w:eastAsia="ru-RU"/>
    </w:rPr>
  </w:style>
  <w:style w:type="paragraph" w:styleId="TOC1">
    <w:name w:val="TOC 1"/>
    <w:basedOn w:val="Normal"/>
    <w:next w:val="Normal"/>
    <w:uiPriority w:val="39"/>
    <w:unhideWhenUsed/>
    <w:qFormat/>
    <w:pPr>
      <w:spacing w:before="0" w:after="100"/>
    </w:pPr>
    <w:rPr>
      <w:rFonts w:eastAsia="Arial" w:eastAsiaTheme="minorEastAsia"/>
      <w:lang w:eastAsia="ru-RU"/>
    </w:rPr>
  </w:style>
  <w:style w:type="paragraph" w:styleId="TOC3">
    <w:name w:val="TOC 3"/>
    <w:basedOn w:val="Normal"/>
    <w:next w:val="Normal"/>
    <w:uiPriority w:val="39"/>
    <w:unhideWhenUsed/>
    <w:qFormat/>
    <w:pPr>
      <w:spacing w:before="0" w:after="100"/>
      <w:ind w:left="440" w:hanging="0"/>
    </w:pPr>
    <w:rPr>
      <w:rFonts w:eastAsia="Arial" w:eastAsiaTheme="minorEastAsia"/>
      <w:lang w:eastAsia="ru-RU"/>
    </w:rPr>
  </w:style>
  <w:style w:type="paragraph" w:styleId="TOC4">
    <w:name w:val="TOC 4"/>
    <w:basedOn w:val="Normal"/>
    <w:next w:val="Normal"/>
    <w:uiPriority w:val="39"/>
    <w:semiHidden/>
    <w:unhideWhenUsed/>
    <w:pPr>
      <w:spacing w:before="0" w:after="100"/>
      <w:ind w:left="660" w:hanging="0"/>
    </w:pPr>
    <w:rPr/>
  </w:style>
  <w:style w:type="paragraph" w:styleId="EndnoteText">
    <w:name w:val="Endnote Text"/>
    <w:basedOn w:val="Normal"/>
    <w:link w:val="Style11"/>
    <w:uiPriority w:val="99"/>
    <w:semiHidden/>
    <w:unhideWhenUsed/>
    <w:pPr>
      <w:spacing w:lineRule="auto" w:line="240" w:before="0" w:after="0"/>
    </w:pPr>
    <w:rPr>
      <w:sz w:val="20"/>
      <w:szCs w:val="20"/>
    </w:rPr>
  </w:style>
  <w:style w:type="paragraph" w:styleId="Annotationtext">
    <w:name w:val="annotation text"/>
    <w:basedOn w:val="Normal"/>
    <w:link w:val="Style13"/>
    <w:uiPriority w:val="99"/>
    <w:semiHidden/>
    <w:unhideWhenUsed/>
    <w:qFormat/>
    <w:pPr>
      <w:spacing w:lineRule="auto" w:line="240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color w:val="404040"/>
        <w:sz w:val="22"/>
      </w:rPr>
      <w:tblPr/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b/>
        <w:color w:val="7F7F7F" w:themeColor="text1" w:themeTint="80" w:themeShade="95"/>
      </w:rPr>
      <w:tblPr/>
    </w:tblStylePr>
    <w:tblStylePr w:type="firstCol">
      <w:rPr>
        <w:b/>
        <w:color w:val="7F7F7F" w:themeColor="text1" w:themeTint="80" w:themeShade="95"/>
      </w:rPr>
      <w:tblPr/>
    </w:tblStylePr>
    <w:tblStylePr w:type="lastCol">
      <w:rPr>
        <w:b/>
        <w:color w:val="7F7F7F"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b/>
        <w:color w:val="A6BFDD" w:themeColor="accent1" w:themeTint="80" w:themeShade="95"/>
      </w:rPr>
      <w:tblPr/>
    </w:tblStylePr>
    <w:tblStylePr w:type="firstCol">
      <w:rPr>
        <w:b/>
        <w:color w:val="A6BFDD" w:themeColor="accent1" w:themeTint="80" w:themeShade="95"/>
      </w:rPr>
      <w:tblPr/>
    </w:tblStylePr>
    <w:tblStylePr w:type="lastCol">
      <w:rPr>
        <w:b/>
        <w:color w:val="A6BFDD" w:themeColor="accent1" w:themeTint="80" w:themeShade="95"/>
      </w:rPr>
      <w:tblPr/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b/>
        <w:color w:val="D99695" w:themeColor="accent2" w:themeTint="97" w:themeShade="95"/>
      </w:rPr>
      <w:tblPr/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b/>
        <w:color w:val="9ABB59" w:themeColor="accent3" w:themeTint="fe" w:themeShade="95"/>
      </w:rPr>
      <w:tblPr/>
    </w:tblStylePr>
    <w:tblStylePr w:type="firstCol">
      <w:rPr>
        <w:b/>
        <w:color w:val="9ABB59" w:themeColor="accent3" w:themeTint="fe" w:themeShade="95"/>
      </w:rPr>
      <w:tblPr/>
    </w:tblStylePr>
    <w:tblStylePr w:type="lastCol">
      <w:rPr>
        <w:b/>
        <w:color w:val="9ABB59" w:themeColor="accent3" w:themeTint="fe" w:themeShade="95"/>
      </w:rPr>
      <w:tblPr/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b/>
        <w:color w:val="B2A1C6" w:themeColor="accent4" w:themeTint="9a" w:themeShade="95"/>
      </w:rPr>
      <w:tblPr/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b/>
        <w:color w:val="266779" w:themeColor="accent5" w:themeShade="95"/>
      </w:rPr>
      <w:tblPr/>
    </w:tblStylePr>
    <w:tblStylePr w:type="firstCol">
      <w:rPr>
        <w:b/>
        <w:color w:val="266779" w:themeColor="accent5" w:themeShade="95"/>
      </w:rPr>
      <w:tblPr/>
    </w:tblStylePr>
    <w:tblStylePr w:type="lastCol">
      <w:rPr>
        <w:b/>
        <w:color w:val="266779" w:themeColor="accent5" w:themeShade="95"/>
      </w:rPr>
      <w:tblPr/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  <w:tblPr/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firstCol">
      <w:rPr>
        <w:b/>
        <w:color w:val="404040"/>
        <w:sz w:val="22"/>
      </w:rPr>
      <w:tblPr/>
    </w:tblStylePr>
    <w:tblStylePr w:type="lastCol">
      <w:rPr>
        <w:b/>
        <w:color w:val="404040"/>
        <w:sz w:val="22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C0504D" w:themeColor="accent2" w:sz="4" w:space="0"/>
          <w:right w:val="single" w:color="C0504D" w:themeColor="accent2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bottom w:val="single" w:color="C0504D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9BBB59" w:themeColor="accent3" w:sz="4" w:space="0"/>
          <w:right w:val="single" w:color="9BBB59" w:themeColor="accent3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bottom w:val="single" w:color="9BBB5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8064A2" w:themeColor="accent4" w:sz="4" w:space="0"/>
          <w:right w:val="single" w:color="8064A2" w:themeColor="accent4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bottom w:val="single" w:color="8064A2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4BACC6" w:themeColor="accent5" w:sz="4" w:space="0"/>
          <w:right w:val="single" w:color="4BACC6" w:themeColor="accent5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bottom w:val="single" w:color="4BACC6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tcBorders>
          <w:left w:val="single" w:color="F79646" w:themeColor="accent6" w:sz="4" w:space="0"/>
          <w:right w:val="single" w:color="F79646" w:themeColor="accent6" w:sz="4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bottom w:val="single" w:color="F79646" w:themeColor="accent6" w:sz="4" w:space="0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000000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000000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000000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F81BD" w:themeColor="accent1" w:sz="32" w:space="0"/>
          <w:bottom w:val="single" w:color="FFFFFF" w:themeColor="light1" w:sz="12" w:space="0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F81BD" w:fill="4F81BD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C0504D" w:themeColor="accent2" w:sz="32" w:space="0"/>
          <w:bottom w:val="single" w:color="FFFFFF" w:themeColor="light1" w:sz="12" w:space="0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C0504D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0504D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9BBB59" w:themeColor="accent3" w:sz="32" w:space="0"/>
          <w:bottom w:val="single" w:color="FFFFFF" w:themeColor="light1" w:sz="12" w:space="0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9BBB5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BB5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8064A2" w:themeColor="accent4" w:sz="32" w:space="0"/>
          <w:bottom w:val="single" w:color="FFFFFF" w:themeColor="light1" w:sz="12" w:space="0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8064A2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064A2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4BACC6" w:themeColor="accent5" w:sz="32" w:space="0"/>
          <w:bottom w:val="single" w:color="FFFFFF" w:themeColor="light1" w:sz="12" w:space="0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4BACC6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BACC6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color="F79646" w:themeColor="accent6" w:sz="32" w:space="0"/>
          <w:bottom w:val="single" w:color="FFFFFF" w:themeColor="light1" w:sz="12" w:space="0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  <w:tblPr/>
    </w:tblStylePr>
    <w:tblStylePr w:type="firstCol">
      <w:rPr>
        <w:b/>
        <w:color w:val="FFFFFF" w:themeColor="light1"/>
        <w:sz w:val="22"/>
      </w:rPr>
      <w:tblPr/>
      <w:tcPr>
        <w:tcBorders>
          <w:left w:val="single" w:color="F79646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79646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AC090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000000" w:themeColor="text1"/>
      </w:rPr>
      <w:tblPr/>
    </w:tblStylePr>
    <w:tblStylePr w:type="lastCol">
      <w:rPr>
        <w:b/>
        <w:color w:val="000000"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color="4F81BD" w:themeColor="accent1" w:sz="4" w:space="0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color="4F81BD" w:themeColor="accent1" w:sz="4" w:space="0"/>
        </w:tcBorders>
      </w:tcPr>
    </w:tblStylePr>
    <w:tblStylePr w:type="firstCol">
      <w:rPr>
        <w:b/>
        <w:color w:val="2A4A71" w:themeColor="accent1" w:themeShade="95"/>
      </w:rPr>
      <w:tblPr/>
    </w:tblStylePr>
    <w:tblStylePr w:type="lastCol">
      <w:rPr>
        <w:b/>
        <w:color w:val="2A4A71" w:themeColor="accent1" w:themeShade="95"/>
      </w:rPr>
      <w:tblPr/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color="C0504D" w:themeColor="accent2" w:sz="4" w:space="0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color="C0504D" w:themeColor="accent2" w:sz="4" w:space="0"/>
        </w:tcBorders>
      </w:tcPr>
    </w:tblStylePr>
    <w:tblStylePr w:type="firstCol">
      <w:rPr>
        <w:b/>
        <w:color w:val="D99695" w:themeColor="accent2" w:themeTint="97" w:themeShade="95"/>
      </w:rPr>
      <w:tblPr/>
    </w:tblStylePr>
    <w:tblStylePr w:type="lastCol">
      <w:rPr>
        <w:b/>
        <w:color w:val="D99695" w:themeColor="accent2" w:themeTint="97" w:themeShade="95"/>
      </w:rPr>
      <w:tblPr/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color="9BBB59" w:themeColor="accent3" w:sz="4" w:space="0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color="9BBB59" w:themeColor="accent3" w:sz="4" w:space="0"/>
        </w:tcBorders>
      </w:tcPr>
    </w:tblStylePr>
    <w:tblStylePr w:type="firstCol">
      <w:rPr>
        <w:b/>
        <w:color w:val="C3D69B" w:themeColor="accent3" w:themeTint="98" w:themeShade="95"/>
      </w:rPr>
      <w:tblPr/>
    </w:tblStylePr>
    <w:tblStylePr w:type="lastCol">
      <w:rPr>
        <w:b/>
        <w:color w:val="C3D69B" w:themeColor="accent3" w:themeTint="98" w:themeShade="95"/>
      </w:rPr>
      <w:tblPr/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color="8064A2" w:themeColor="accent4" w:sz="4" w:space="0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color="8064A2" w:themeColor="accent4" w:sz="4" w:space="0"/>
        </w:tcBorders>
      </w:tcPr>
    </w:tblStylePr>
    <w:tblStylePr w:type="firstCol">
      <w:rPr>
        <w:b/>
        <w:color w:val="B2A1C6" w:themeColor="accent4" w:themeTint="9a" w:themeShade="95"/>
      </w:rPr>
      <w:tblPr/>
    </w:tblStylePr>
    <w:tblStylePr w:type="lastCol">
      <w:rPr>
        <w:b/>
        <w:color w:val="B2A1C6" w:themeColor="accent4" w:themeTint="9a" w:themeShade="95"/>
      </w:rPr>
      <w:tblPr/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color="4BACC6" w:themeColor="accent5" w:sz="4" w:space="0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color="4BACC6" w:themeColor="accent5" w:sz="4" w:space="0"/>
        </w:tcBorders>
      </w:tcPr>
    </w:tblStylePr>
    <w:tblStylePr w:type="firstCol">
      <w:rPr>
        <w:b/>
        <w:color w:val="92CCDC" w:themeColor="accent5" w:themeTint="9a" w:themeShade="95"/>
      </w:rPr>
      <w:tblPr/>
    </w:tblStylePr>
    <w:tblStylePr w:type="lastCol">
      <w:rPr>
        <w:b/>
        <w:color w:val="92CCDC" w:themeColor="accent5" w:themeTint="9a" w:themeShade="95"/>
      </w:rPr>
      <w:tblPr/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color="F79646" w:themeColor="accent6" w:sz="4" w:space="0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color="F79646" w:themeColor="accent6" w:sz="4" w:space="0"/>
        </w:tcBorders>
      </w:tcPr>
    </w:tblStylePr>
    <w:tblStylePr w:type="firstCol">
      <w:rPr>
        <w:b/>
        <w:color w:val="FAC090" w:themeColor="accent6" w:themeTint="98" w:themeShade="95"/>
      </w:rPr>
      <w:tblPr/>
    </w:tblStylePr>
    <w:tblStylePr w:type="lastCol">
      <w:rPr>
        <w:b/>
        <w:color w:val="FAC090" w:themeColor="accent6" w:themeTint="98" w:themeShade="95"/>
      </w:rPr>
      <w:tblPr/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  <w:shd w:val="clear" w:color="FFFFFF" w:fill="auto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0504D" w:themeColor="accent2" w:sz="4" w:space="0"/>
        </w:tcBorders>
        <w:shd w:val="clear" w:color="FFFFFF" w:fill="auto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color="000000" w:sz="4" w:space="0"/>
          <w:left w:val="single" w:color="C0504D" w:themeColor="accent2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sz="4" w:space="0"/>
        </w:tcBorders>
        <w:shd w:val="clear" w:color="FFFFFF" w:fill="auto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color="000000" w:sz="4" w:space="0"/>
          <w:left w:val="single" w:color="9BBB59" w:themeColor="accent3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064A2" w:themeColor="accent4" w:sz="4" w:space="0"/>
        </w:tcBorders>
        <w:shd w:val="clear" w:color="FFFFFF" w:fill="auto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color="000000" w:sz="4" w:space="0"/>
          <w:left w:val="single" w:color="8064A2" w:themeColor="accent4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BACC6" w:themeColor="accent5" w:sz="4" w:space="0"/>
        </w:tcBorders>
        <w:shd w:val="clear" w:color="FFFFFF" w:fill="auto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color="000000" w:sz="4" w:space="0"/>
          <w:left w:val="single" w:color="4BACC6" w:themeColor="accent5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79646" w:themeColor="accent6" w:sz="4" w:space="0"/>
        </w:tcBorders>
        <w:shd w:val="clear" w:color="FFFFFF" w:fill="auto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color="000000" w:sz="4" w:space="0"/>
          <w:left w:val="single" w:color="F79646" w:themeColor="accent6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d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4F81BD" w:themeColor="accent1" w:sz="4" w:space="0"/>
        <w:insideV w:val="single" w:color="4F81BD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C0504D" w:themeColor="accent2" w:sz="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C0504D" w:themeColor="accent2" w:sz="4" w:space="0"/>
        <w:insideV w:val="single" w:color="C0504D" w:themeColor="accent2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9BBB59" w:themeColor="accent3" w:sz="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9BBB59" w:themeColor="accent3" w:sz="4" w:space="0"/>
        <w:insideV w:val="single" w:color="9BBB59" w:themeColor="accent3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8064A2" w:themeColor="accent4" w:sz="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8064A2" w:themeColor="accent4" w:sz="4" w:space="0"/>
        <w:insideV w:val="single" w:color="8064A2" w:themeColor="accent4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lang w:eastAsia="ru-RU"/>
      <w:color w:val="404040"/>
      <w:sz w:val="20"/>
      <w:szCs w:val="20"/>
    </w:r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  <w:tblPr/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000000" w:themeColor="tex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000000" w:themeColor="tex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000000" w:themeColor="tex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F81BD" w:themeColor="accent1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F81BD" w:themeColor="accent1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F81BD" w:themeColor="accent1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F81BD" w:themeColor="accent1" w:sz="4" w:space="0"/>
          <w:left w:val="single" w:color="4F81BD" w:themeColor="accent1" w:sz="4" w:space="0"/>
          <w:bottom w:val="single" w:color="4F81BD" w:themeColor="accent1" w:sz="4" w:space="0"/>
          <w:right w:val="single" w:color="4F81BD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C0504D" w:themeColor="accent2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C0504D" w:themeColor="accent2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C0504D" w:themeColor="accent2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C0504D" w:themeColor="accent2" w:sz="4" w:space="0"/>
          <w:left w:val="single" w:color="C0504D" w:themeColor="accent2" w:sz="4" w:space="0"/>
          <w:bottom w:val="single" w:color="C0504D" w:themeColor="accent2" w:sz="4" w:space="0"/>
          <w:right w:val="single" w:color="C0504D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9BBB59" w:themeColor="accent3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9BBB59" w:themeColor="accent3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9BBB59" w:themeColor="accent3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9BBB59" w:themeColor="accent3" w:sz="4" w:space="0"/>
          <w:left w:val="single" w:color="9BBB59" w:themeColor="accent3" w:sz="4" w:space="0"/>
          <w:bottom w:val="single" w:color="9BBB59" w:themeColor="accent3" w:sz="4" w:space="0"/>
          <w:right w:val="single" w:color="9BBB59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8064A2" w:themeColor="accent4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8064A2" w:themeColor="accent4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8064A2" w:themeColor="accent4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8064A2" w:themeColor="accent4" w:sz="4" w:space="0"/>
          <w:left w:val="single" w:color="8064A2" w:themeColor="accent4" w:sz="4" w:space="0"/>
          <w:bottom w:val="single" w:color="8064A2" w:themeColor="accent4" w:sz="4" w:space="0"/>
          <w:right w:val="single" w:color="8064A2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4BACC6" w:themeColor="accent5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4BACC6" w:themeColor="accent5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4BACC6" w:themeColor="accent5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404040"/>
        <w:sz w:val="22"/>
      </w:rPr>
      <w:tblPr/>
      <w:tcPr>
        <w:tcBorders>
          <w:bottom w:val="single" w:color="F79646" w:themeColor="accent6" w:sz="12" w:space="0"/>
        </w:tcBorders>
      </w:tcPr>
    </w:tblStylePr>
    <w:tblStylePr w:type="lastRow">
      <w:rPr>
        <w:color w:val="404040"/>
        <w:sz w:val="22"/>
      </w:rPr>
      <w:tblPr/>
      <w:tcPr>
        <w:tcBorders>
          <w:top w:val="single" w:color="F79646" w:themeColor="accent6" w:sz="12" w:space="0"/>
        </w:tcBorders>
      </w:tcPr>
    </w:tblStylePr>
    <w:tblStylePr w:type="firstCol">
      <w:rPr>
        <w:color w:val="404040"/>
        <w:sz w:val="22"/>
      </w:rPr>
      <w:tblPr/>
    </w:tblStylePr>
    <w:tblStylePr w:type="lastCol">
      <w:rPr>
        <w:color w:val="404040"/>
        <w:sz w:val="22"/>
      </w:rPr>
      <w:tblPr/>
      <w:tcPr>
        <w:tcBorders>
          <w:left w:val="single" w:color="F79646" w:themeColor="accent6" w:sz="12" w:space="0"/>
        </w:tcBorders>
      </w:tcPr>
    </w:tblStylePr>
    <w:tblStylePr w:type="band1Horz">
      <w:rPr>
        <w:color w:val="404040"/>
        <w:sz w:val="22"/>
      </w:rPr>
      <w:tblPr/>
      <w:tcPr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</w:style>
  <w:style w:type="table" w:styleId="affa">
    <w:name w:val="Table Grid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Сетка таблицы1"/>
    <w:basedOn w:val="a1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6">
    <w:name w:val="Сетка таблицы2"/>
    <w:basedOn w:val="a1"/>
    <w:uiPriority w:val="39"/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oter" Target="footer4.xml"/><Relationship Id="rId6" Type="http://schemas.openxmlformats.org/officeDocument/2006/relationships/footer" Target="footer5.xml"/><Relationship Id="rId7" Type="http://schemas.openxmlformats.org/officeDocument/2006/relationships/numbering" Target="numbering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43F0A-D71C-4A74-AC41-5173773AED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Application>AlterOffice/2025.3.1.0$Linux_X86_64 LibreOffice_project/431cd1b79110582f53535c95ed0a2449aadc8bf9</Application>
  <AppVersion>15.0000</AppVersion>
  <Pages>5</Pages>
  <Words>457</Words>
  <Characters>2579</Characters>
  <CharactersWithSpaces>3112</CharactersWithSpaces>
  <Paragraphs>127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2025-10-29T12:41:00Z</dcterms:created>
  <dc:creator>NikitinSA</dc:creator>
  <dc:description/>
  <dc:language>ru-RU</dc:language>
  <cp:lastModifiedBy>melnikovaod</cp:lastModifiedBy>
  <cp:lastPrinted>2024-12-25T12:48:00Z</cp:lastPrinted>
  <dcterms:modified xsi:type="dcterms:W3CDTF">2026-05-07T14:13:48Z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