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76"/>
        <w:jc w:val="center"/>
        <w:rPr/>
      </w:pPr>
      <w:r>
        <w:rPr>
          <w:rFonts w:eastAsia="Calibri"/>
          <w:b/>
          <w:sz w:val="24"/>
          <w:szCs w:val="24"/>
        </w:rPr>
        <w:t xml:space="preserve">Технические требования </w:t>
        <w:br/>
        <w:t xml:space="preserve">на поставку блочно-модульного здания ОПУ </w:t>
      </w:r>
    </w:p>
    <w:p>
      <w:pPr>
        <w:pStyle w:val="Normal"/>
        <w:spacing w:lineRule="auto" w:line="276"/>
        <w:jc w:val="center"/>
        <w:rPr/>
      </w:pPr>
      <w:r>
        <w:rPr>
          <w:rFonts w:eastAsia="Calibri"/>
          <w:b/>
          <w:bCs/>
          <w:sz w:val="24"/>
          <w:szCs w:val="24"/>
        </w:rPr>
        <w:br/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«ОКПД2 27.12.10.190 </w:t>
      </w:r>
      <w:r>
        <w:rPr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Реконструкция ПС 110/35/10кВ кВ Нижний Бестях (установка 3Т мощностью 40 МВА) для нужд Центральных электрических сетей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в рамках выполнения инвестиционного проекта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Р_508-26732.1»</w:t>
      </w:r>
    </w:p>
    <w:p>
      <w:pPr>
        <w:pStyle w:val="Normal"/>
        <w:suppressAutoHyphens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color w:val="000000"/>
        </w:rPr>
        <w:t xml:space="preserve">Лот </w:t>
      </w:r>
      <w:r>
        <w:rPr>
          <w:rFonts w:eastAsia="Calibri"/>
          <w:b/>
          <w:bCs/>
          <w:i/>
          <w:sz w:val="26"/>
          <w:szCs w:val="26"/>
        </w:rPr>
        <w:t>________________</w:t>
      </w:r>
    </w:p>
    <w:p>
      <w:pPr>
        <w:pStyle w:val="Normal"/>
        <w:spacing w:lineRule="auto" w:line="276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  <w:color w:val="000000"/>
            </w:rPr>
            <w:instrText xml:space="preserve"> TOC \o "1-3" \h</w:instrText>
          </w:r>
          <w:r>
            <w:rPr>
              <w:rStyle w:val="Style14"/>
              <w:color w:val="000000"/>
            </w:rPr>
            <w:fldChar w:fldCharType="separate"/>
          </w:r>
          <w:hyperlink w:anchor="__RefHeading___Toc162458_3493348795">
            <w:r>
              <w:rPr>
                <w:rStyle w:val="Style14"/>
                <w:color w:val="000000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2484_3493348795">
            <w:r>
              <w:rPr>
                <w:rStyle w:val="Style14"/>
                <w:color w:val="000000"/>
              </w:rPr>
              <w:t xml:space="preserve">2. </w:t>
            </w:r>
            <w:r>
              <w:rPr>
                <w:rStyle w:val="Style14"/>
                <w:iCs/>
                <w:color w:val="000000"/>
              </w:rPr>
              <w:t>Требования к продукции</w:t>
            </w:r>
            <w:r>
              <w:rPr>
                <w:rStyle w:val="Style14"/>
                <w:color w:val="000000"/>
              </w:rPr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86_3493348795">
            <w:r>
              <w:rPr>
                <w:rStyle w:val="Style14"/>
                <w:color w:val="000000"/>
                <w:sz w:val="24"/>
                <w:szCs w:val="24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88_3493348795">
            <w:r>
              <w:rPr>
                <w:rStyle w:val="Style14"/>
                <w:color w:val="000000"/>
                <w:sz w:val="24"/>
                <w:szCs w:val="24"/>
              </w:rPr>
              <w:t>2.1.1. Перечень и объем закупаемой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92_3493348795">
            <w:r>
              <w:rPr>
                <w:rStyle w:val="Style14"/>
                <w:color w:val="000000"/>
                <w:sz w:val="24"/>
                <w:szCs w:val="2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96_3493348795">
            <w:r>
              <w:rPr>
                <w:rStyle w:val="Style14"/>
                <w:color w:val="000000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254_349334879511">
            <w:r>
              <w:rPr>
                <w:rStyle w:val="Style14"/>
                <w:color w:val="000000"/>
                <w:sz w:val="24"/>
                <w:szCs w:val="24"/>
              </w:rPr>
              <w:t xml:space="preserve">3. </w:t>
            </w:r>
          </w:hyperlink>
          <w:r>
            <w:rPr>
              <w:iCs/>
              <w:color w:val="000000"/>
              <w:sz w:val="24"/>
              <w:szCs w:val="24"/>
            </w:rPr>
            <w:t>Требования к документации по ценообразованию на этапе закупки</w:t>
          </w:r>
          <w:r>
            <w:rPr>
              <w:color w:val="000000"/>
              <w:sz w:val="24"/>
              <w:szCs w:val="24"/>
            </w:rPr>
            <w:tab/>
            <w:t>1</w:t>
          </w:r>
          <w:r>
            <w:rPr>
              <w:color w:val="000000"/>
              <w:sz w:val="24"/>
              <w:szCs w:val="24"/>
            </w:rPr>
            <w:t>1</w:t>
          </w:r>
          <w:r>
            <w:rPr>
              <w:sz w:val="24"/>
              <w:szCs w:val="24"/>
              <w:color w:val="000000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21" w:leader="dot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  <w:color w:val="000000"/>
        </w:rPr>
      </w:pPr>
      <w:r>
        <w:rPr>
          <w:b w:val="false"/>
          <w:i/>
          <w:color w:val="000000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162458_3493348795"/>
      <w:bookmarkStart w:id="1" w:name="_Toc51339692"/>
      <w:bookmarkStart w:id="2" w:name="_Toc75446566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_RefHeading___Toc162460_3493348795"/>
      <w:bookmarkStart w:id="4" w:name="_Toc46743505"/>
      <w:bookmarkStart w:id="5" w:name="_Toc75446567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условия;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162462_3493348795"/>
      <w:bookmarkStart w:id="7" w:name="_Toc75446568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120" w:after="120"/>
        <w:jc w:val="both"/>
        <w:rPr>
          <w:color w:val="2A6099"/>
        </w:rPr>
      </w:pPr>
      <w:r>
        <w:rPr>
          <w:rFonts w:eastAsia="Calibri"/>
          <w:b w:val="false"/>
          <w:i w:val="false"/>
          <w:caps w:val="false"/>
          <w:smallCaps w:val="false"/>
          <w:color w:val="2A6099"/>
          <w:spacing w:val="0"/>
          <w:sz w:val="24"/>
          <w:szCs w:val="24"/>
          <w:lang w:eastAsia="x-none"/>
        </w:rPr>
        <w:tab/>
        <w:tab/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x-none"/>
        </w:rPr>
        <w:t xml:space="preserve">Поставка блочно-модульного здания ОПУ 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в рамках выполнения инвестиционного проекта Р_508-26732.1 «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ОКПД2 27.12.10.190 Реконструкция ПС 110/35/10кВ кВ Нижний Бестях (</w:t>
      </w:r>
      <w:r>
        <w:rPr>
          <w:rFonts w:eastAsia="Calibri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eastAsia="x-none"/>
        </w:rPr>
        <w:t>установка 3Т мощностью 40 МВА) для нужд Центральных электрических сетей».</w:t>
      </w:r>
      <w:bookmarkStart w:id="9" w:name="_Toc75446569"/>
      <w:bookmarkStart w:id="10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color w:val="000000"/>
        </w:rPr>
      </w:pPr>
      <w:bookmarkStart w:id="11" w:name="__RefHeading___Toc162464_3493348795"/>
      <w:bookmarkEnd w:id="11"/>
      <w:r>
        <w:rPr>
          <w:color w:val="000000"/>
        </w:rPr>
        <w:t xml:space="preserve">Цель </w:t>
      </w:r>
      <w:bookmarkEnd w:id="10"/>
      <w:r>
        <w:rPr>
          <w:color w:val="000000"/>
        </w:rPr>
        <w:t>использования закупаемой продукции</w:t>
      </w:r>
      <w:bookmarkEnd w:id="9"/>
    </w:p>
    <w:p>
      <w:pPr>
        <w:pStyle w:val="Normal"/>
        <w:spacing w:before="240" w:after="60"/>
        <w:ind w:left="431" w:hanging="431"/>
        <w:jc w:val="both"/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ab/>
        <w:tab/>
        <w:tab/>
      </w:r>
      <w:r>
        <w:rPr>
          <w:rFonts w:eastAsia="Calibri"/>
          <w:b w:val="false"/>
          <w:bCs w:val="false"/>
          <w:color w:val="000000"/>
          <w:sz w:val="24"/>
          <w:szCs w:val="24"/>
          <w:lang w:eastAsia="zh-CN"/>
        </w:rPr>
        <w:t xml:space="preserve">Целью работы является технологическое присоединение 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обеспечение надежности электроснабжения потребителей Мегино-Кангаласского  улуса. 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12" w:name="__RefHeading___Toc162484_3493348795"/>
      <w:bookmarkStart w:id="13" w:name="_Toc75446573"/>
      <w:bookmarkStart w:id="14" w:name="_Toc51339693"/>
      <w:bookmarkStart w:id="15" w:name="_Toc754465711"/>
      <w:bookmarkStart w:id="16" w:name="_Toc46743510"/>
      <w:bookmarkStart w:id="17" w:name="_Toc50125126"/>
      <w:bookmarkStart w:id="18" w:name="_Toc467435091"/>
      <w:bookmarkStart w:id="19" w:name="_Hlk498576041"/>
      <w:bookmarkEnd w:id="12"/>
      <w:bookmarkEnd w:id="15"/>
      <w:bookmarkEnd w:id="16"/>
      <w:bookmarkEnd w:id="17"/>
      <w:bookmarkEnd w:id="18"/>
      <w:bookmarkEnd w:id="19"/>
      <w:r>
        <w:rPr>
          <w:iCs/>
        </w:rPr>
        <w:t>Требования к продукции</w:t>
      </w:r>
      <w:bookmarkEnd w:id="13"/>
      <w:bookmarkEnd w:id="14"/>
    </w:p>
    <w:p>
      <w:pPr>
        <w:pStyle w:val="Heading2"/>
        <w:numPr>
          <w:ilvl w:val="1"/>
          <w:numId w:val="3"/>
        </w:numPr>
        <w:rPr/>
      </w:pPr>
      <w:bookmarkStart w:id="20" w:name="__RefHeading___Toc162486_3493348795"/>
      <w:bookmarkStart w:id="21" w:name="_Toc75446574"/>
      <w:bookmarkEnd w:id="20"/>
      <w:r>
        <w:rPr/>
        <w:t>Требования к объемам и срокам 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_RefHeading___Toc162488_3493348795"/>
      <w:bookmarkStart w:id="23" w:name="_Toc75446575"/>
      <w:bookmarkEnd w:id="22"/>
      <w:r>
        <w:rPr/>
        <w:t>Перечень и объем закупаемой продукции</w:t>
      </w:r>
      <w:bookmarkEnd w:id="23"/>
    </w:p>
    <w:p>
      <w:pPr>
        <w:pStyle w:val="BodyTex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BodyText"/>
        <w:rPr>
          <w:rFonts w:ascii="Times New Roman" w:hAnsi="Times New Roman"/>
          <w:sz w:val="24"/>
          <w:szCs w:val="24"/>
        </w:rPr>
      </w:pPr>
      <w:bookmarkStart w:id="24" w:name="__RefHeading___Toc162490_3493348795"/>
      <w:bookmarkStart w:id="25" w:name="_Toc75446576"/>
      <w:bookmarkStart w:id="26" w:name="_Toc51339695"/>
      <w:bookmarkEnd w:id="24"/>
      <w:r>
        <w:rPr>
          <w:b/>
          <w:bCs/>
          <w:sz w:val="24"/>
          <w:szCs w:val="24"/>
        </w:rPr>
        <w:t xml:space="preserve">Таблица 1.1 Перечень </w:t>
      </w:r>
      <w:bookmarkEnd w:id="26"/>
      <w:r>
        <w:rPr>
          <w:b/>
          <w:bCs/>
          <w:sz w:val="24"/>
          <w:szCs w:val="24"/>
        </w:rPr>
        <w:t>и объем закупаемой продукции</w:t>
      </w:r>
      <w:bookmarkEnd w:id="25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0"/>
        <w:gridCol w:w="1300"/>
        <w:gridCol w:w="1536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Блочно-модульное здание (5 модулей ОПУ габаритом (ШхВхГ) 2250х3980х6750мм)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модули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27" w:name="__RefHeading___Toc162492_3493348795"/>
      <w:bookmarkStart w:id="28" w:name="_Toc75446578"/>
      <w:bookmarkStart w:id="29" w:name="_Toc51339696"/>
      <w:bookmarkEnd w:id="27"/>
      <w:r>
        <w:rPr/>
        <w:t xml:space="preserve">Требования </w:t>
      </w:r>
      <w:bookmarkEnd w:id="29"/>
      <w:r>
        <w:rPr/>
        <w:t>к срокам поставки продукции и оказания сопутствующих услуг</w:t>
      </w:r>
      <w:bookmarkEnd w:id="28"/>
    </w:p>
    <w:p>
      <w:pPr>
        <w:pStyle w:val="Normal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</w:r>
    </w:p>
    <w:p>
      <w:pPr>
        <w:pStyle w:val="Normal"/>
        <w:rPr>
          <w:b/>
          <w:bCs/>
          <w:sz w:val="24"/>
          <w:szCs w:val="28"/>
        </w:rPr>
      </w:pPr>
      <w:bookmarkStart w:id="30" w:name="__RefHeading___Toc162494_3493348795"/>
      <w:bookmarkStart w:id="31" w:name="_Toc75446579"/>
      <w:bookmarkStart w:id="32" w:name="_Toc50125127"/>
      <w:bookmarkStart w:id="33" w:name="_Toc51339697"/>
      <w:bookmarkStart w:id="34" w:name="_Toc501251261"/>
      <w:bookmarkEnd w:id="30"/>
      <w:bookmarkEnd w:id="34"/>
      <w:r>
        <w:rPr>
          <w:b/>
          <w:bCs/>
          <w:sz w:val="24"/>
          <w:szCs w:val="28"/>
        </w:rPr>
        <w:t xml:space="preserve">Таблица 2.1 </w:t>
      </w:r>
      <w:bookmarkStart w:id="35" w:name="_Hlk50465284"/>
      <w:r>
        <w:rPr>
          <w:b/>
          <w:bCs/>
          <w:sz w:val="24"/>
          <w:szCs w:val="28"/>
        </w:rPr>
        <w:t xml:space="preserve">Требования по срокам </w:t>
      </w:r>
      <w:bookmarkEnd w:id="32"/>
      <w:bookmarkEnd w:id="33"/>
      <w:bookmarkEnd w:id="35"/>
      <w:r>
        <w:rPr>
          <w:b/>
          <w:bCs/>
          <w:sz w:val="24"/>
          <w:szCs w:val="28"/>
        </w:rPr>
        <w:t>поставки продукции</w:t>
      </w:r>
      <w:bookmarkEnd w:id="31"/>
      <w:r>
        <w:rPr>
          <w:b/>
          <w:bCs/>
          <w:sz w:val="24"/>
          <w:szCs w:val="28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458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714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64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bidi="ar-SA"/>
              </w:rPr>
              <w:t>Блочно-модульное здание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</w:t>
            </w:r>
            <w:r>
              <w:rPr>
                <w:iCs/>
                <w:color w:val="2A6099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90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>
          <w:sz w:val="24"/>
          <w:szCs w:val="24"/>
        </w:rPr>
      </w:pPr>
      <w:bookmarkStart w:id="36" w:name="__RefHeading___Toc162496_3493348795"/>
      <w:bookmarkStart w:id="37" w:name="_Toc51339698"/>
      <w:bookmarkStart w:id="38" w:name="_Toc75446581"/>
      <w:bookmarkStart w:id="39" w:name="_Toc46743511"/>
      <w:bookmarkEnd w:id="36"/>
      <w:r>
        <w:rPr/>
        <w:t xml:space="preserve">Требования к </w:t>
      </w:r>
      <w:bookmarkEnd w:id="39"/>
      <w:r>
        <w:rPr/>
        <w:t>качеству продукции</w:t>
      </w:r>
      <w:bookmarkEnd w:id="38"/>
    </w:p>
    <w:p>
      <w:pPr>
        <w:pStyle w:val="BodyText"/>
        <w:rPr>
          <w:b/>
          <w:bCs/>
          <w:sz w:val="24"/>
          <w:szCs w:val="28"/>
        </w:rPr>
      </w:pPr>
      <w:bookmarkStart w:id="40" w:name="__RefHeading___Toc162498_3493348795"/>
      <w:bookmarkStart w:id="41" w:name="_Toc75446582"/>
      <w:bookmarkEnd w:id="40"/>
      <w:r>
        <w:rPr>
          <w:b/>
          <w:bCs/>
          <w:sz w:val="24"/>
          <w:szCs w:val="28"/>
        </w:rPr>
        <w:t>Таблица 3. Требования к продукции</w:t>
      </w:r>
      <w:bookmarkEnd w:id="41"/>
      <w:r>
        <w:rPr>
          <w:b/>
          <w:bCs/>
          <w:sz w:val="24"/>
          <w:szCs w:val="28"/>
        </w:rPr>
        <w:t xml:space="preserve"> </w:t>
      </w:r>
      <w:bookmarkEnd w:id="37"/>
    </w:p>
    <w:tbl>
      <w:tblPr>
        <w:tblStyle w:val="af"/>
        <w:tblpPr w:bottomFromText="0" w:horzAnchor="text" w:leftFromText="180" w:rightFromText="180" w:tblpX="0" w:tblpY="1" w:topFromText="0" w:vertAnchor="text"/>
        <w:tblW w:w="152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7"/>
        <w:gridCol w:w="5713"/>
        <w:gridCol w:w="2850"/>
        <w:gridCol w:w="1830"/>
        <w:gridCol w:w="1794"/>
        <w:gridCol w:w="1905"/>
      </w:tblGrid>
      <w:tr>
        <w:trPr/>
        <w:tc>
          <w:tcPr>
            <w:tcW w:w="11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713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13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подтверждающего документа на этапе закупки </w:t>
            </w:r>
          </w:p>
        </w:tc>
        <w:tc>
          <w:tcPr>
            <w:tcW w:w="19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71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8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713" w:type="dxa"/>
            <w:tcBorders>
              <w:right w:val="nil"/>
            </w:tcBorders>
            <w:shd w:color="auto" w:fill="auto" w:val="clea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rPr>
                <w:rStyle w:val="CharStyle64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tcBorders/>
            <w:shd w:color="auto" w:fill="auto" w:val="clea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rPr>
                <w:rStyle w:val="CharStyle64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56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Технические требования к блочно-модульному зданию ОПУ</w:t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13" w:type="dxa"/>
            <w:tcBorders>
              <w:top w:val="nil"/>
              <w:right w:val="nil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Блочно-модульное здание ОПУ  ( расширение здания ОПУ на 5 модулей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ОПУ габаритом (ШхВхГ) 2250х3980х6750мм)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Здание ОПУ одноэтажное блочно-модульного типа;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1. В рамках данного комплекта в здании ОПУ предусматривается установка распределительного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шкафа ЩР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(Шкаф собственных нужд ОПУ(ЩСН ОПУ) поставляется совместно с блочно-модульным зданием ОПУ)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2.Предусмотреть каналы, отверстия в полу для прокладки силовых и контрольных кабелей,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отверстия для выхода силовых и контрольных кабелей должны иметь сальниковые уплотнители;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3.В здании ОПУ предусматривается разработка розеточной сети;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3.1  Прокладку кабелей для питания розеточной сети рабочего осуществить открыто по стенам и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потолку в пластиковых кабельных каналах;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3.2. В сетях розеточной сети используются кабели с медными жилами не поддерживающие горение и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 малым дымообразованием (ВВГнг-LS);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3.3. Высота установки розеток 0,3 м от пола;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3.4. Электропитание розеточной сети здания выполнено от щита ЩСН ОПУ.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  В здании ОПУ предусматривается установка светильников рабочего и аварийного освещения. Для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рабочего и аварийного освещения применены светодиодные светильники;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4.1 Величины освещённости приняты согласно требований СП 52.13330.2016 Актуализированная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редакция СНиП 23-05-95 "Естественное и искусственное освещение";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4.2 В сетях внутреннего освещения используются кабели с медными жилами не поддерживающие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горение и с малым дымообразованием (ВВГнг-LS, ВВГнг-FRLS);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4.3 Прокладку кабелей для питания сети рабочего освещения осуществить открыто по стенам и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потолку в пластиковых кабельных каналах;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4.4  Высота установки выключателей 1,5 м от пола;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4.5 Электропитание освещения здания выполнено от щита ЩСН ОПУ.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4.6 Прокладку кабельных линий рабочего и аварийного освещения выполнить по разным трассам в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разных кабель-каналах.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4.7 Светильники аварийного освещения должны отличаться от рабочего освещения знаками или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окраской, в соответствии с ПТЭ ЭСиС РФ п.5.12.1. Светильники помечать специально нанесённой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буквой "А" красного цвета краской (СП 52.13330.2016 п.7.113).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4.8  В нормальном режиме светильник аварийного освещения работает на переменном напряжении 220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В. При отключении переменного напряжения на шинах ЩСН-0,4кВ происходит автоматическое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переключение питания аварийного освещения на встроенный блок аварийного питания в светодиодном светильнике.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5. Выполнить демонтаж ,указанного в чертеже, существующего оборудования.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5.1 Установить новое оборудование аналогичной мощности на указанных в чертеже местах ТЭП-28201/216-ПС-2025-263-ЭП лист5.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6.Заводскую сварку выполнить по ГОСТ 14771-76 проволокой сварочной Св08Г2С ГОСТ 2246-70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сплошным швом по контуру примыкания деталей.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7. Монтажную сварку металлических элементов производить по ГОСТ 5264-80*. Электроды для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сварки типа Э46 по ГОСТ 9467-75*. Катет шва равен наименьшей толщине свариваемых элементов.</w:t>
            </w:r>
          </w:p>
        </w:tc>
        <w:tc>
          <w:tcPr>
            <w:tcW w:w="2850" w:type="dxa"/>
            <w:tcBorders>
              <w:top w:val="nil"/>
            </w:tcBorders>
            <w:vAlign w:val="cente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Соответствие требованиям заданию заводу на изготовление блочно-модульного здания ОПУ (Шифр: ТЭП-28201/216-ПС-2025-263-ЭП) Приложение 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C9211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и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Опросному листу на блочно-модульное здание ОПУ ( ТЭП-28201/216-ПС-2025-263-ЭП листы 1-15)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13" w:type="dxa"/>
            <w:tcBorders>
              <w:top w:val="nil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56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  и условиям хранения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713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lang w:val="ru-RU" w:eastAsia="x-none"/>
              </w:rPr>
              <w:t>678080, Республика Саха (Якутия), Мегино-Кангаласский улус, пгт. Нижний Бестях, ул. Ленина, 117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</w:r>
          </w:p>
        </w:tc>
        <w:tc>
          <w:tcPr>
            <w:tcW w:w="5713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  упаковке, транспортировке  и условиям хранения</w:t>
            </w:r>
          </w:p>
        </w:tc>
        <w:tc>
          <w:tcPr>
            <w:tcW w:w="2850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Перевозка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крупногабаритного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тяжеловесного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оборудования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осуществляется согласно РД 24.200.01-90.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CharStyle64"/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и хранения блочно -модульного здания ОПУ должны быть приняты меры для его защиты от механических повреждений и воздействия факторов окружающей среды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13" w:type="dxa"/>
            <w:vMerge w:val="continue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/>
            </w:r>
          </w:p>
        </w:tc>
        <w:tc>
          <w:tcPr>
            <w:tcW w:w="1830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71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i w:val="false"/>
                <w:iCs w:val="false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Условия транспортирования продукции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ГОСТ 15150-69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lang w:val="ru-RU" w:eastAsia="en-US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56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71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Качество, комплектность, количество поставляемого товара должно соответствовать требованиям данного технического требования.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71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en-US"/>
              </w:rPr>
              <w:t>Документы, передаваемые вместе с оборудованием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 товарно-транспортная накладная формы №1-Т;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-товарная накладная унифицированной формы ТОРГ-12 в 2 экз.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-Сертификат соответствия или декларация.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-Паспорт БМЗ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color w:val="00A933"/>
                <w:sz w:val="24"/>
                <w:szCs w:val="24"/>
              </w:rPr>
            </w:pPr>
            <w:r>
              <w:rPr>
                <w:rFonts w:cs="Times New Roman"/>
                <w:color w:val="00A933"/>
                <w:sz w:val="24"/>
                <w:szCs w:val="24"/>
              </w:rPr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6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13" w:type="dxa"/>
            <w:tcBorders>
              <w:top w:val="nil"/>
              <w:right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Гарантийный срок</w:t>
            </w:r>
          </w:p>
        </w:tc>
        <w:tc>
          <w:tcPr>
            <w:tcW w:w="28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Гарантийный срок эксплуатации не менее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  <w:r>
              <w:rPr>
                <w:rFonts w:eastAsia="Times New Roman" w:cs="Times New Roman"/>
                <w:bCs/>
                <w:color w:val="FF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месяцев с момента ввода в эксплуатацию, но не более 66 месяцев с момента поставки.</w:t>
            </w: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8563" w:type="dxa"/>
            <w:gridSpan w:val="2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8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5.1</w:t>
            </w:r>
          </w:p>
        </w:tc>
        <w:tc>
          <w:tcPr>
            <w:tcW w:w="8563" w:type="dxa"/>
            <w:gridSpan w:val="2"/>
            <w:tcBorders>
              <w:top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1.  В расширении (пристройке) блочно-модульного здания ОПУ предусмотреть отдельный шкаф собственных нужд.</w:t>
            </w:r>
          </w:p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 В поставку блочно-модульного здания ОПУ включить комплект средств защиты (плакаты и знаки по электробезопасности, указатели напряжения, диэлектрические коврики, диэлектрические боты, диэлектрические подставки,</w:t>
            </w:r>
          </w:p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диэлектрические перчатки), первичные средства пожаротушения (огнетушители, носилки и т. д.), шкаф с прозрачной дверью для размещения СИЗ, ПО для параметрирования и проверки устройств РЗА, шнур для подключения ПК к терминалам РЗА</w:t>
            </w:r>
          </w:p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В поставку включит ЗИП на пять лет эксплуатации здания и его систем. Комплекты поставляемых СИЗ для напряжения 0,4 кВ и условия их хранения должны соответствовать требованиям СО 153-34.03.603-2003 и располагаться на стенде СИЗ.</w:t>
            </w:r>
          </w:p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spacing w:before="0" w:after="60"/>
        <w:ind w:left="0" w:hanging="0"/>
        <w:jc w:val="center"/>
        <w:rPr>
          <w:b/>
          <w:bCs/>
          <w:iCs/>
          <w:sz w:val="24"/>
          <w:szCs w:val="24"/>
          <w:lang w:eastAsia="x-none"/>
        </w:rPr>
      </w:pPr>
      <w:r>
        <w:rPr>
          <w:b/>
          <w:bCs/>
          <w:iCs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0"/>
        </w:numPr>
        <w:tabs>
          <w:tab w:val="clear" w:pos="708"/>
          <w:tab w:val="left" w:pos="284" w:leader="none"/>
          <w:tab w:val="left" w:pos="567" w:leader="none"/>
        </w:tabs>
        <w:spacing w:lineRule="auto" w:line="276" w:before="0" w:after="0"/>
        <w:ind w:left="0" w:right="-28" w:hanging="0"/>
        <w:rPr>
          <w:sz w:val="24"/>
          <w:szCs w:val="24"/>
          <w:lang w:val="ru-RU"/>
        </w:rPr>
      </w:pPr>
      <w:r>
        <w:rPr>
          <w:bCs/>
          <w:iCs/>
          <w:color w:val="000000"/>
          <w:sz w:val="24"/>
          <w:szCs w:val="24"/>
          <w:lang w:val="ru-RU" w:eastAsia="x-none"/>
        </w:rPr>
        <w:t xml:space="preserve">3. </w:t>
      </w:r>
      <w:bookmarkStart w:id="42" w:name="_Toc75446583"/>
      <w:bookmarkStart w:id="43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3"/>
      <w:r>
        <w:rPr>
          <w:sz w:val="24"/>
          <w:szCs w:val="24"/>
          <w:lang w:val="ru-RU"/>
        </w:rPr>
        <w:t xml:space="preserve"> на этапе закупки</w:t>
      </w:r>
      <w:bookmarkEnd w:id="42"/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  <w:tab w:val="left" w:pos="567" w:leader="none"/>
        </w:tabs>
        <w:spacing w:lineRule="auto" w:line="276"/>
        <w:ind w:left="5038" w:hanging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</w:rPr>
      </w:pPr>
      <w:r>
        <w:rPr>
          <w:bCs/>
          <w:iCs/>
          <w:sz w:val="24"/>
          <w:szCs w:val="24"/>
          <w:lang w:eastAsia="x-none"/>
        </w:rPr>
        <w:t>3.1 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(к позициям  Таблицы 1 Перечня и объемов закупаемой продукции).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Cs/>
          <w:sz w:val="24"/>
        </w:rPr>
      </w:pPr>
      <w:r>
        <w:rPr>
          <w:bCs/>
          <w:iCs/>
          <w:sz w:val="24"/>
          <w:szCs w:val="24"/>
          <w:lang w:eastAsia="x-none"/>
        </w:rPr>
        <w:t xml:space="preserve">3.2  В обоснование стоимости своей заявки Участник предоставляет Коммерческое предложение по форме </w:t>
      </w:r>
      <w:bookmarkStart w:id="44" w:name="_Hlk88325985_Копия_1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4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  <w:tab w:val="left" w:pos="567" w:leader="none"/>
        </w:tabs>
        <w:spacing w:lineRule="auto" w:line="276"/>
        <w:ind w:left="0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3.3  </w:t>
      </w:r>
      <w:bookmarkStart w:id="45" w:name="_Hlk88327292_Копия_1"/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5"/>
      <w:r>
        <w:rPr>
          <w:bCs/>
          <w:iCs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bCs/>
          <w:iCs/>
          <w:color w:val="C9211E"/>
          <w:sz w:val="24"/>
          <w:szCs w:val="24"/>
          <w:lang w:eastAsia="x-none"/>
        </w:rPr>
      </w:pPr>
      <w:r>
        <w:rPr>
          <w:bCs/>
          <w:iCs/>
          <w:color w:val="C9211E"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b/>
          <w:bCs/>
          <w:color w:val="000000"/>
        </w:rPr>
      </w:pPr>
      <w:r>
        <w:rPr>
          <w:b/>
          <w:bCs/>
          <w:iCs/>
          <w:color w:val="000000"/>
          <w:sz w:val="24"/>
          <w:szCs w:val="24"/>
          <w:lang w:eastAsia="x-none"/>
        </w:rPr>
        <w:t>4. Приложения:</w:t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bCs/>
          <w:iCs/>
          <w:color w:val="000000"/>
          <w:sz w:val="24"/>
          <w:szCs w:val="24"/>
          <w:lang w:eastAsia="x-none"/>
        </w:rPr>
      </w:pPr>
      <w:r>
        <w:rPr>
          <w:bCs/>
          <w:iCs/>
          <w:color w:val="000000"/>
          <w:sz w:val="24"/>
          <w:szCs w:val="24"/>
          <w:lang w:eastAsia="x-none"/>
        </w:rPr>
        <w:t>4.1 Приложение1  Задание заводу на изготовление БМЗ  ТЭП-28201-216-ПС-2025-263-ЭП</w:t>
      </w:r>
    </w:p>
    <w:p>
      <w:pPr>
        <w:pStyle w:val="Normal"/>
        <w:numPr>
          <w:ilvl w:val="0"/>
          <w:numId w:val="0"/>
        </w:numPr>
        <w:spacing w:before="40" w:after="120"/>
        <w:ind w:left="0" w:right="-28" w:hanging="0"/>
        <w:jc w:val="both"/>
        <w:rPr>
          <w:bCs/>
          <w:iCs/>
          <w:color w:val="000000"/>
          <w:sz w:val="24"/>
          <w:szCs w:val="24"/>
          <w:lang w:eastAsia="x-none"/>
        </w:rPr>
      </w:pPr>
      <w:r>
        <w:rPr>
          <w:bCs/>
          <w:iCs/>
          <w:color w:val="000000"/>
          <w:sz w:val="24"/>
          <w:szCs w:val="24"/>
          <w:lang w:eastAsia="x-none"/>
        </w:rPr>
        <w:t>4.2 Приложение 2 Требования к участникам закупки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CharStyle10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CharStyle65">
    <w:name w:val="Char Style 6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08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311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zh-CN"/>
    </w:rPr>
  </w:style>
  <w:style w:type="paragraph" w:styleId="Style38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480" w:before="0" w:after="120"/>
      <w:ind w:left="283" w:firstLine="709"/>
      <w:jc w:val="both"/>
    </w:pPr>
    <w:rPr>
      <w:sz w:val="24"/>
      <w:szCs w:val="20"/>
      <w:lang w:val="en-US" w:eastAsia="zh-CN"/>
    </w:rPr>
  </w:style>
  <w:style w:type="paragraph" w:styleId="37">
    <w:name w:val="Т3.РАЗДЕЛ"/>
    <w:qFormat/>
    <w:pPr>
      <w:widowControl/>
      <w:suppressAutoHyphens w:val="true"/>
      <w:bidi w:val="0"/>
      <w:spacing w:lineRule="auto" w:line="288" w:before="120" w:after="60"/>
      <w:ind w:left="680" w:right="0" w:firstLine="454"/>
      <w:jc w:val="left"/>
    </w:pPr>
    <w:rPr>
      <w:rFonts w:ascii="Arial Narrow" w:hAnsi="Arial Narrow" w:eastAsia="Times New Roman" w:cs="Arial Narrow"/>
      <w:b/>
      <w:color w:val="000000"/>
      <w:kern w:val="0"/>
      <w:sz w:val="24"/>
      <w:szCs w:val="24"/>
      <w:lang w:val="ru-RU" w:eastAsia="zh-CN" w:bidi="ar-SA"/>
    </w:rPr>
  </w:style>
  <w:style w:type="paragraph" w:styleId="Style181">
    <w:name w:val="Style 18"/>
    <w:basedOn w:val="Normal"/>
    <w:qFormat/>
    <w:pPr>
      <w:widowControl w:val="false"/>
      <w:shd w:val="clear" w:fill="FFFFFF"/>
      <w:spacing w:lineRule="atLeast" w:line="0" w:before="660" w:after="2100"/>
      <w:jc w:val="center"/>
    </w:pPr>
    <w:rPr>
      <w:sz w:val="23"/>
      <w:szCs w:val="23"/>
    </w:rPr>
  </w:style>
  <w:style w:type="paragraph" w:styleId="Style39">
    <w:name w:val="Приветствие"/>
    <w:basedOn w:val="Normal"/>
    <w:next w:val="Normal"/>
    <w:qFormat/>
    <w:pPr/>
    <w:rPr>
      <w:rFonts w:eastAsia="Calibri"/>
      <w:sz w:val="24"/>
      <w:szCs w:val="24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6">
    <w:name w:val="WW8Num6"/>
    <w:qFormat/>
  </w:style>
  <w:style w:type="numbering" w:styleId="WW8Num2">
    <w:name w:val="WW8Num2"/>
    <w:qFormat/>
  </w:style>
  <w:style w:type="numbering" w:styleId="22773344811">
    <w:name w:val="227733448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0491-4E72-432B-8E2C-E520371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</TotalTime>
  <Application>AlterOffice/3.4.0.9$Linux_X86_64 LibreOffice_project/b8daf9e823b1a5463a2f48435ddc2e8696e7d4fc</Application>
  <AppVersion>15.0000</AppVersion>
  <Pages>11</Pages>
  <Words>1111</Words>
  <Characters>7645</Characters>
  <CharactersWithSpaces>8612</CharactersWithSpaces>
  <Paragraphs>175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2023-02-06T05:51:00Z</dcterms:created>
  <dc:creator>Быстров Олег Геннадьевич</dc:creator>
  <dc:description/>
  <dc:language>ru-RU</dc:language>
  <cp:lastModifiedBy>fominpp</cp:lastModifiedBy>
  <cp:lastPrinted>2026-02-12T14:43:24Z</cp:lastPrinted>
  <dcterms:modified xsi:type="dcterms:W3CDTF">2026-05-07T09:54:03Z</dcterms:modified>
  <cp:revision>178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