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widowControl w:val="false"/>
        <w:tabs>
          <w:tab w:val="clear" w:pos="225"/>
          <w:tab w:val="left" w:pos="993" w:leader="none"/>
        </w:tabs>
        <w:spacing w:before="120" w:after="120"/>
        <w:ind w:left="5839" w:hanging="0"/>
        <w:rPr>
          <w:rFonts w:eastAsia="Calibri"/>
          <w:b/>
          <w:sz w:val="24"/>
          <w:szCs w:val="24"/>
          <w:lang w:eastAsia="x-none"/>
        </w:rPr>
      </w:pPr>
      <w:r>
        <w:rPr>
          <w:rFonts w:eastAsia="Calibri"/>
          <w:b/>
          <w:sz w:val="24"/>
          <w:szCs w:val="24"/>
          <w:lang w:eastAsia="x-none"/>
        </w:rPr>
        <w:t>УТВЕРЖДАЮ</w:t>
      </w:r>
    </w:p>
    <w:p>
      <w:pPr>
        <w:pStyle w:val="Normal"/>
        <w:widowControl w:val="false"/>
        <w:tabs>
          <w:tab w:val="clear" w:pos="225"/>
          <w:tab w:val="left" w:pos="993" w:leader="none"/>
        </w:tabs>
        <w:spacing w:before="119" w:after="0"/>
        <w:ind w:left="5839" w:hanging="0"/>
        <w:rPr/>
      </w:pPr>
      <w:r>
        <w:rPr>
          <w:rFonts w:eastAsia="Calibri"/>
          <w:sz w:val="24"/>
          <w:szCs w:val="24"/>
          <w:lang w:eastAsia="x-none"/>
        </w:rPr>
        <w:t>Первый заместитель директора – Главный инженер</w:t>
      </w:r>
    </w:p>
    <w:p>
      <w:pPr>
        <w:pStyle w:val="Normal"/>
        <w:widowControl w:val="false"/>
        <w:tabs>
          <w:tab w:val="clear" w:pos="225"/>
          <w:tab w:val="left" w:pos="993" w:leader="none"/>
        </w:tabs>
        <w:spacing w:before="0" w:after="119"/>
        <w:ind w:left="5839" w:hanging="0"/>
        <w:rPr/>
      </w:pPr>
      <w:r>
        <w:rPr>
          <w:rFonts w:eastAsia="Calibri"/>
          <w:sz w:val="24"/>
          <w:szCs w:val="24"/>
          <w:lang w:eastAsia="x-none"/>
        </w:rPr>
        <w:t>Филиала ПАО «РусГидро» - «Жигулевская ГЭС»</w:t>
      </w:r>
    </w:p>
    <w:p>
      <w:pPr>
        <w:pStyle w:val="Normal"/>
        <w:widowControl w:val="false"/>
        <w:tabs>
          <w:tab w:val="clear" w:pos="225"/>
          <w:tab w:val="left" w:pos="993" w:leader="none"/>
        </w:tabs>
        <w:spacing w:before="120" w:after="120"/>
        <w:ind w:left="5839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tabs>
          <w:tab w:val="clear" w:pos="225"/>
          <w:tab w:val="left" w:pos="993" w:leader="none"/>
        </w:tabs>
        <w:spacing w:before="120" w:after="120"/>
        <w:ind w:left="5839" w:hanging="0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________________ А.И. Богданов</w:t>
      </w:r>
    </w:p>
    <w:p>
      <w:pPr>
        <w:pStyle w:val="Normal"/>
        <w:keepNext w:val="true"/>
        <w:keepLines/>
        <w:widowControl w:val="false"/>
        <w:tabs>
          <w:tab w:val="clear" w:pos="225"/>
          <w:tab w:val="left" w:pos="993" w:leader="none"/>
        </w:tabs>
        <w:spacing w:before="120" w:after="120"/>
        <w:ind w:left="5839" w:hanging="0"/>
        <w:rPr>
          <w:b w:val="false"/>
          <w:bCs w:val="false"/>
        </w:rPr>
      </w:pPr>
      <w:r>
        <w:rPr>
          <w:rFonts w:eastAsia="Calibri"/>
          <w:b w:val="false"/>
          <w:bCs w:val="false"/>
          <w:sz w:val="24"/>
          <w:szCs w:val="24"/>
          <w:lang w:eastAsia="x-none"/>
        </w:rPr>
        <w:t>«____»_____________ 2026 г.</w:t>
      </w:r>
    </w:p>
    <w:p>
      <w:pPr>
        <w:pStyle w:val="Normal"/>
        <w:keepNext w:val="true"/>
        <w:keepLines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225"/>
          <w:tab w:val="left" w:pos="426" w:leader="none"/>
        </w:tabs>
        <w:spacing w:before="0" w:after="0"/>
        <w:jc w:val="center"/>
        <w:rPr/>
      </w:pPr>
      <w:r>
        <w:rPr>
          <w:rFonts w:eastAsia="Calibri"/>
          <w:b w:val="false"/>
          <w:bCs w:val="false"/>
          <w:color w:val="auto"/>
          <w:sz w:val="24"/>
          <w:szCs w:val="24"/>
        </w:rPr>
        <w:t>О</w:t>
      </w:r>
      <w:r>
        <w:rPr>
          <w:b w:val="false"/>
          <w:bCs w:val="false"/>
          <w:color w:val="auto"/>
          <w:sz w:val="24"/>
          <w:szCs w:val="24"/>
        </w:rPr>
        <w:t xml:space="preserve">КПД2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26.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4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0.3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>3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u w:val="none"/>
          <w:em w:val="none"/>
        </w:rPr>
        <w:t xml:space="preserve"> </w:t>
      </w:r>
      <w:r>
        <w:rPr>
          <w:b w:val="false"/>
          <w:bCs w:val="false"/>
          <w:color w:val="auto"/>
          <w:sz w:val="24"/>
          <w:szCs w:val="24"/>
        </w:rPr>
        <w:t>«</w:t>
      </w:r>
      <w:r>
        <w:rPr>
          <w:b w:val="false"/>
          <w:bCs w:val="false"/>
          <w:sz w:val="24"/>
          <w:szCs w:val="24"/>
        </w:rPr>
        <w:t xml:space="preserve">Поставка МТР для </w:t>
      </w:r>
      <w:r>
        <w:rPr>
          <w:b w:val="false"/>
          <w:bCs w:val="false"/>
          <w:color w:val="auto"/>
          <w:sz w:val="24"/>
          <w:szCs w:val="24"/>
        </w:rPr>
        <w:t>Филиала ПАО «РусГидро»-«Жигулевская ГЭС»</w:t>
      </w:r>
    </w:p>
    <w:p>
      <w:pPr>
        <w:pStyle w:val="Normal"/>
        <w:widowControl w:val="false"/>
        <w:tabs>
          <w:tab w:val="clear" w:pos="225"/>
          <w:tab w:val="left" w:pos="426" w:leader="none"/>
        </w:tabs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225"/>
          <w:tab w:val="left" w:pos="426" w:leader="none"/>
        </w:tabs>
        <w:spacing w:before="120" w:after="120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right" w:pos="9921" w:leader="dot"/>
            </w:tabs>
            <w:rPr/>
          </w:pPr>
          <w:r>
            <w:fldChar w:fldCharType="begin"/>
          </w:r>
          <w:r>
            <w:rPr>
              <w:rStyle w:val="Style14"/>
            </w:rPr>
            <w:instrText xml:space="preserve"> TOC \o "1-4" \h</w:instrText>
          </w:r>
          <w:r>
            <w:rPr>
              <w:rStyle w:val="Style14"/>
            </w:rPr>
            <w:fldChar w:fldCharType="separate"/>
          </w:r>
          <w:hyperlink w:anchor="__RefHeading___Toc903_40715321">
            <w:r>
              <w:rPr>
                <w:rStyle w:val="Style14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225"/>
              <w:tab w:val="right" w:pos="9921" w:leader="dot"/>
            </w:tabs>
            <w:rPr/>
          </w:pPr>
          <w:hyperlink w:anchor="__RefHeading___Toc905_40715321">
            <w:r>
              <w:rPr>
                <w:rStyle w:val="Style14"/>
                <w:sz w:val="24"/>
                <w:szCs w:val="24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225"/>
              <w:tab w:val="right" w:pos="9921" w:leader="dot"/>
            </w:tabs>
            <w:rPr/>
          </w:pPr>
          <w:hyperlink w:anchor="__RefHeading___Toc907_40715321">
            <w:r>
              <w:rPr>
                <w:rStyle w:val="Style14"/>
                <w:sz w:val="24"/>
                <w:szCs w:val="24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225"/>
              <w:tab w:val="right" w:pos="9921" w:leader="dot"/>
            </w:tabs>
            <w:rPr/>
          </w:pPr>
          <w:hyperlink w:anchor="__RefHeading___Toc909_40715321">
            <w:r>
              <w:rPr>
                <w:rStyle w:val="Style14"/>
                <w:sz w:val="24"/>
                <w:szCs w:val="24"/>
              </w:rPr>
              <w:t>1.3. Цель использования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225"/>
              <w:tab w:val="right" w:pos="9921" w:leader="dot"/>
            </w:tabs>
            <w:rPr/>
          </w:pPr>
          <w:hyperlink w:anchor="__RefHeading___Toc911_40715321">
            <w:r>
              <w:rPr>
                <w:rStyle w:val="Style14"/>
                <w:sz w:val="24"/>
                <w:szCs w:val="24"/>
              </w:rPr>
              <w:t>1.4. Существующее положение</w:t>
              <w:tab/>
              <w:t>4</w:t>
            </w:r>
          </w:hyperlink>
        </w:p>
        <w:p>
          <w:pPr>
            <w:pStyle w:val="TOC4"/>
            <w:tabs>
              <w:tab w:val="clear" w:pos="225"/>
              <w:tab w:val="right" w:pos="9921" w:leader="dot"/>
            </w:tabs>
            <w:rPr/>
          </w:pPr>
          <w:hyperlink w:anchor="__RefHeading___Toc913_40715321">
            <w:r>
              <w:rPr>
                <w:rStyle w:val="Style14"/>
                <w:sz w:val="24"/>
                <w:szCs w:val="24"/>
              </w:rPr>
              <w:t>1.5.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  <w:t>4</w:t>
            </w:r>
          </w:hyperlink>
        </w:p>
        <w:p>
          <w:pPr>
            <w:pStyle w:val="TOC4"/>
            <w:tabs>
              <w:tab w:val="clear" w:pos="225"/>
              <w:tab w:val="right" w:pos="9921" w:leader="dot"/>
            </w:tabs>
            <w:rPr/>
          </w:pPr>
          <w:hyperlink w:anchor="__RefHeading___Toc915_40715321">
            <w:r>
              <w:rPr>
                <w:rStyle w:val="Style14"/>
                <w:sz w:val="24"/>
                <w:szCs w:val="24"/>
              </w:rPr>
              <w:t>1.6. Иные требования и сведения общего характера</w:t>
              <w:tab/>
              <w:t>4</w:t>
            </w:r>
          </w:hyperlink>
        </w:p>
        <w:p>
          <w:pPr>
            <w:pStyle w:val="TOC1"/>
            <w:tabs>
              <w:tab w:val="right" w:pos="9921" w:leader="dot"/>
            </w:tabs>
            <w:rPr/>
          </w:pPr>
          <w:hyperlink w:anchor="__RefHeading___Toc917_40715321">
            <w:r>
              <w:rPr>
                <w:rStyle w:val="Style14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</w:r>
          </w:hyperlink>
          <w:r>
            <w:rPr/>
            <w:t>4</w:t>
          </w:r>
        </w:p>
        <w:p>
          <w:pPr>
            <w:pStyle w:val="TOC4"/>
            <w:tabs>
              <w:tab w:val="clear" w:pos="225"/>
              <w:tab w:val="right" w:pos="9921" w:leader="dot"/>
            </w:tabs>
            <w:rPr/>
          </w:pPr>
          <w:hyperlink w:anchor="__RefHeading___Toc919_40715321">
            <w:r>
              <w:rPr>
                <w:rStyle w:val="Style14"/>
                <w:sz w:val="24"/>
                <w:szCs w:val="24"/>
              </w:rPr>
              <w:t>2.1. Требования к объемам и срокам поставки</w:t>
              <w:tab/>
              <w:t>4</w:t>
            </w:r>
          </w:hyperlink>
        </w:p>
        <w:p>
          <w:pPr>
            <w:pStyle w:val="TOC3"/>
            <w:tabs>
              <w:tab w:val="clear" w:pos="225"/>
              <w:tab w:val="right" w:pos="9921" w:leader="dot"/>
            </w:tabs>
            <w:rPr/>
          </w:pPr>
          <w:r>
            <w:rPr>
              <w:b w:val="false"/>
              <w:szCs w:val="24"/>
            </w:rPr>
            <w:t xml:space="preserve">     </w:t>
          </w:r>
          <w:hyperlink w:anchor="__RefHeading___Toc921_40715321">
            <w:r>
              <w:rPr>
                <w:rStyle w:val="Style14"/>
                <w:b w:val="false"/>
                <w:szCs w:val="24"/>
              </w:rPr>
              <w:t>2.1.1. Перечень и объем закупаемой продукции</w:t>
              <w:tab/>
            </w:r>
          </w:hyperlink>
          <w:r>
            <w:rPr>
              <w:b w:val="false"/>
              <w:szCs w:val="24"/>
            </w:rPr>
            <w:t>4</w:t>
          </w:r>
        </w:p>
        <w:p>
          <w:pPr>
            <w:pStyle w:val="TOC3"/>
            <w:tabs>
              <w:tab w:val="clear" w:pos="225"/>
              <w:tab w:val="right" w:pos="9921" w:leader="dot"/>
            </w:tabs>
            <w:rPr/>
          </w:pPr>
          <w:r>
            <w:rPr>
              <w:b w:val="false"/>
              <w:szCs w:val="24"/>
            </w:rPr>
            <w:t xml:space="preserve">     </w:t>
          </w:r>
          <w:hyperlink w:anchor="__RefHeading___Toc925_40715321">
            <w:r>
              <w:rPr>
                <w:rStyle w:val="Style14"/>
                <w:b w:val="false"/>
                <w:szCs w:val="24"/>
              </w:rPr>
              <w:t>2.1.2. Требования к срокам поставки продукции и оказания сопутствующих услуг</w:t>
              <w:tab/>
              <w:t>5</w:t>
            </w:r>
          </w:hyperlink>
        </w:p>
        <w:p>
          <w:pPr>
            <w:pStyle w:val="TOC4"/>
            <w:tabs>
              <w:tab w:val="clear" w:pos="225"/>
              <w:tab w:val="right" w:pos="9921" w:leader="dot"/>
            </w:tabs>
            <w:rPr/>
          </w:pPr>
          <w:hyperlink w:anchor="__RefHeading___Toc929_40715321">
            <w:r>
              <w:rPr>
                <w:rStyle w:val="Style14"/>
                <w:sz w:val="24"/>
                <w:szCs w:val="24"/>
              </w:rPr>
              <w:t>2.2. Требования к качеству продукции</w:t>
              <w:tab/>
              <w:t>6</w:t>
            </w:r>
          </w:hyperlink>
        </w:p>
        <w:p>
          <w:pPr>
            <w:pStyle w:val="TOC1"/>
            <w:tabs>
              <w:tab w:val="right" w:pos="9921" w:leader="dot"/>
            </w:tabs>
            <w:rPr/>
          </w:pPr>
          <w:hyperlink w:anchor="__RefHeading___Toc935_40715321">
            <w:r>
              <w:rPr>
                <w:rStyle w:val="Style14"/>
              </w:rPr>
              <w:t>3. Требования к документации по ценообразованию на этапе закупки</w:t>
              <w:tab/>
              <w:t>1</w:t>
            </w:r>
          </w:hyperlink>
          <w:r>
            <w:rPr/>
            <w:t>1</w:t>
          </w:r>
          <w:r>
            <w:rPr/>
            <w:fldChar w:fldCharType="end"/>
          </w:r>
        </w:p>
      </w:sdtContent>
    </w:sdt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caps/>
          <w:lang w:val="ru-RU"/>
        </w:rPr>
      </w:pPr>
      <w:bookmarkStart w:id="0" w:name="__RefHeading___Toc903_40715321"/>
      <w:bookmarkStart w:id="1" w:name="_Toc75446566"/>
      <w:bookmarkStart w:id="2" w:name="_Toc51339692"/>
      <w:bookmarkEnd w:id="0"/>
      <w:bookmarkEnd w:id="1"/>
      <w:bookmarkEnd w:id="2"/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1"/>
        </w:numPr>
        <w:rPr/>
      </w:pPr>
      <w:bookmarkStart w:id="3" w:name="__RefHeading___Toc905_40715321"/>
      <w:bookmarkStart w:id="4" w:name="_Toc75446567"/>
      <w:bookmarkStart w:id="5" w:name="_Toc46743505"/>
      <w:bookmarkEnd w:id="3"/>
      <w:bookmarkEnd w:id="4"/>
      <w:bookmarkEnd w:id="5"/>
      <w:r>
        <w:rPr/>
        <w:t>Обозначения и сокращения</w:t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6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Филиал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Филиал ПАО «РусГидро» - «Жигулевская ГЭС»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ПАО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Публичное акционерное общество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225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i w:val="false"/>
                <w:sz w:val="24"/>
                <w:szCs w:val="24"/>
                <w:shd w:fill="FFFFFF" w:val="clear"/>
              </w:rPr>
              <w:t>МТР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225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bCs/>
                <w:i w:val="false"/>
                <w:sz w:val="24"/>
                <w:szCs w:val="24"/>
                <w:shd w:fill="FFFFFF" w:val="clear"/>
              </w:rPr>
              <w:t>Материально-технические ресурсы, включая материалы и запчасти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225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225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Персональный компьютер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225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225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1"/>
        </w:numPr>
        <w:rPr/>
      </w:pPr>
      <w:bookmarkStart w:id="6" w:name="__RefHeading___Toc907_40715321"/>
      <w:bookmarkStart w:id="7" w:name="_Toc46743506"/>
      <w:bookmarkStart w:id="8" w:name="_Toc75446568"/>
      <w:bookmarkEnd w:id="6"/>
      <w:bookmarkEnd w:id="7"/>
      <w:bookmarkEnd w:id="8"/>
      <w:r>
        <w:rPr/>
        <w:t>Наименование закупаемой продукции</w:t>
      </w:r>
    </w:p>
    <w:p>
      <w:pPr>
        <w:pStyle w:val="Normal"/>
        <w:widowControl w:val="false"/>
        <w:tabs>
          <w:tab w:val="clear" w:pos="225"/>
          <w:tab w:val="left" w:pos="426" w:leader="none"/>
        </w:tabs>
        <w:spacing w:before="120" w:after="120"/>
        <w:jc w:val="both"/>
        <w:rPr/>
      </w:pPr>
      <w:r>
        <w:rPr>
          <w:rFonts w:eastAsia="Calibri"/>
          <w:color w:val="auto"/>
          <w:sz w:val="24"/>
          <w:szCs w:val="24"/>
        </w:rPr>
        <w:t>О</w:t>
      </w:r>
      <w:r>
        <w:rPr>
          <w:color w:val="auto"/>
          <w:sz w:val="24"/>
          <w:szCs w:val="24"/>
        </w:rPr>
        <w:t xml:space="preserve">КПД2  </w:t>
      </w:r>
      <w:r>
        <w:rPr>
          <w:b w:val="false"/>
          <w:bCs w:val="false"/>
          <w:color w:val="000000"/>
          <w:sz w:val="24"/>
          <w:szCs w:val="24"/>
          <w:u w:val="none"/>
          <w:shd w:fill="auto" w:val="clear"/>
        </w:rPr>
        <w:t>26.</w:t>
      </w:r>
      <w:r>
        <w:rPr>
          <w:b w:val="false"/>
          <w:bCs w:val="false"/>
          <w:color w:val="000000"/>
          <w:sz w:val="24"/>
          <w:szCs w:val="24"/>
          <w:u w:val="none"/>
          <w:shd w:fill="auto" w:val="clear"/>
        </w:rPr>
        <w:t>40</w:t>
      </w:r>
      <w:r>
        <w:rPr>
          <w:b w:val="false"/>
          <w:bCs w:val="false"/>
          <w:color w:val="000000"/>
          <w:sz w:val="24"/>
          <w:szCs w:val="24"/>
          <w:u w:val="none"/>
          <w:shd w:fill="auto" w:val="clear"/>
        </w:rPr>
        <w:t>.3</w:t>
      </w:r>
      <w:r>
        <w:rPr>
          <w:b w:val="false"/>
          <w:bCs w:val="false"/>
          <w:color w:val="000000"/>
          <w:sz w:val="24"/>
          <w:szCs w:val="24"/>
          <w:u w:val="none"/>
          <w:shd w:fill="auto" w:val="clear"/>
        </w:rPr>
        <w:t>3</w:t>
      </w:r>
      <w:r>
        <w:rPr>
          <w:color w:val="auto"/>
          <w:sz w:val="24"/>
          <w:szCs w:val="24"/>
        </w:rPr>
        <w:t xml:space="preserve"> «</w:t>
      </w:r>
      <w:r>
        <w:rPr>
          <w:sz w:val="24"/>
          <w:szCs w:val="24"/>
        </w:rPr>
        <w:t xml:space="preserve">Поставка МТР для </w:t>
      </w:r>
      <w:r>
        <w:rPr>
          <w:color w:val="auto"/>
          <w:sz w:val="24"/>
          <w:szCs w:val="24"/>
        </w:rPr>
        <w:t>Филиала ПАО «РусГидро»-«Жигулевская ГЭС».</w:t>
      </w:r>
    </w:p>
    <w:p>
      <w:pPr>
        <w:pStyle w:val="Heading4"/>
        <w:numPr>
          <w:ilvl w:val="1"/>
          <w:numId w:val="1"/>
        </w:numPr>
        <w:spacing w:before="240" w:after="60"/>
        <w:ind w:left="431" w:hanging="431"/>
        <w:rPr/>
      </w:pPr>
      <w:bookmarkStart w:id="9" w:name="__RefHeading___Toc909_40715321"/>
      <w:bookmarkStart w:id="10" w:name="_Toc75446569"/>
      <w:bookmarkStart w:id="11" w:name="_Toc46743507"/>
      <w:bookmarkEnd w:id="9"/>
      <w:r>
        <w:rPr/>
        <w:t xml:space="preserve">Цель </w:t>
      </w:r>
      <w:bookmarkEnd w:id="11"/>
      <w:r>
        <w:rPr>
          <w:lang w:val="ru-RU"/>
        </w:rPr>
        <w:t xml:space="preserve">использования закупаемой продукции </w:t>
      </w:r>
      <w:bookmarkEnd w:id="10"/>
      <w:r>
        <w:rPr/>
        <w:t xml:space="preserve"> </w:t>
      </w:r>
    </w:p>
    <w:p>
      <w:pPr>
        <w:pStyle w:val="Normal"/>
        <w:widowControl w:val="false"/>
        <w:tabs>
          <w:tab w:val="clear" w:pos="225"/>
          <w:tab w:val="left" w:pos="426" w:leader="none"/>
        </w:tabs>
        <w:spacing w:before="120" w:after="240"/>
        <w:jc w:val="both"/>
        <w:rPr/>
      </w:pPr>
      <w:r>
        <w:rPr>
          <w:rStyle w:val="Style8"/>
          <w:bCs/>
          <w:i w:val="false"/>
          <w:sz w:val="24"/>
          <w:szCs w:val="24"/>
          <w:shd w:fill="FFFFFF" w:val="clear"/>
        </w:rPr>
        <w:t>МТР закупаются для использования в производственной деятельности.</w:t>
      </w:r>
    </w:p>
    <w:p>
      <w:pPr>
        <w:pStyle w:val="Heading4"/>
        <w:numPr>
          <w:ilvl w:val="1"/>
          <w:numId w:val="1"/>
        </w:numPr>
        <w:ind w:left="0" w:firstLine="57"/>
        <w:rPr/>
      </w:pPr>
      <w:bookmarkStart w:id="12" w:name="__RefHeading___Toc913_40715321"/>
      <w:bookmarkStart w:id="13" w:name="_Toc75446571"/>
      <w:bookmarkStart w:id="14" w:name="_Hlk49857604"/>
      <w:bookmarkStart w:id="15" w:name="_Toc46743509"/>
      <w:bookmarkEnd w:id="12"/>
      <w:r>
        <w:rPr/>
        <w:t xml:space="preserve">Информация в отношении исполнения договора, </w:t>
      </w:r>
      <w:bookmarkStart w:id="16" w:name="_Hlk46492347"/>
      <w:r>
        <w:rPr/>
        <w:t>которая должна быть учтена при подготовке заявк</w:t>
      </w:r>
      <w:bookmarkEnd w:id="16"/>
      <w:r>
        <w:rPr/>
        <w:t xml:space="preserve">и 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bookmarkEnd w:id="13"/>
      <w:bookmarkEnd w:id="14"/>
      <w:bookmarkEnd w:id="15"/>
      <w:r>
        <w:rPr/>
        <w:t xml:space="preserve"> на этапе исполнения договора)</w:t>
      </w:r>
    </w:p>
    <w:p>
      <w:pPr>
        <w:pStyle w:val="Normal"/>
        <w:spacing w:before="0" w:after="60"/>
        <w:jc w:val="both"/>
        <w:rPr/>
      </w:pPr>
      <w:r>
        <w:rPr/>
        <w:tab/>
      </w:r>
      <w:r>
        <w:rPr>
          <w:sz w:val="24"/>
          <w:szCs w:val="24"/>
        </w:rPr>
        <w:tab/>
        <w:t xml:space="preserve">Товары </w:t>
      </w:r>
      <w:r>
        <w:rPr>
          <w:rStyle w:val="Style8"/>
          <w:rFonts w:eastAsia="Calibri"/>
          <w:bCs/>
          <w:i w:val="false"/>
          <w:sz w:val="24"/>
          <w:szCs w:val="24"/>
          <w:shd w:fill="FFFFFF" w:val="clear"/>
          <w:lang w:eastAsia="x-none"/>
        </w:rPr>
        <w:t>поставляются на склад Заказчика по адресу: филиал ПАО «РусГидро» - «Жигулевская ГЭС», Московское шоссе, д.2, г. Жигулевск, Самарская обл., Российская Федерация, 445350.</w:t>
      </w:r>
    </w:p>
    <w:p>
      <w:pPr>
        <w:pStyle w:val="Heading4"/>
        <w:numPr>
          <w:ilvl w:val="1"/>
          <w:numId w:val="1"/>
        </w:numPr>
        <w:rPr/>
      </w:pPr>
      <w:bookmarkStart w:id="17" w:name="__RefHeading___Toc915_40715321"/>
      <w:bookmarkStart w:id="18" w:name="_Toc75446572"/>
      <w:bookmarkStart w:id="19" w:name="_Hlk482097611"/>
      <w:bookmarkStart w:id="20" w:name="_Toc46743510"/>
      <w:bookmarkStart w:id="21" w:name="_Toc50125126"/>
      <w:bookmarkEnd w:id="17"/>
      <w:bookmarkEnd w:id="18"/>
      <w:bookmarkEnd w:id="19"/>
      <w:bookmarkEnd w:id="20"/>
      <w:bookmarkEnd w:id="21"/>
      <w:r>
        <w:rPr/>
        <w:t>Иные требования и сведения общего характера</w:t>
      </w:r>
    </w:p>
    <w:p>
      <w:pPr>
        <w:pStyle w:val="Normal"/>
        <w:ind w:firstLine="426"/>
        <w:jc w:val="both"/>
        <w:rPr/>
      </w:pPr>
      <w:r>
        <w:rPr>
          <w:bCs/>
          <w:sz w:val="24"/>
          <w:szCs w:val="24"/>
        </w:rPr>
        <w:t>Участник готовит и предоставляет информацию согласно требованиям настоящих ТТ как в текстовой форме, так и в виде заполнения таблиц, указанных в настоящем ТТ. Все включенные в предложение в соответствии с настоящими ТТ таблицы Участника должны иметь электронную версию в формате совместимом с программными продуктами AlterOffice, LibreOffice и MS Office.</w:t>
      </w:r>
    </w:p>
    <w:p>
      <w:pPr>
        <w:pStyle w:val="Normal"/>
        <w:widowControl w:val="false"/>
        <w:tabs>
          <w:tab w:val="clear" w:pos="225"/>
          <w:tab w:val="left" w:pos="993" w:leader="none"/>
        </w:tabs>
        <w:ind w:firstLine="510"/>
        <w:jc w:val="both"/>
        <w:rPr/>
      </w:pPr>
      <w:r>
        <w:rPr>
          <w:rFonts w:eastAsia="Calibri"/>
          <w:sz w:val="24"/>
          <w:szCs w:val="24"/>
          <w:lang w:eastAsia="x-none"/>
        </w:rPr>
        <w:t>Участник должен представить техническое предложение, состоящее из комментариев по исполнению требований Таблицы 3 настоящих ТТ, заполнив столбец 6 «Предложение участника по характеристикам и параметрам».</w:t>
      </w:r>
    </w:p>
    <w:p>
      <w:pPr>
        <w:pStyle w:val="Normal"/>
        <w:ind w:firstLine="426"/>
        <w:jc w:val="both"/>
        <w:rPr/>
      </w:pPr>
      <w:r>
        <w:rPr>
          <w:rStyle w:val="Style8"/>
          <w:rFonts w:eastAsia="Calibri"/>
          <w:i w:val="false"/>
          <w:sz w:val="24"/>
          <w:szCs w:val="24"/>
          <w:shd w:fill="FFFFFF" w:val="clear"/>
          <w:lang w:eastAsia="x-none"/>
        </w:rPr>
        <w:t xml:space="preserve">При составлении технического предложения возможно использование эквивалентной продукции. Эквивалентной продукцией является товар, который по техническим и функциональным характеристикам, установочным размерам, не уступает характеристикам, заявленным в документации о закупке, в том числе, по гарантийным срокам и срокам эксплуатации. </w:t>
      </w:r>
    </w:p>
    <w:p>
      <w:pPr>
        <w:pStyle w:val="Normal"/>
        <w:widowControl w:val="false"/>
        <w:tabs>
          <w:tab w:val="clear" w:pos="225"/>
          <w:tab w:val="left" w:pos="993" w:leader="none"/>
        </w:tabs>
        <w:ind w:firstLine="454"/>
        <w:jc w:val="both"/>
        <w:rPr>
          <w:sz w:val="24"/>
          <w:szCs w:val="24"/>
        </w:rPr>
      </w:pPr>
      <w:r>
        <w:rPr>
          <w:sz w:val="24"/>
          <w:szCs w:val="24"/>
        </w:rPr>
        <w:t>Неисполнение вышеуказанных требований будет служить основанием для отклонения заявки Участника.</w:t>
      </w:r>
    </w:p>
    <w:p>
      <w:pPr>
        <w:pStyle w:val="Normal"/>
        <w:widowControl w:val="false"/>
        <w:tabs>
          <w:tab w:val="clear" w:pos="225"/>
          <w:tab w:val="left" w:pos="993" w:leader="none"/>
        </w:tabs>
        <w:ind w:firstLine="45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iCs/>
          <w:caps/>
          <w:lang w:val="ru-RU"/>
        </w:rPr>
      </w:pPr>
      <w:bookmarkStart w:id="22" w:name="__RefHeading___Toc917_40715321"/>
      <w:bookmarkStart w:id="23" w:name="_Toc75446573"/>
      <w:bookmarkStart w:id="24" w:name="_Toc51339693"/>
      <w:bookmarkEnd w:id="22"/>
      <w:bookmarkEnd w:id="23"/>
      <w:bookmarkEnd w:id="24"/>
      <w:r>
        <w:rPr>
          <w:iCs/>
        </w:rPr>
        <w:t>Требования к продукции</w:t>
      </w:r>
    </w:p>
    <w:p>
      <w:pPr>
        <w:pStyle w:val="Heading4"/>
        <w:numPr>
          <w:ilvl w:val="1"/>
          <w:numId w:val="1"/>
        </w:numPr>
        <w:rPr/>
      </w:pPr>
      <w:bookmarkStart w:id="25" w:name="__RefHeading___Toc919_40715321"/>
      <w:bookmarkStart w:id="26" w:name="_Toc75446574"/>
      <w:bookmarkEnd w:id="25"/>
      <w:r>
        <w:rPr/>
        <w:t xml:space="preserve">Требования к объемам и срокам </w:t>
      </w:r>
      <w:bookmarkEnd w:id="26"/>
      <w:r>
        <w:rPr>
          <w:lang w:val="ru-RU"/>
        </w:rPr>
        <w:t>поставки</w:t>
      </w:r>
    </w:p>
    <w:p>
      <w:pPr>
        <w:pStyle w:val="Heading3"/>
        <w:numPr>
          <w:ilvl w:val="2"/>
          <w:numId w:val="1"/>
        </w:numPr>
        <w:rPr>
          <w:lang w:val="ru-RU"/>
        </w:rPr>
      </w:pPr>
      <w:bookmarkStart w:id="27" w:name="__RefHeading___Toc921_40715321"/>
      <w:bookmarkStart w:id="28" w:name="_Toc75446575"/>
      <w:bookmarkEnd w:id="27"/>
      <w:bookmarkEnd w:id="28"/>
      <w:r>
        <w:rPr>
          <w:lang w:val="ru-RU"/>
        </w:rPr>
        <w:t>Перечень и объем закупаемой продукции</w:t>
      </w:r>
    </w:p>
    <w:p>
      <w:pPr>
        <w:pStyle w:val="Heading1"/>
        <w:tabs>
          <w:tab w:val="clear" w:pos="0"/>
        </w:tabs>
        <w:spacing w:before="240" w:after="60"/>
        <w:ind w:left="0" w:hanging="0"/>
        <w:rPr>
          <w:b w:val="false"/>
        </w:rPr>
      </w:pPr>
      <w:bookmarkStart w:id="29" w:name="__RefHeading___Toc923_40715321"/>
      <w:bookmarkStart w:id="30" w:name="_Toc51339695"/>
      <w:bookmarkStart w:id="31" w:name="_Toc75446576"/>
      <w:bookmarkEnd w:id="29"/>
      <w:r>
        <w:rPr>
          <w:b w:val="false"/>
          <w:sz w:val="24"/>
          <w:szCs w:val="24"/>
        </w:rPr>
        <w:t xml:space="preserve">Таблица </w:t>
      </w:r>
      <w:r>
        <w:rPr>
          <w:b w:val="false"/>
          <w:sz w:val="24"/>
          <w:szCs w:val="24"/>
          <w:lang w:val="ru-RU"/>
        </w:rPr>
        <w:t>1.</w:t>
      </w:r>
      <w:r>
        <w:rPr>
          <w:b w:val="false"/>
          <w:sz w:val="24"/>
          <w:szCs w:val="24"/>
        </w:rPr>
        <w:t xml:space="preserve"> </w:t>
      </w:r>
      <w:r>
        <w:rPr>
          <w:b w:val="false"/>
          <w:sz w:val="24"/>
          <w:szCs w:val="24"/>
          <w:lang w:val="ru-RU"/>
        </w:rPr>
        <w:t xml:space="preserve">Перечень </w:t>
      </w:r>
      <w:bookmarkEnd w:id="30"/>
      <w:bookmarkEnd w:id="31"/>
      <w:r>
        <w:rPr>
          <w:b w:val="false"/>
          <w:sz w:val="24"/>
          <w:szCs w:val="24"/>
          <w:lang w:val="ru-RU"/>
        </w:rPr>
        <w:t>и объем закупаемых товаров</w:t>
      </w:r>
    </w:p>
    <w:tbl>
      <w:tblPr>
        <w:tblW w:w="9812" w:type="dxa"/>
        <w:jc w:val="left"/>
        <w:tblInd w:w="121" w:type="dxa"/>
        <w:tblLayout w:type="fixed"/>
        <w:tblCellMar>
          <w:top w:w="0" w:type="dxa"/>
          <w:left w:w="5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35"/>
        <w:gridCol w:w="6142"/>
        <w:gridCol w:w="1421"/>
        <w:gridCol w:w="4"/>
        <w:gridCol w:w="1409"/>
      </w:tblGrid>
      <w:tr>
        <w:trPr/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товаров</w:t>
            </w:r>
          </w:p>
        </w:tc>
        <w:tc>
          <w:tcPr>
            <w:tcW w:w="14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BodyText"/>
              <w:widowControl w:val="false"/>
              <w:numPr>
                <w:ilvl w:val="0"/>
              </w:numPr>
              <w:spacing w:lineRule="atLeast" w:line="300" w:before="0" w:after="0"/>
              <w:ind w:left="0" w:right="0" w:hanging="0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Поворотная IP-камера iFlow F-IP-1441CMSZ4</w:t>
            </w:r>
          </w:p>
          <w:p>
            <w:pPr>
              <w:pStyle w:val="BodyText"/>
              <w:widowControl w:val="false"/>
              <w:spacing w:lineRule="atLeast" w:line="300" w:before="0" w:after="0"/>
              <w:ind w:left="0" w:right="0" w:hanging="0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Артикул производителя : 327001943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шт</w:t>
            </w:r>
          </w:p>
        </w:tc>
        <w:tc>
          <w:tcPr>
            <w:tcW w:w="14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1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BodyText"/>
              <w:widowControl w:val="false"/>
              <w:spacing w:lineRule="atLeast" w:line="300" w:before="0" w:after="0"/>
              <w:ind w:left="0" w:right="0" w:hanging="0"/>
              <w:rPr>
                <w:color w:val="00000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</w:rPr>
              <w:t>Кронштейн для установки на стену DS-1294ZJ-PT</w:t>
            </w:r>
          </w:p>
          <w:p>
            <w:pPr>
              <w:pStyle w:val="Normal"/>
              <w:widowControl w:val="false"/>
              <w:spacing w:lineRule="atLeast" w:line="300" w:before="0" w:after="0"/>
              <w:ind w:left="0" w:right="0" w:hanging="0"/>
              <w:rPr>
                <w:color w:val="00000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</w:rPr>
              <w:t>Артикул производителя: 302702118</w:t>
            </w:r>
          </w:p>
        </w:tc>
        <w:tc>
          <w:tcPr>
            <w:tcW w:w="1421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шт</w:t>
            </w:r>
          </w:p>
        </w:tc>
        <w:tc>
          <w:tcPr>
            <w:tcW w:w="141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1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16-и канальный IP-видеорегистратор iFlow F-NR-216EX/2</w:t>
            </w:r>
          </w:p>
          <w:p>
            <w:pPr>
              <w:pStyle w:val="Style34"/>
              <w:widowControl w:val="false"/>
              <w:jc w:val="left"/>
              <w:rPr>
                <w:color w:val="00000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</w:rPr>
              <w:t>Артикул производителя: </w:t>
            </w:r>
            <w:r>
              <w:rPr>
                <w:color w:val="000000"/>
                <w:sz w:val="24"/>
                <w:szCs w:val="24"/>
              </w:rPr>
              <w:t>303622443</w:t>
            </w:r>
          </w:p>
        </w:tc>
        <w:tc>
          <w:tcPr>
            <w:tcW w:w="1421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шт</w:t>
            </w:r>
          </w:p>
        </w:tc>
        <w:tc>
          <w:tcPr>
            <w:tcW w:w="141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1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Неуправляемый коммутатор iFlow F-SW-EU418POE-V/L</w:t>
            </w:r>
          </w:p>
          <w:p>
            <w:pPr>
              <w:pStyle w:val="Style34"/>
              <w:widowControl w:val="false"/>
              <w:jc w:val="left"/>
              <w:rPr>
                <w:color w:val="00000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</w:rPr>
              <w:t xml:space="preserve">Артикул производителя: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301803328</w:t>
            </w:r>
          </w:p>
        </w:tc>
        <w:tc>
          <w:tcPr>
            <w:tcW w:w="1421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шт</w:t>
            </w:r>
          </w:p>
        </w:tc>
        <w:tc>
          <w:tcPr>
            <w:tcW w:w="141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1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D-Link DMC-300SC Медиаконвертер с 1 портом 10/100Base-TX и 1 портом 100Base-FX с разъемом SC</w:t>
            </w:r>
          </w:p>
        </w:tc>
        <w:tc>
          <w:tcPr>
            <w:tcW w:w="1421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шт</w:t>
            </w:r>
          </w:p>
        </w:tc>
        <w:tc>
          <w:tcPr>
            <w:tcW w:w="141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1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Кабель REXANT витая пара UTP 4PR 24AWG, CAT5e наружный OUTDOOR черный, бухта 305 м</w:t>
            </w:r>
          </w:p>
        </w:tc>
        <w:tc>
          <w:tcPr>
            <w:tcW w:w="1421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м</w:t>
            </w:r>
          </w:p>
        </w:tc>
        <w:tc>
          <w:tcPr>
            <w:tcW w:w="141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1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10 ТБ Жесткий диск Seagate SkyHawk AI [ST10000VE001]</w:t>
            </w:r>
          </w:p>
        </w:tc>
        <w:tc>
          <w:tcPr>
            <w:tcW w:w="1421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шт</w:t>
            </w:r>
          </w:p>
        </w:tc>
        <w:tc>
          <w:tcPr>
            <w:tcW w:w="141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1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Магнитное крепление с зенковкой А48 ПРОФ-МАГНИТ сцепление 68 кг</w:t>
            </w:r>
          </w:p>
        </w:tc>
        <w:tc>
          <w:tcPr>
            <w:tcW w:w="1421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  <w:color w:val="00000A"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eastAsia="Calibri" w:cs="Times New Roman"/>
                <w:color w:val="00000A"/>
                <w:kern w:val="0"/>
                <w:sz w:val="24"/>
                <w:szCs w:val="24"/>
                <w:lang w:val="ru-RU" w:eastAsia="x-none" w:bidi="ar-SA"/>
              </w:rPr>
              <w:t>шт</w:t>
            </w:r>
          </w:p>
        </w:tc>
        <w:tc>
          <w:tcPr>
            <w:tcW w:w="1413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>
      <w:pPr>
        <w:pStyle w:val="Normal"/>
        <w:widowControl w:val="false"/>
        <w:tabs>
          <w:tab w:val="clear" w:pos="225"/>
          <w:tab w:val="left" w:pos="426" w:leader="none"/>
        </w:tabs>
        <w:spacing w:before="120" w:after="120"/>
        <w:ind w:firstLine="142"/>
        <w:rPr>
          <w:rStyle w:val="Style8"/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Heading3"/>
        <w:numPr>
          <w:ilvl w:val="2"/>
          <w:numId w:val="1"/>
        </w:numPr>
        <w:rPr/>
      </w:pPr>
      <w:bookmarkStart w:id="32" w:name="__RefHeading___Toc925_40715321"/>
      <w:bookmarkStart w:id="33" w:name="_Toc51339696"/>
      <w:bookmarkStart w:id="34" w:name="_Toc75446578"/>
      <w:bookmarkEnd w:id="32"/>
      <w:r>
        <w:rPr>
          <w:lang w:val="ru-RU"/>
        </w:rPr>
        <w:t xml:space="preserve">Требования </w:t>
      </w:r>
      <w:bookmarkEnd w:id="33"/>
      <w:bookmarkEnd w:id="34"/>
      <w:r>
        <w:rPr>
          <w:lang w:val="ru-RU"/>
        </w:rPr>
        <w:t>к срокам поставки продукции и оказания сопутствующих услуг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b w:val="false"/>
        </w:rPr>
      </w:pPr>
      <w:bookmarkStart w:id="35" w:name="__RefHeading___Toc927_40715321"/>
      <w:bookmarkStart w:id="36" w:name="_Toc75446579"/>
      <w:bookmarkStart w:id="37" w:name="_Toc50125127"/>
      <w:bookmarkStart w:id="38" w:name="_Toc51339697"/>
      <w:bookmarkStart w:id="39" w:name="_Toc501251261"/>
      <w:bookmarkEnd w:id="35"/>
      <w:bookmarkEnd w:id="39"/>
      <w:r>
        <w:rPr>
          <w:b w:val="false"/>
          <w:sz w:val="24"/>
          <w:szCs w:val="24"/>
        </w:rPr>
        <w:t xml:space="preserve">Таблица </w:t>
      </w:r>
      <w:r>
        <w:rPr>
          <w:b w:val="false"/>
          <w:sz w:val="24"/>
          <w:szCs w:val="24"/>
          <w:lang w:val="ru-RU"/>
        </w:rPr>
        <w:t>2</w:t>
      </w:r>
      <w:r>
        <w:rPr>
          <w:b w:val="false"/>
          <w:sz w:val="24"/>
          <w:szCs w:val="24"/>
        </w:rPr>
        <w:t xml:space="preserve">. </w:t>
      </w:r>
      <w:bookmarkStart w:id="40" w:name="_Hlk50465284"/>
      <w:r>
        <w:rPr>
          <w:b w:val="false"/>
          <w:sz w:val="24"/>
          <w:szCs w:val="24"/>
        </w:rPr>
        <w:t xml:space="preserve">Требования по срокам </w:t>
      </w:r>
      <w:bookmarkEnd w:id="37"/>
      <w:bookmarkEnd w:id="38"/>
      <w:bookmarkEnd w:id="40"/>
      <w:r>
        <w:rPr>
          <w:b w:val="false"/>
          <w:sz w:val="24"/>
          <w:szCs w:val="24"/>
          <w:lang w:val="ru-RU"/>
        </w:rPr>
        <w:t xml:space="preserve">поставки </w:t>
      </w:r>
      <w:bookmarkEnd w:id="36"/>
      <w:r>
        <w:rPr>
          <w:b w:val="false"/>
          <w:sz w:val="24"/>
          <w:szCs w:val="24"/>
          <w:lang w:val="ru-RU"/>
        </w:rPr>
        <w:t>товаров</w:t>
      </w:r>
    </w:p>
    <w:tbl>
      <w:tblPr>
        <w:tblW w:w="9776" w:type="dxa"/>
        <w:jc w:val="left"/>
        <w:tblInd w:w="33" w:type="dxa"/>
        <w:tblLayout w:type="fixed"/>
        <w:tblCellMar>
          <w:top w:w="0" w:type="dxa"/>
          <w:left w:w="6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3"/>
        <w:gridCol w:w="3398"/>
        <w:gridCol w:w="2629"/>
        <w:gridCol w:w="3115"/>
      </w:tblGrid>
      <w:tr>
        <w:trPr/>
        <w:tc>
          <w:tcPr>
            <w:tcW w:w="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 / партии товаров</w:t>
            </w: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товаров</w:t>
            </w: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товаров</w:t>
            </w:r>
          </w:p>
        </w:tc>
      </w:tr>
      <w:tr>
        <w:trPr/>
        <w:tc>
          <w:tcPr>
            <w:tcW w:w="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0" w:hRule="atLeast"/>
        </w:trPr>
        <w:tc>
          <w:tcPr>
            <w:tcW w:w="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3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BodyText"/>
              <w:widowControl w:val="false"/>
              <w:numPr>
                <w:ilvl w:val="0"/>
              </w:numPr>
              <w:spacing w:lineRule="atLeast" w:line="300" w:before="0" w:after="0"/>
              <w:ind w:left="0" w:righ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</w:rPr>
              <w:t>Поворотная IP-камера iFlow F-IP-1441CMSZ4</w:t>
            </w:r>
          </w:p>
        </w:tc>
        <w:tc>
          <w:tcPr>
            <w:tcW w:w="26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lang w:val="en-US"/>
              </w:rPr>
              <w:t xml:space="preserve"> даты подпи</w:t>
            </w:r>
            <w:r>
              <w:rPr>
                <w:sz w:val="24"/>
                <w:szCs w:val="24"/>
              </w:rPr>
              <w:t>сания договора</w:t>
            </w:r>
          </w:p>
        </w:tc>
        <w:tc>
          <w:tcPr>
            <w:tcW w:w="31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 30 календарных дней с даты подписания договора</w:t>
            </w:r>
          </w:p>
        </w:tc>
      </w:tr>
      <w:tr>
        <w:trPr>
          <w:trHeight w:val="561" w:hRule="atLeast"/>
        </w:trPr>
        <w:tc>
          <w:tcPr>
            <w:tcW w:w="6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33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BodyText"/>
              <w:widowControl w:val="false"/>
              <w:spacing w:lineRule="atLeast" w:line="300" w:before="0" w:after="0"/>
              <w:ind w:left="0" w:righ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  <w:shd w:fill="FFFFFF" w:val="clear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  <w:shd w:fill="FFFFFF" w:val="clear"/>
              </w:rPr>
              <w:t>Кронштейн для установки на стену F-AY10034 DS-1294ZJ-PT</w:t>
            </w:r>
          </w:p>
        </w:tc>
        <w:tc>
          <w:tcPr>
            <w:tcW w:w="26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73" w:hRule="atLeast"/>
        </w:trPr>
        <w:tc>
          <w:tcPr>
            <w:tcW w:w="6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33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16-и канальный IP-видеорегистратор iFlow F-NR-216EX/2</w:t>
            </w:r>
          </w:p>
        </w:tc>
        <w:tc>
          <w:tcPr>
            <w:tcW w:w="26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2" w:hRule="atLeast"/>
        </w:trPr>
        <w:tc>
          <w:tcPr>
            <w:tcW w:w="6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33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Неуправляемый коммутатор iFlow F-SW-EU418POE-V/L</w:t>
            </w:r>
          </w:p>
        </w:tc>
        <w:tc>
          <w:tcPr>
            <w:tcW w:w="26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2" w:hRule="atLeast"/>
        </w:trPr>
        <w:tc>
          <w:tcPr>
            <w:tcW w:w="6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33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D-Link DMC-300SC Медиаконвертер с 1 портом 10/100Base-TX и 1 портом 100Base-FX с разъемом SC</w:t>
            </w:r>
          </w:p>
        </w:tc>
        <w:tc>
          <w:tcPr>
            <w:tcW w:w="26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2" w:hRule="atLeast"/>
        </w:trPr>
        <w:tc>
          <w:tcPr>
            <w:tcW w:w="6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33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REXANT витая пара UTP 4PR 24AWG, CAT5e наружный OUTDOOR черный, бухта 305 м</w:t>
            </w:r>
          </w:p>
        </w:tc>
        <w:tc>
          <w:tcPr>
            <w:tcW w:w="26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27" w:hRule="atLeast"/>
        </w:trPr>
        <w:tc>
          <w:tcPr>
            <w:tcW w:w="6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33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 ТБ Жесткий диск Seagate SkyHawk AI [ST10000VE001]</w:t>
            </w:r>
          </w:p>
        </w:tc>
        <w:tc>
          <w:tcPr>
            <w:tcW w:w="26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2" w:hRule="atLeast"/>
        </w:trPr>
        <w:tc>
          <w:tcPr>
            <w:tcW w:w="6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33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Магнитное крепление с зенковкой А48 ПРОФ-МАГНИТ сцепление 68 кг</w:t>
            </w:r>
          </w:p>
        </w:tc>
        <w:tc>
          <w:tcPr>
            <w:tcW w:w="262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1"/>
        </w:numPr>
        <w:rPr/>
      </w:pPr>
      <w:bookmarkStart w:id="41" w:name="__RefHeading___Toc929_40715321"/>
      <w:bookmarkStart w:id="42" w:name="_Toc51339698"/>
      <w:bookmarkStart w:id="43" w:name="_Toc46743511"/>
      <w:bookmarkStart w:id="44" w:name="_Toc75446581"/>
      <w:bookmarkEnd w:id="41"/>
      <w:r>
        <w:rPr/>
        <w:t xml:space="preserve">Требования к </w:t>
      </w:r>
      <w:bookmarkEnd w:id="43"/>
      <w:bookmarkEnd w:id="44"/>
      <w:r>
        <w:rPr>
          <w:lang w:val="ru-RU"/>
        </w:rPr>
        <w:t>качеству продукции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b w:val="false"/>
        </w:rPr>
      </w:pPr>
      <w:bookmarkStart w:id="45" w:name="__RefHeading___Toc931_40715321"/>
      <w:bookmarkEnd w:id="45"/>
      <w:r>
        <w:rPr>
          <w:b w:val="false"/>
          <w:sz w:val="24"/>
          <w:szCs w:val="24"/>
        </w:rPr>
        <w:t xml:space="preserve"> </w:t>
      </w:r>
      <w:bookmarkStart w:id="46" w:name="_Toc75446582"/>
      <w:r>
        <w:rPr>
          <w:b w:val="false"/>
          <w:sz w:val="24"/>
          <w:szCs w:val="24"/>
        </w:rPr>
        <w:t xml:space="preserve">Таблица </w:t>
      </w:r>
      <w:r>
        <w:rPr>
          <w:b w:val="false"/>
          <w:sz w:val="24"/>
          <w:szCs w:val="24"/>
          <w:lang w:val="ru-RU"/>
        </w:rPr>
        <w:t>3</w:t>
      </w:r>
      <w:r>
        <w:rPr>
          <w:b w:val="false"/>
          <w:sz w:val="24"/>
          <w:szCs w:val="24"/>
        </w:rPr>
        <w:t xml:space="preserve">. Требования к </w:t>
      </w:r>
      <w:bookmarkEnd w:id="42"/>
      <w:bookmarkEnd w:id="46"/>
      <w:r>
        <w:rPr>
          <w:b w:val="false"/>
          <w:sz w:val="24"/>
          <w:szCs w:val="24"/>
        </w:rPr>
        <w:t>товарам</w:t>
      </w:r>
    </w:p>
    <w:p>
      <w:pPr>
        <w:pStyle w:val="Normal"/>
        <w:spacing w:before="113" w:after="113"/>
        <w:jc w:val="both"/>
        <w:rPr/>
      </w:pPr>
      <w:r>
        <w:rPr>
          <w:b/>
          <w:bCs/>
          <w:i/>
          <w:iCs/>
          <w:sz w:val="24"/>
          <w:szCs w:val="24"/>
        </w:rPr>
        <w:t>Наименование товаров (Таблица 1.)</w:t>
      </w:r>
    </w:p>
    <w:tbl>
      <w:tblPr>
        <w:tblStyle w:val="affff5"/>
        <w:tblW w:w="15315" w:type="dxa"/>
        <w:jc w:val="left"/>
        <w:tblInd w:w="28" w:type="dxa"/>
        <w:tblLayout w:type="fixed"/>
        <w:tblCellMar>
          <w:top w:w="0" w:type="dxa"/>
          <w:left w:w="6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1985"/>
        <w:gridCol w:w="3003"/>
        <w:gridCol w:w="2803"/>
        <w:gridCol w:w="3262"/>
        <w:gridCol w:w="3410"/>
      </w:tblGrid>
      <w:tr>
        <w:trPr/>
        <w:tc>
          <w:tcPr>
            <w:tcW w:w="851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198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003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606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1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98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00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8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1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30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8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4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98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985" w:type="dxa"/>
            <w:tcBorders>
              <w:right w:val="nil"/>
            </w:tcBorders>
            <w:shd w:color="auto" w:fill="auto" w:val="clear"/>
          </w:tcPr>
          <w:p>
            <w:pPr>
              <w:pStyle w:val="BodyText"/>
              <w:widowControl w:val="false"/>
              <w:numPr>
                <w:ilvl w:val="0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ru-RU" w:bidi="ar-SA"/>
              </w:rPr>
              <w:t>Поворотная IP-камера iFlow F-IP-1441CMSZ4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ru-RU" w:bidi="ar-SA"/>
              </w:rPr>
              <w:t>Артикул: 327001943</w:t>
            </w:r>
          </w:p>
        </w:tc>
        <w:tc>
          <w:tcPr>
            <w:tcW w:w="3003" w:type="dxa"/>
            <w:tcBorders/>
            <w:shd w:color="auto" w:fill="auto" w:val="clear"/>
          </w:tcPr>
          <w:p>
            <w:pPr>
              <w:pStyle w:val="BodyText"/>
              <w:widowControl w:val="false"/>
              <w:numPr>
                <w:ilvl w:val="0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ru-RU" w:bidi="ar-SA"/>
              </w:rPr>
              <w:t>Поворотная IP-камера с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ru-RU" w:bidi="ar-SA"/>
              </w:rPr>
              <w:t>ИК-подсветкой;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ru-RU" w:bidi="ar-SA"/>
              </w:rPr>
              <w:t>Максимальное разрешение — 4 Мп;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ru-RU" w:bidi="ar-SA"/>
              </w:rPr>
              <w:t>Основной поток:</w:t>
              <w:tab/>
              <w:t>50 Гц: 25 к/с (2560 × 1440, 1920 × 1080, 1280 × 960, 1280 × 720)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ru-RU" w:bidi="ar-SA"/>
              </w:rPr>
              <w:t>60 Гц: 30 к/с (2560 × 1440, 1920 × 1080, 1280 × 960, 1280 × 720);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ru-RU" w:bidi="ar-SA"/>
              </w:rPr>
              <w:t>4х оптический зум;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ru-RU" w:bidi="ar-SA"/>
              </w:rPr>
              <w:t>Кодирование H.264 и H.265;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ru-RU" w:bidi="ar-SA"/>
              </w:rPr>
              <w:t>Широкий динамический диапазон (WDR):</w:t>
              <w:tab/>
              <w:t>120 дБ;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ru-RU" w:bidi="ar-SA"/>
              </w:rPr>
              <w:t>SNR</w:t>
              <w:tab/>
              <w:t>&gt; 52 дБ;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ru-RU" w:bidi="ar-SA"/>
              </w:rPr>
              <w:t>Фокус на области:</w:t>
              <w:tab/>
              <w:t>Есть;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ru-RU" w:bidi="ar-SA"/>
              </w:rPr>
              <w:t>Экспозиция области:</w:t>
              <w:tab/>
              <w:t>Есть;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ru-RU" w:bidi="ar-SA"/>
              </w:rPr>
              <w:t>Интерфейс Ethernet</w:t>
              <w:tab/>
              <w:t>1 RJ45 auto 10M / 100M порт Ethernet;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ru-RU" w:bidi="ar-SA"/>
              </w:rPr>
              <w:t>Встроенный микрофон:</w:t>
              <w:tab/>
              <w:t>1 встроенный микрофон, улавливающий звук в радиусе до 5 м;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ru-RU" w:bidi="ar-SA"/>
              </w:rPr>
              <w:t>Стандарты по защите: IP66, IK10, TVS 4000 В грозозащита, защита от импульсных и переходных перенапряжений;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ru-RU" w:bidi="ar-SA"/>
              </w:rPr>
              <w:t>Рабочие условия: температура от -20 до +60 °C, влажность 90 % или меньше;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ru-RU" w:bidi="ar-SA"/>
              </w:rPr>
              <w:t>Питание</w:t>
              <w:tab/>
              <w:t>: DC 12 В, макс. 9.2 Вт; PoE (802.3af);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lang w:val="ru-RU" w:eastAsia="ru-RU" w:bidi="ar-SA"/>
              </w:rPr>
              <w:t>Размеры:</w:t>
              <w:tab/>
              <w:t>Ø 130.7 × 101.7 мм (Ø 5.15 × 4.00″)</w:t>
            </w:r>
          </w:p>
        </w:tc>
        <w:tc>
          <w:tcPr>
            <w:tcW w:w="28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x-none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985" w:type="dxa"/>
            <w:tcBorders>
              <w:right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Кронштейн для установки на стену DS-1294ZJ-PT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Артикул: 302702118</w:t>
            </w:r>
          </w:p>
        </w:tc>
        <w:tc>
          <w:tcPr>
            <w:tcW w:w="3003" w:type="dxa"/>
            <w:tcBorders/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Кронштейн для установки на стену поворотной камеры</w:t>
            </w:r>
          </w:p>
        </w:tc>
        <w:tc>
          <w:tcPr>
            <w:tcW w:w="280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x-none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985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A"/>
                <w:kern w:val="0"/>
                <w:sz w:val="20"/>
                <w:szCs w:val="20"/>
                <w:lang w:val="ru-RU" w:eastAsia="ru-RU" w:bidi="ar-SA"/>
              </w:rPr>
              <w:t>16-и канальный IP-видеорегистратор iFlow F-NR-216EX/2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A"/>
                <w:kern w:val="0"/>
                <w:sz w:val="20"/>
                <w:szCs w:val="20"/>
                <w:lang w:val="ru-RU" w:eastAsia="ru-RU" w:bidi="ar-SA"/>
              </w:rPr>
              <w:t>Артикул: 303622443</w:t>
            </w:r>
          </w:p>
        </w:tc>
        <w:tc>
          <w:tcPr>
            <w:tcW w:w="3003" w:type="dxa"/>
            <w:tcBorders>
              <w:top w:val="nil"/>
            </w:tcBorders>
            <w:shd w:color="auto" w:fill="auto" w:val="clea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IP-видеорегистратор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каналов : 16;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Максимальное разрешение: 12 Мп;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Кол-во HDD: 2;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Тип: IP;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Ключевые технологии: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SharpSense</w:t>
            </w:r>
          </w:p>
        </w:tc>
        <w:tc>
          <w:tcPr>
            <w:tcW w:w="280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x-none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985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A"/>
                <w:kern w:val="0"/>
                <w:sz w:val="20"/>
                <w:szCs w:val="20"/>
                <w:lang w:val="ru-RU" w:eastAsia="ru-RU" w:bidi="ar-SA"/>
              </w:rPr>
              <w:t>Неуправляемый коммутатор iFlow F-SW-EU418POE-V/L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A"/>
                <w:kern w:val="0"/>
                <w:sz w:val="20"/>
                <w:szCs w:val="20"/>
                <w:lang w:val="ru-RU" w:eastAsia="ru-RU" w:bidi="ar-SA"/>
              </w:rPr>
              <w:t>Артикул: 301803328</w:t>
            </w:r>
          </w:p>
        </w:tc>
        <w:tc>
          <w:tcPr>
            <w:tcW w:w="3003" w:type="dxa"/>
            <w:tcBorders>
              <w:top w:val="nil"/>
            </w:tcBorders>
            <w:shd w:color="auto" w:fill="auto" w:val="clea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A"/>
                <w:kern w:val="0"/>
                <w:sz w:val="20"/>
                <w:szCs w:val="20"/>
                <w:lang w:val="ru-RU" w:eastAsia="ru-RU" w:bidi="ar-SA"/>
              </w:rPr>
              <w:t>Неуправляемый коммутатор L2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A"/>
                <w:kern w:val="0"/>
                <w:sz w:val="20"/>
                <w:szCs w:val="20"/>
                <w:lang w:val="ru-RU" w:eastAsia="ru-RU" w:bidi="ar-SA"/>
              </w:rPr>
              <w:t>16 портов 10/100M RJ45 PoE, 1 uplink порт 1000М RJ45, 1 1000М комбо-порт, 802.3af/at, бюджет питания PoE 130 Вт, порты 9-16 поддерживают режима передачи до 300м,10Мб/с, CAT6; защита от перенапряжения 6 кВ</w:t>
            </w:r>
          </w:p>
        </w:tc>
        <w:tc>
          <w:tcPr>
            <w:tcW w:w="280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x-none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985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A"/>
                <w:kern w:val="0"/>
                <w:sz w:val="20"/>
                <w:szCs w:val="20"/>
                <w:lang w:val="ru-RU" w:eastAsia="ru-RU" w:bidi="ar-SA"/>
              </w:rPr>
              <w:t>D-Link DMC-300SC Медиаконвертер с 1 портом 10/100Base-TX и 1 портом 100Base-FX с разъемом SC</w:t>
            </w:r>
          </w:p>
        </w:tc>
        <w:tc>
          <w:tcPr>
            <w:tcW w:w="3003" w:type="dxa"/>
            <w:tcBorders>
              <w:top w:val="nil"/>
            </w:tcBorders>
            <w:shd w:color="auto" w:fill="auto" w:val="clea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A"/>
                <w:kern w:val="0"/>
                <w:sz w:val="20"/>
                <w:szCs w:val="20"/>
                <w:lang w:val="ru-RU" w:eastAsia="ru-RU" w:bidi="ar-SA"/>
              </w:rPr>
              <w:t>Медиаконвертер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A"/>
                <w:kern w:val="0"/>
                <w:sz w:val="20"/>
                <w:szCs w:val="20"/>
                <w:lang w:val="ru-RU" w:eastAsia="ru-RU" w:bidi="ar-SA"/>
              </w:rPr>
              <w:t>порт 10/100Base-TX;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A"/>
                <w:kern w:val="0"/>
                <w:sz w:val="20"/>
                <w:szCs w:val="20"/>
                <w:lang w:val="ru-RU" w:eastAsia="ru-RU" w:bidi="ar-SA"/>
              </w:rPr>
              <w:t>порт 100Base-FX с разъемом SC;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A"/>
                <w:kern w:val="0"/>
                <w:sz w:val="20"/>
                <w:szCs w:val="20"/>
                <w:lang w:val="ru-RU" w:eastAsia="ru-RU" w:bidi="ar-SA"/>
              </w:rPr>
              <w:t>дуплексный режим оптического порта;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A"/>
                <w:kern w:val="0"/>
                <w:sz w:val="20"/>
                <w:szCs w:val="20"/>
                <w:lang w:val="ru-RU" w:eastAsia="ru-RU" w:bidi="ar-SA"/>
              </w:rPr>
              <w:t>Адаптер питания  5В / 1 А</w:t>
            </w:r>
          </w:p>
        </w:tc>
        <w:tc>
          <w:tcPr>
            <w:tcW w:w="280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x-none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985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A"/>
                <w:kern w:val="0"/>
                <w:sz w:val="20"/>
                <w:szCs w:val="20"/>
                <w:lang w:val="ru-RU" w:eastAsia="ru-RU" w:bidi="ar-SA"/>
              </w:rPr>
              <w:t>Кабель REXANT витая пара UTP 4PR 24AWG, CAT5e наружный OUTDOOR черный, бухта 305 м</w:t>
            </w:r>
          </w:p>
        </w:tc>
        <w:tc>
          <w:tcPr>
            <w:tcW w:w="3003" w:type="dxa"/>
            <w:tcBorders>
              <w:top w:val="nil"/>
            </w:tcBorders>
            <w:shd w:color="auto" w:fill="auto" w:val="clea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CAT5e наружный OUTDOOR черный,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бухта 305 м</w:t>
            </w:r>
          </w:p>
        </w:tc>
        <w:tc>
          <w:tcPr>
            <w:tcW w:w="280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x-none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985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A"/>
                <w:kern w:val="0"/>
                <w:sz w:val="20"/>
                <w:szCs w:val="20"/>
                <w:lang w:val="ru-RU" w:eastAsia="ru-RU" w:bidi="ar-SA"/>
              </w:rPr>
              <w:t>10 ТБ Жесткий диск Seagate SkyHawk AI [ST10000VE001]</w:t>
            </w:r>
          </w:p>
        </w:tc>
        <w:tc>
          <w:tcPr>
            <w:tcW w:w="3003" w:type="dxa"/>
            <w:tcBorders>
              <w:top w:val="nil"/>
            </w:tcBorders>
            <w:shd w:color="auto" w:fill="auto" w:val="clea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A"/>
                <w:kern w:val="0"/>
                <w:sz w:val="20"/>
                <w:szCs w:val="20"/>
                <w:lang w:val="ru-RU" w:eastAsia="ru-RU" w:bidi="ar-SA"/>
              </w:rPr>
              <w:t>Жесткий диск 10 ТБ</w:t>
            </w:r>
          </w:p>
        </w:tc>
        <w:tc>
          <w:tcPr>
            <w:tcW w:w="280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x-none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985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A"/>
                <w:kern w:val="0"/>
                <w:sz w:val="20"/>
                <w:szCs w:val="20"/>
                <w:lang w:val="ru-RU" w:eastAsia="ru-RU" w:bidi="ar-SA"/>
              </w:rPr>
              <w:t>Магнитное крепление с зенковкой А48 ПРОФ-МАГНИТ сцепление 68 кг</w:t>
            </w:r>
          </w:p>
        </w:tc>
        <w:tc>
          <w:tcPr>
            <w:tcW w:w="3003" w:type="dxa"/>
            <w:tcBorders>
              <w:top w:val="nil"/>
            </w:tcBorders>
            <w:shd w:color="auto" w:fill="auto" w:val="clea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Магнитное крепление с зенковкой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Материал:сталь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Форма:диск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Диаметр:48 мм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Высота:11 мм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Сцепление:68 кг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Покрытие:никель</w:t>
            </w:r>
          </w:p>
        </w:tc>
        <w:tc>
          <w:tcPr>
            <w:tcW w:w="280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x-none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98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30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Поставка товаров осуществляется Поставщиком по адресу: филиал ПАО «РусГидро» - «Жигулевская ГЭС», Московское шоссе, д.2, г. Жигулевск, Самарская обл., Российская Федерация, 445350</w:t>
            </w:r>
          </w:p>
        </w:tc>
        <w:tc>
          <w:tcPr>
            <w:tcW w:w="28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shd w:color="auto" w:fill="auto" w:val="clea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 упаковке</w:t>
            </w:r>
          </w:p>
        </w:tc>
        <w:tc>
          <w:tcPr>
            <w:tcW w:w="3003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225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Поставляемые товары должны быть в оригинальной заводской упаковке производителя. Упаковка должна обеспечивать полную сохранность товара при транспортировке, погрузке, разгрузке и хранении.</w:t>
            </w:r>
          </w:p>
        </w:tc>
        <w:tc>
          <w:tcPr>
            <w:tcW w:w="28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225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225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2.3.</w:t>
            </w:r>
          </w:p>
        </w:tc>
        <w:tc>
          <w:tcPr>
            <w:tcW w:w="19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Входной контроль качества поставляемой продукции.</w:t>
            </w:r>
          </w:p>
        </w:tc>
        <w:tc>
          <w:tcPr>
            <w:tcW w:w="3003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225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Организация входного контроля поставляемых товаров выполняется Поставщиком совместно с Заказчиком.</w:t>
            </w:r>
          </w:p>
        </w:tc>
        <w:tc>
          <w:tcPr>
            <w:tcW w:w="28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2.4.</w:t>
            </w:r>
          </w:p>
        </w:tc>
        <w:tc>
          <w:tcPr>
            <w:tcW w:w="198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x-none" w:bidi="ar-SA"/>
              </w:rPr>
              <w:t>Погрузка, доставка, разгрузка и перемещение</w:t>
            </w:r>
          </w:p>
        </w:tc>
        <w:tc>
          <w:tcPr>
            <w:tcW w:w="300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x-none" w:bidi="ar-SA"/>
              </w:rPr>
              <w:t>Погрузка, доставка, разгрузка и перемещение товаров (в том числе по территории Покупателя) осуществляется Поставщиком. Стоимость погрузки, доставки, разгрузки и перемещения товаров должна быть включена в стоимость Товара.</w:t>
            </w:r>
          </w:p>
        </w:tc>
        <w:tc>
          <w:tcPr>
            <w:tcW w:w="280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x-none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98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сроку гарантии на поставляемые МТР</w:t>
            </w:r>
          </w:p>
        </w:tc>
        <w:tc>
          <w:tcPr>
            <w:tcW w:w="30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Срок гарантии на поставляемые товары должен быть не менее 12 месяцев  с даты подписания универсального передаточного акта.</w:t>
            </w:r>
          </w:p>
        </w:tc>
        <w:tc>
          <w:tcPr>
            <w:tcW w:w="28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225"/>
                <w:tab w:val="left" w:pos="426" w:leader="none"/>
              </w:tabs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гарантийному обслуживанию</w:t>
            </w:r>
          </w:p>
        </w:tc>
        <w:tc>
          <w:tcPr>
            <w:tcW w:w="30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гарантийному обслуживанию: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в обязанности поставщика входит гарантийное обслуживание поставляемых  продукции на протяжении всего гарантийного срока;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эксплуатация поставляемых товаров осуществляется силами персонала заказчика.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на протяжении всего указанного срока поставщик обязан обеспечить за счет собственных средств и сил восстановление или замену вышедших из строя товаров (в случае, если причина дефекта не связана с неправильной эксплуатацией данной продукции.);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57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гарантийный срок увеличивается на время устранения дефекта или замены товара, возникшего в период гарантийного обслуживания;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57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замена товара производится поставщиком по адресу, указанному Заказчиком</w:t>
            </w:r>
          </w:p>
        </w:tc>
        <w:tc>
          <w:tcPr>
            <w:tcW w:w="2803" w:type="dxa"/>
            <w:tcBorders/>
            <w:shd w:color="auto" w:fill="auto" w:val="clea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/>
                <w:sz w:val="22"/>
                <w:szCs w:val="22"/>
              </w:rPr>
            </w:pPr>
            <w:bookmarkStart w:id="47" w:name="__RefHeading___Toc933_40715321"/>
            <w:bookmarkStart w:id="48" w:name="_Toc126936407"/>
            <w:bookmarkEnd w:id="47"/>
            <w:bookmarkEnd w:id="48"/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lang w:val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98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товаром</w:t>
            </w:r>
          </w:p>
        </w:tc>
        <w:tc>
          <w:tcPr>
            <w:tcW w:w="28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Документы, передаваемые вместе с товаром</w:t>
            </w:r>
          </w:p>
        </w:tc>
        <w:tc>
          <w:tcPr>
            <w:tcW w:w="30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Поставщик обязан одновременно с передачей товаров передать Заказчику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tabs>
                <w:tab w:val="left" w:pos="225" w:leader="none"/>
              </w:tabs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- сертификаты качества;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ind w:left="227" w:hanging="17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технические паспорта;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ind w:left="227" w:hanging="17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руководства по эксплу-атации;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- протоколы заводских испытаний (при их наличии);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- упаковочные листы, упаковочные ярлыки;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- товарно-транспортную накладную формы №1-Т;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- товарную накладную унифицированной формы.</w:t>
            </w:r>
          </w:p>
        </w:tc>
        <w:tc>
          <w:tcPr>
            <w:tcW w:w="28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lang w:val="ru-RU"/>
        </w:rPr>
      </w:pPr>
      <w:bookmarkStart w:id="49" w:name="__RefHeading___Toc935_40715321"/>
      <w:bookmarkStart w:id="50" w:name="_Toc53393312"/>
      <w:bookmarkStart w:id="51" w:name="_Toc75446583"/>
      <w:bookmarkEnd w:id="49"/>
      <w:r>
        <w:rPr>
          <w:lang w:val="ru-RU"/>
        </w:rPr>
        <w:t>Требования к документации по ценообразованию</w:t>
      </w:r>
      <w:bookmarkEnd w:id="50"/>
      <w:bookmarkEnd w:id="51"/>
      <w:r>
        <w:rPr>
          <w:lang w:val="ru-RU"/>
        </w:rPr>
        <w:t xml:space="preserve"> на этапе закупки</w:t>
      </w:r>
    </w:p>
    <w:p>
      <w:pPr>
        <w:pStyle w:val="Normal"/>
        <w:widowControl w:val="false"/>
        <w:tabs>
          <w:tab w:val="clear" w:pos="225"/>
          <w:tab w:val="left" w:pos="993" w:leader="none"/>
        </w:tabs>
        <w:spacing w:before="120" w:after="120"/>
        <w:ind w:firstLine="851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keepLines/>
        <w:widowControl w:val="false"/>
        <w:tabs>
          <w:tab w:val="clear" w:pos="225"/>
          <w:tab w:val="left" w:pos="993" w:leader="none"/>
        </w:tabs>
        <w:spacing w:before="120" w:after="120"/>
        <w:ind w:firstLine="851"/>
        <w:jc w:val="both"/>
        <w:rPr>
          <w:rFonts w:eastAsia="Calibri"/>
          <w:iCs/>
          <w:sz w:val="24"/>
          <w:szCs w:val="24"/>
          <w:lang w:val="x-none" w:eastAsia="x-none"/>
        </w:rPr>
      </w:pPr>
      <w:r>
        <w:rPr>
          <w:rFonts w:eastAsia="Calibri"/>
          <w:iCs/>
          <w:sz w:val="24"/>
          <w:szCs w:val="24"/>
          <w:lang w:val="x-none" w:eastAsia="x-none"/>
        </w:rPr>
        <w:t xml:space="preserve">3.2. </w:t>
      </w:r>
      <w:r>
        <w:rPr>
          <w:rFonts w:eastAsia="Calibri"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включается</w:t>
      </w:r>
      <w:r>
        <w:rPr>
          <w:rFonts w:eastAsia="Calibri"/>
          <w:iCs/>
          <w:sz w:val="24"/>
          <w:szCs w:val="24"/>
          <w:lang w:val="x-none" w:eastAsia="x-none"/>
        </w:rPr>
        <w:t>.</w:t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effect w:val="none"/>
        <w:szCs w:val="28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8"/>
  <w:defaultTabStop w:val="225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link w:val="1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qFormat/>
    <w:rsid w:val="00ea61a8"/>
    <w:pPr>
      <w:tabs>
        <w:tab w:val="clear" w:pos="0"/>
      </w:tabs>
      <w:ind w:left="0" w:hanging="0"/>
      <w:outlineLvl w:val="1"/>
    </w:pPr>
    <w:rPr/>
  </w:style>
  <w:style w:type="paragraph" w:styleId="Heading3">
    <w:name w:val="Heading 3"/>
    <w:basedOn w:val="Normal"/>
    <w:link w:val="31"/>
    <w:autoRedefine/>
    <w:qFormat/>
    <w:rsid w:val="00035e96"/>
    <w:pPr>
      <w:keepNext w:val="true"/>
      <w:tabs>
        <w:tab w:val="clear" w:pos="225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styleId="111" w:customStyle="1">
    <w:name w:val="Заголовок 1 Знак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i/>
      <w:shd w:fill="FFFF99" w:val="clear"/>
    </w:rPr>
  </w:style>
  <w:style w:type="character" w:styleId="Style9" w:customStyle="1">
    <w:name w:val="Подподпункт Знак"/>
    <w:qFormat/>
    <w:locked/>
    <w:rsid w:val="0025139e"/>
    <w:rPr>
      <w:sz w:val="26"/>
      <w:szCs w:val="26"/>
    </w:rPr>
  </w:style>
  <w:style w:type="character" w:styleId="31" w:customStyle="1">
    <w:name w:val="Заголовок 3 Знак1"/>
    <w:qFormat/>
    <w:rsid w:val="00b56f46"/>
    <w:rPr>
      <w:rFonts w:eastAsia="Calibri"/>
      <w:b/>
      <w:color w:val="00000A"/>
      <w:sz w:val="24"/>
      <w:szCs w:val="24"/>
      <w:lang w:val="x-none" w:eastAsia="x-none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5"/>
    <w:qFormat/>
    <w:rsid w:val="00de52bc"/>
    <w:rPr>
      <w:b/>
      <w:sz w:val="28"/>
    </w:rPr>
  </w:style>
  <w:style w:type="character" w:styleId="12" w:customStyle="1">
    <w:name w:val="УРОВЕНЬ_1. Знак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главление 3 Знак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ы концевой сноски"/>
    <w:qFormat/>
    <w:rPr/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14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14"/>
    <w:qFormat/>
    <w:pPr/>
    <w:rPr/>
  </w:style>
  <w:style w:type="paragraph" w:styleId="Caption11" w:customStyle="1">
    <w:name w:val="caption11"/>
    <w:basedOn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14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spacing w:before="80" w:after="80"/>
      <w:jc w:val="both"/>
    </w:pPr>
    <w:rPr/>
  </w:style>
  <w:style w:type="paragraph" w:styleId="FootnoteText">
    <w:name w:val="Footnote Text"/>
    <w:basedOn w:val="Normal"/>
    <w:pPr/>
    <w:rPr/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A"/>
      </w:pBdr>
      <w:spacing w:before="0" w:after="240"/>
      <w:jc w:val="center"/>
    </w:pPr>
    <w:rPr>
      <w:sz w:val="22"/>
      <w:szCs w:val="22"/>
    </w:rPr>
  </w:style>
  <w:style w:type="paragraph" w:styleId="211" w:customStyle="1">
    <w:name w:val="Заголовок 2 Знак1"/>
    <w:basedOn w:val="Normal"/>
    <w:qFormat/>
    <w:rsid w:val="00d561d9"/>
    <w:pPr>
      <w:pBdr>
        <w:bottom w:val="thickThinSmallGap" w:sz="24" w:space="1" w:color="00000A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rsid w:val="0076353a"/>
    <w:pPr>
      <w:tabs>
        <w:tab w:val="clear" w:pos="225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225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qFormat/>
    <w:rsid w:val="0076353a"/>
    <w:pPr>
      <w:tabs>
        <w:tab w:val="clear" w:pos="225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3" w:customStyle="1">
    <w:name w:val="Пункт2"/>
    <w:basedOn w:val="Normal"/>
    <w:qFormat/>
    <w:rsid w:val="0076353a"/>
    <w:pPr>
      <w:keepNext w:val="true"/>
      <w:tabs>
        <w:tab w:val="clear" w:pos="225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Heading1"/>
    <w:autoRedefine/>
    <w:uiPriority w:val="39"/>
    <w:rsid w:val="00421b6b"/>
    <w:pPr>
      <w:tabs>
        <w:tab w:val="clear" w:pos="0"/>
      </w:tabs>
      <w:spacing w:before="120" w:after="0"/>
      <w:ind w:left="0" w:hanging="0"/>
    </w:pPr>
    <w:rPr>
      <w:rFonts w:cs="Calibri Light (Заголовки)"/>
      <w:bCs/>
      <w:sz w:val="24"/>
      <w:szCs w:val="24"/>
    </w:rPr>
  </w:style>
  <w:style w:type="paragraph" w:styleId="TOC3">
    <w:name w:val="TOC 3"/>
    <w:basedOn w:val="Normal"/>
    <w:link w:val="32"/>
    <w:autoRedefine/>
    <w:uiPriority w:val="39"/>
    <w:rsid w:val="00c01756"/>
    <w:pPr>
      <w:ind w:left="280" w:hanging="0"/>
    </w:pPr>
    <w:rPr>
      <w:rFonts w:cs="Calibri" w:cstheme="minorHAnsi"/>
      <w:b/>
      <w:sz w:val="24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4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4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uiPriority w:val="39"/>
    <w:qFormat/>
    <w:rsid w:val="00d22f6d"/>
    <w:pPr>
      <w:keepLines/>
      <w:tabs>
        <w:tab w:val="clear" w:pos="0"/>
      </w:tabs>
      <w:spacing w:before="480" w:after="60"/>
      <w:ind w:left="0" w:hanging="0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Основной текст с отступом 3 Знак"/>
    <w:basedOn w:val="Normal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25" w:customStyle="1">
    <w:name w:val="Нумерованный список ур2"/>
    <w:basedOn w:val="Normal"/>
    <w:link w:val="22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00000A"/>
      <w:kern w:val="0"/>
      <w:sz w:val="28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225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qFormat/>
    <w:rsid w:val="0025139e"/>
    <w:pPr>
      <w:tabs>
        <w:tab w:val="left" w:pos="1134" w:leader="none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6" w:customStyle="1">
    <w:name w:val="УРОВЕНЬ_Абзац_тип2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EndnoteText">
    <w:name w:val="Endnote Text"/>
    <w:basedOn w:val="Normal"/>
    <w:qFormat/>
    <w:rsid w:val="003879d4"/>
    <w:pPr/>
    <w:rPr>
      <w:sz w:val="20"/>
      <w:szCs w:val="20"/>
    </w:rPr>
  </w:style>
  <w:style w:type="paragraph" w:styleId="27" w:customStyle="1">
    <w:name w:val="Заголовок 2 КВВ"/>
    <w:basedOn w:val="Normal"/>
    <w:qFormat/>
    <w:rsid w:val="00cb35e8"/>
    <w:pPr>
      <w:keepNext w:val="true"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qFormat/>
    <w:rsid w:val="004a17ae"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таблицы"/>
    <w:basedOn w:val="Normal"/>
    <w:qFormat/>
    <w:pPr/>
    <w:rPr/>
  </w:style>
  <w:style w:type="paragraph" w:styleId="Style35" w:customStyle="1">
    <w:name w:val="Заголовок таблицы"/>
    <w:basedOn w:val="Style34"/>
    <w:qFormat/>
    <w:pPr/>
    <w:rPr/>
  </w:style>
  <w:style w:type="paragraph" w:styleId="Style36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8" w:customStyle="1">
    <w:name w:val="Стиль2"/>
    <w:uiPriority w:val="99"/>
    <w:qFormat/>
    <w:rsid w:val="006629c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1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1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C1E93-0AA2-42BC-9E11-EDDCC67AC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Application>AlterOffice/3.4.0.9$Linux_X86_64 LibreOffice_project/b8daf9e823b1a5463a2f48435ddc2e8696e7d4fc</Application>
  <AppVersion>15.0000</AppVersion>
  <Pages>11</Pages>
  <Words>1416</Words>
  <Characters>9093</Characters>
  <CharactersWithSpaces>10247</CharactersWithSpaces>
  <Paragraphs>276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2023-03-30T07:16:00Z</dcterms:created>
  <dc:creator>Быстров Олег Геннадьевич</dc:creator>
  <dc:description/>
  <dc:language>ru-RU</dc:language>
  <cp:lastModifiedBy>antonovanal@corp.gidroogk.com</cp:lastModifiedBy>
  <cp:lastPrinted>2025-02-04T10:31:41Z</cp:lastPrinted>
  <dcterms:modified xsi:type="dcterms:W3CDTF">2026-05-08T11:00:13Z</dcterms:modified>
  <cp:revision>35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