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widowControl w:val="false"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Поставка электромагнитных измерителей расхода воды (2 шт.) </w:t>
      </w:r>
      <w:r>
        <w:rPr>
          <w:rFonts w:eastAsia="Arial" w:cs="Times New Roman"/>
          <w:b w:val="false"/>
          <w:bCs w:val="false"/>
          <w:color w:val="000000"/>
          <w:sz w:val="24"/>
          <w:szCs w:val="24"/>
          <w:lang w:eastAsia="en-US"/>
        </w:rPr>
        <w:t>для строительства физической модели №7 верхнего водоприемника туннеля ТВВУ1 Рогунской ГЭС.</w:t>
      </w:r>
    </w:p>
    <w:p>
      <w:pPr>
        <w:pStyle w:val="Normal"/>
        <w:widowControl w:val="false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Лот № </w:t>
      </w:r>
    </w:p>
    <w:p>
      <w:pPr>
        <w:pStyle w:val="Normal"/>
        <w:widowControl w:val="false"/>
        <w:jc w:val="center"/>
        <w:rPr>
          <w:rFonts w:eastAsia="Calibri"/>
          <w:b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8"/>
            <w:tabs>
              <w:tab w:val="left" w:pos="708" w:leader="none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vanish w:val="false"/>
            </w:rPr>
            <w:instrText> TOC \z \o "1-4" \u \h</w:instrText>
          </w:r>
          <w:r>
            <w:rPr>
              <w:webHidden/>
              <w:vanish w:val="false"/>
            </w:rPr>
            <w:fldChar w:fldCharType="separate"/>
          </w:r>
          <w:hyperlink w:anchor="__RefHeading___Toc1952_2432563399">
            <w:r>
              <w:rPr>
                <w:webHidden/>
                <w:vanish w:val="false"/>
              </w:rPr>
              <w:t>1.</w:t>
              <w:tab/>
              <w:t>Общие сведения</w:t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9921" w:leader="dot"/>
            </w:tabs>
            <w:rPr/>
          </w:pPr>
          <w:hyperlink w:anchor="__RefHeading___Toc1954_2432563399">
            <w:r>
              <w:rPr>
                <w:webHidden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9921" w:leader="dot"/>
            </w:tabs>
            <w:rPr/>
          </w:pPr>
          <w:hyperlink w:anchor="__RefHeading___Toc1956_2432563399">
            <w:r>
              <w:rPr>
                <w:webHidden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9921" w:leader="dot"/>
            </w:tabs>
            <w:rPr/>
          </w:pPr>
          <w:hyperlink w:anchor="__RefHeading___Toc1958_2432563399">
            <w:r>
              <w:rPr>
                <w:webHidden/>
                <w:vanish w:val="false"/>
              </w:rPr>
              <w:t>1.3. Цель поставки</w:t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9921" w:leader="dot"/>
            </w:tabs>
            <w:rPr/>
          </w:pPr>
          <w:hyperlink w:anchor="__RefHeading___Toc1960_2432563399">
            <w:r>
              <w:rPr>
                <w:webHidden/>
                <w:vanish w:val="false"/>
              </w:rPr>
              <w:t>1.4. Существующее положение</w:t>
              <w:tab/>
              <w:t>3</w:t>
            </w:r>
          </w:hyperlink>
        </w:p>
        <w:p>
          <w:pPr>
            <w:pStyle w:val="18"/>
            <w:tabs>
              <w:tab w:val="left" w:pos="708" w:leader="none"/>
              <w:tab w:val="right" w:pos="9921" w:leader="dot"/>
            </w:tabs>
            <w:rPr/>
          </w:pPr>
          <w:hyperlink w:anchor="__RefHeading___Toc1962_2432563399">
            <w:r>
              <w:rPr>
                <w:webHidden/>
                <w:vanish w:val="false"/>
              </w:rPr>
              <w:t>2.</w:t>
              <w:tab/>
            </w:r>
            <w:r>
              <w:rPr>
                <w:iCs/>
              </w:rPr>
              <w:t>Требования к продукции</w:t>
            </w:r>
            <w:r>
              <w:rPr/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9921" w:leader="dot"/>
            </w:tabs>
            <w:rPr/>
          </w:pPr>
          <w:hyperlink w:anchor="__RefHeading___Toc1964_2432563399">
            <w:r>
              <w:rPr>
                <w:webHidden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35"/>
            <w:tabs>
              <w:tab w:val="left" w:pos="708" w:leader="none"/>
              <w:tab w:val="right" w:pos="9921" w:leader="dot"/>
            </w:tabs>
            <w:rPr/>
          </w:pPr>
          <w:hyperlink w:anchor="__RefHeading___Toc1966_2432563399">
            <w:r>
              <w:rPr>
                <w:webHidden/>
                <w:vanish w:val="false"/>
              </w:rPr>
              <w:t>2.1.1.</w:t>
              <w:tab/>
              <w:t>Перечень и объем закупаемой продукции</w:t>
              <w:tab/>
              <w:t>3</w:t>
            </w:r>
          </w:hyperlink>
        </w:p>
        <w:p>
          <w:pPr>
            <w:pStyle w:val="18"/>
            <w:tabs>
              <w:tab w:val="left" w:pos="708" w:leader="none"/>
              <w:tab w:val="right" w:pos="9921" w:leader="dot"/>
            </w:tabs>
            <w:rPr/>
          </w:pPr>
          <w:hyperlink w:anchor="__RefHeading___Toc1968_2432563399">
            <w:r>
              <w:rPr>
                <w:webHidden/>
                <w:vanish w:val="false"/>
              </w:rPr>
              <w:tab/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35"/>
            <w:tabs>
              <w:tab w:val="left" w:pos="708" w:leader="none"/>
              <w:tab w:val="right" w:pos="9921" w:leader="dot"/>
            </w:tabs>
            <w:rPr/>
          </w:pPr>
          <w:hyperlink w:anchor="__RefHeading___Toc1970_2432563399">
            <w:r>
              <w:rPr>
                <w:webHidden/>
                <w:vanish w:val="false"/>
              </w:rPr>
              <w:t>2.1.2.</w:t>
              <w:tab/>
              <w:t>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18"/>
            <w:tabs>
              <w:tab w:val="left" w:pos="708" w:leader="none"/>
              <w:tab w:val="right" w:pos="9921" w:leader="dot"/>
            </w:tabs>
            <w:rPr/>
          </w:pPr>
          <w:hyperlink w:anchor="__RefHeading___Toc1972_2432563399">
            <w:r>
              <w:rPr>
                <w:webHidden/>
                <w:vanish w:val="false"/>
              </w:rPr>
              <w:tab/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9921" w:leader="dot"/>
            </w:tabs>
            <w:rPr/>
          </w:pPr>
          <w:hyperlink w:anchor="__RefHeading___Toc1974_2432563399">
            <w:r>
              <w:rPr>
                <w:webHidden/>
                <w:vanish w:val="false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18"/>
            <w:tabs>
              <w:tab w:val="left" w:pos="708" w:leader="none"/>
              <w:tab w:val="right" w:pos="9921" w:leader="dot"/>
            </w:tabs>
            <w:rPr/>
          </w:pPr>
          <w:hyperlink w:anchor="__RefHeading___Toc1976_2432563399">
            <w:r>
              <w:rPr>
                <w:webHidden/>
                <w:vanish w:val="false"/>
              </w:rPr>
              <w:tab/>
              <w:t xml:space="preserve"> Таблица 3. Требования к качеству продукции</w:t>
              <w:tab/>
              <w:t>4</w:t>
            </w:r>
          </w:hyperlink>
        </w:p>
        <w:p>
          <w:pPr>
            <w:pStyle w:val="42"/>
            <w:tabs>
              <w:tab w:val="clear" w:pos="708"/>
              <w:tab w:val="right" w:pos="9921" w:leader="dot"/>
            </w:tabs>
            <w:rPr/>
          </w:pPr>
          <w:hyperlink w:anchor="__RefHeading___Toc1978_2432563399">
            <w:r>
              <w:rPr>
                <w:webHidden/>
                <w:vanish w:val="false"/>
              </w:rPr>
              <w:t>2.2.1.В составе заявки необходимо предоставить:</w:t>
              <w:tab/>
              <w:t>7</w:t>
            </w:r>
          </w:hyperlink>
        </w:p>
        <w:p>
          <w:pPr>
            <w:pStyle w:val="18"/>
            <w:tabs>
              <w:tab w:val="left" w:pos="708" w:leader="none"/>
              <w:tab w:val="right" w:pos="9921" w:leader="dot"/>
            </w:tabs>
            <w:rPr/>
          </w:pPr>
          <w:hyperlink w:anchor="__RefHeading___Toc1980_2432563399">
            <w:r>
              <w:rPr>
                <w:webHidden/>
                <w:vanish w:val="false"/>
              </w:rPr>
              <w:t>3.</w:t>
              <w:tab/>
            </w:r>
            <w:r>
              <w:rPr>
                <w:iCs/>
              </w:rPr>
              <w:t>Приложения</w:t>
            </w:r>
            <w:r>
              <w:rPr/>
              <w:tab/>
              <w:t>8</w:t>
            </w:r>
          </w:hyperlink>
          <w:r>
            <w:rPr/>
            <w:fldChar w:fldCharType="end"/>
          </w:r>
        </w:p>
      </w:sdtContent>
    </w:sdt>
    <w:p>
      <w:pPr>
        <w:pStyle w:val="18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 w:val="false"/>
          <w:bCs w:val="false"/>
          <w:sz w:val="24"/>
          <w:szCs w:val="24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4"/>
          <w:szCs w:val="24"/>
        </w:rPr>
      </w:r>
    </w:p>
    <w:p>
      <w:pPr>
        <w:pStyle w:val="18"/>
        <w:widowControl w:val="false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 w:val="false"/>
          <w:bCs w:val="false"/>
          <w:sz w:val="24"/>
          <w:szCs w:val="24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4"/>
          <w:szCs w:val="24"/>
        </w:rPr>
      </w:r>
    </w:p>
    <w:p>
      <w:pPr>
        <w:pStyle w:val="2"/>
        <w:keepNext w:val="false"/>
        <w:widowControl w:val="false"/>
        <w:tabs>
          <w:tab w:val="clear" w:pos="0"/>
        </w:tabs>
        <w:ind w:left="0" w:hanging="0"/>
        <w:rPr>
          <w:b w:val="false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Calibri"/>
          <w:b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1"/>
        <w:keepNext w:val="false"/>
        <w:widowControl w:val="false"/>
        <w:ind w:left="357" w:hanging="357"/>
        <w:jc w:val="center"/>
        <w:rPr>
          <w:sz w:val="24"/>
          <w:szCs w:val="24"/>
        </w:rPr>
      </w:pPr>
      <w:bookmarkStart w:id="0" w:name="__RefHeading___Toc1952_2432563399"/>
      <w:bookmarkStart w:id="1" w:name="_Toc51339692"/>
      <w:bookmarkStart w:id="2" w:name="_Toc226119936"/>
      <w:bookmarkEnd w:id="0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4"/>
        <w:keepNext w:val="false"/>
        <w:widowControl w:val="false"/>
        <w:numPr>
          <w:ilvl w:val="1"/>
          <w:numId w:val="14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"/>
        <w:keepNext w:val="false"/>
        <w:widowControl w:val="false"/>
        <w:numPr>
          <w:ilvl w:val="1"/>
          <w:numId w:val="15"/>
        </w:numPr>
        <w:ind w:left="0" w:firstLine="567"/>
        <w:rPr>
          <w:sz w:val="24"/>
          <w:szCs w:val="24"/>
        </w:rPr>
      </w:pPr>
      <w:bookmarkStart w:id="3" w:name="__RefHeading___Toc1956_2432563399"/>
      <w:bookmarkEnd w:id="3"/>
      <w:r>
        <w:rPr>
          <w:sz w:val="24"/>
          <w:szCs w:val="24"/>
        </w:rPr>
        <w:t xml:space="preserve">1.2. </w:t>
      </w:r>
      <w:bookmarkStart w:id="4" w:name="_Toc226119938"/>
      <w:r>
        <w:rPr>
          <w:sz w:val="24"/>
          <w:szCs w:val="24"/>
        </w:rPr>
        <w:t>Наименование закупаемой продукции</w:t>
      </w:r>
      <w:bookmarkEnd w:id="4"/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 </w:t>
      </w:r>
      <w:r>
        <w:rPr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Поставка электромагнитных измерителей расхода воды (2 шт.) </w:t>
      </w:r>
      <w:r>
        <w:rPr>
          <w:rFonts w:eastAsia="Arial" w:cs="Times New Roman"/>
          <w:b w:val="false"/>
          <w:bCs w:val="false"/>
          <w:color w:val="000000"/>
          <w:sz w:val="24"/>
          <w:szCs w:val="24"/>
          <w:lang w:eastAsia="en-US"/>
        </w:rPr>
        <w:t>для строительства физической модели №7 верхнего водоприемника туннеля ТВВУ1 Рогунской ГЭС.</w:t>
      </w:r>
    </w:p>
    <w:p>
      <w:pPr>
        <w:pStyle w:val="4"/>
        <w:keepNext w:val="false"/>
        <w:widowControl w:val="false"/>
        <w:numPr>
          <w:ilvl w:val="1"/>
          <w:numId w:val="16"/>
        </w:numPr>
        <w:ind w:left="0" w:firstLine="567"/>
        <w:rPr>
          <w:sz w:val="24"/>
          <w:szCs w:val="24"/>
        </w:rPr>
      </w:pPr>
      <w:bookmarkStart w:id="5" w:name="__RefHeading___Toc1958_2432563399"/>
      <w:bookmarkEnd w:id="5"/>
      <w:r>
        <w:rPr>
          <w:sz w:val="24"/>
          <w:szCs w:val="24"/>
        </w:rPr>
        <w:t xml:space="preserve">1.3. </w:t>
      </w:r>
      <w:bookmarkStart w:id="6" w:name="_Toc226119939"/>
      <w:r>
        <w:rPr>
          <w:sz w:val="24"/>
          <w:szCs w:val="24"/>
        </w:rPr>
        <w:t>Цель поставки</w:t>
      </w:r>
      <w:bookmarkEnd w:id="6"/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Использование закупаемой продукции для </w:t>
      </w:r>
      <w:r>
        <w:rPr>
          <w:rFonts w:eastAsia="Arial" w:cs="Times New Roman"/>
          <w:b w:val="false"/>
          <w:bCs w:val="false"/>
          <w:color w:val="000000"/>
          <w:sz w:val="24"/>
          <w:szCs w:val="24"/>
          <w:lang w:eastAsia="en-US"/>
        </w:rPr>
        <w:t>для строительства физической модели №7 верхнего водоприемника туннеля ТВВУ1 Рогунской ГЭС.</w:t>
      </w:r>
    </w:p>
    <w:p>
      <w:pPr>
        <w:pStyle w:val="4"/>
        <w:keepNext w:val="false"/>
        <w:widowControl w:val="false"/>
        <w:numPr>
          <w:ilvl w:val="1"/>
          <w:numId w:val="17"/>
        </w:numPr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1"/>
        <w:keepNext w:val="false"/>
        <w:widowControl w:val="false"/>
        <w:ind w:left="0" w:firstLine="567"/>
        <w:jc w:val="center"/>
        <w:rPr>
          <w:sz w:val="24"/>
          <w:szCs w:val="24"/>
        </w:rPr>
      </w:pPr>
      <w:bookmarkStart w:id="7" w:name="__RefHeading___Toc1962_2432563399"/>
      <w:bookmarkStart w:id="8" w:name="_Toc50125126"/>
      <w:bookmarkStart w:id="9" w:name="_Toc51339693"/>
      <w:bookmarkStart w:id="10" w:name="_Toc226119941"/>
      <w:bookmarkStart w:id="11" w:name="_Hlk49857604_Копия_1"/>
      <w:bookmarkStart w:id="12" w:name="_Toc46743509_Копия_1"/>
      <w:bookmarkStart w:id="13" w:name="_Toc46743510"/>
      <w:bookmarkEnd w:id="7"/>
      <w:bookmarkEnd w:id="11"/>
      <w:bookmarkEnd w:id="12"/>
      <w:bookmarkEnd w:id="13"/>
      <w:r>
        <w:rPr>
          <w:iCs/>
          <w:sz w:val="24"/>
          <w:szCs w:val="24"/>
        </w:rPr>
        <w:t>Требования к продукции</w:t>
      </w:r>
      <w:bookmarkEnd w:id="9"/>
      <w:bookmarkEnd w:id="10"/>
    </w:p>
    <w:p>
      <w:pPr>
        <w:pStyle w:val="4"/>
        <w:keepNext w:val="false"/>
        <w:widowControl w:val="false"/>
        <w:numPr>
          <w:ilvl w:val="1"/>
          <w:numId w:val="18"/>
        </w:numPr>
        <w:ind w:left="0" w:firstLine="567"/>
        <w:rPr>
          <w:sz w:val="24"/>
          <w:szCs w:val="24"/>
        </w:rPr>
      </w:pPr>
      <w:bookmarkStart w:id="14" w:name="__RefHeading___Toc1964_2432563399"/>
      <w:bookmarkEnd w:id="14"/>
      <w:r>
        <w:rPr>
          <w:sz w:val="24"/>
          <w:szCs w:val="24"/>
        </w:rPr>
        <w:t xml:space="preserve">2.1. </w:t>
      </w:r>
      <w:bookmarkStart w:id="15" w:name="_Toc226119942"/>
      <w:r>
        <w:rPr>
          <w:sz w:val="24"/>
          <w:szCs w:val="24"/>
        </w:rPr>
        <w:t>Требования к объемам и срокам поставки</w:t>
      </w:r>
      <w:bookmarkEnd w:id="15"/>
    </w:p>
    <w:p>
      <w:pPr>
        <w:pStyle w:val="3"/>
        <w:keepNext w:val="false"/>
        <w:widowControl w:val="false"/>
        <w:numPr>
          <w:ilvl w:val="0"/>
          <w:numId w:val="0"/>
        </w:numPr>
        <w:ind w:left="1224" w:hanging="0"/>
        <w:rPr>
          <w:sz w:val="24"/>
          <w:szCs w:val="24"/>
        </w:rPr>
      </w:pPr>
      <w:bookmarkStart w:id="16" w:name="__RefHeading___Toc1966_2432563399"/>
      <w:bookmarkEnd w:id="16"/>
      <w:r>
        <w:rPr>
          <w:sz w:val="24"/>
          <w:szCs w:val="24"/>
        </w:rPr>
        <w:t xml:space="preserve">2.1.1. </w:t>
      </w:r>
      <w:bookmarkStart w:id="17" w:name="_Toc226119943"/>
      <w:r>
        <w:rPr>
          <w:sz w:val="24"/>
          <w:szCs w:val="24"/>
        </w:rPr>
        <w:t>Перечень и объем закупаемой продукции</w:t>
      </w:r>
      <w:bookmarkEnd w:id="17"/>
    </w:p>
    <w:p>
      <w:pPr>
        <w:pStyle w:val="1"/>
        <w:keepNext w:val="false"/>
        <w:widowControl w:val="false"/>
        <w:numPr>
          <w:ilvl w:val="0"/>
          <w:numId w:val="0"/>
        </w:numPr>
        <w:spacing w:before="240" w:after="60"/>
        <w:ind w:left="0" w:firstLine="567"/>
        <w:rPr>
          <w:sz w:val="24"/>
          <w:szCs w:val="24"/>
        </w:rPr>
      </w:pPr>
      <w:bookmarkStart w:id="18" w:name="__RefHeading___Toc1968_2432563399"/>
      <w:bookmarkStart w:id="19" w:name="_Toc226119944"/>
      <w:bookmarkStart w:id="20" w:name="_Toc51339695"/>
      <w:bookmarkEnd w:id="18"/>
      <w:r>
        <w:rPr>
          <w:sz w:val="24"/>
          <w:szCs w:val="24"/>
        </w:rPr>
        <w:t xml:space="preserve">Таблица 1.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19"/>
    </w:p>
    <w:tbl>
      <w:tblPr>
        <w:tblW w:w="98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74"/>
        <w:gridCol w:w="6203"/>
        <w:gridCol w:w="1424"/>
        <w:gridCol w:w="1410"/>
      </w:tblGrid>
      <w:tr>
        <w:trPr>
          <w:tblHeader w:val="true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680" w:right="0" w:firstLine="567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>Электромагнитны</w:t>
            </w: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 xml:space="preserve">й </w:t>
            </w: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>измерител</w:t>
            </w: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 xml:space="preserve">ь </w:t>
            </w: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 xml:space="preserve">расхода воды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Доставка по адресу: г. Санкт-Петербург, ул. Гжатская, д. 21.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3"/>
        <w:keepNext w:val="false"/>
        <w:widowControl w:val="false"/>
        <w:numPr>
          <w:ilvl w:val="0"/>
          <w:numId w:val="0"/>
        </w:numPr>
        <w:suppressAutoHyphens w:val="true"/>
        <w:bidi w:val="0"/>
        <w:spacing w:before="120" w:after="60"/>
        <w:ind w:left="941" w:right="0" w:hanging="0"/>
        <w:jc w:val="left"/>
        <w:outlineLvl w:val="2"/>
        <w:rPr>
          <w:sz w:val="24"/>
          <w:szCs w:val="24"/>
        </w:rPr>
      </w:pPr>
      <w:bookmarkStart w:id="21" w:name="__RefHeading___Toc1970_2432563399"/>
      <w:bookmarkEnd w:id="21"/>
      <w:r>
        <w:rPr>
          <w:sz w:val="24"/>
          <w:szCs w:val="24"/>
        </w:rPr>
        <w:t xml:space="preserve">2.2. </w:t>
      </w:r>
      <w:bookmarkStart w:id="22" w:name="_Toc226119945"/>
      <w:bookmarkStart w:id="23" w:name="_Toc51339696"/>
      <w:r>
        <w:rPr>
          <w:sz w:val="24"/>
          <w:szCs w:val="24"/>
        </w:rPr>
        <w:t xml:space="preserve">Требования </w:t>
      </w:r>
      <w:bookmarkEnd w:id="23"/>
      <w:r>
        <w:rPr>
          <w:sz w:val="24"/>
          <w:szCs w:val="24"/>
        </w:rPr>
        <w:t>к срокам поставки продукции и оказания сопутствующих услуг</w:t>
      </w:r>
      <w:bookmarkStart w:id="24" w:name="_Toc51339697"/>
      <w:bookmarkStart w:id="25" w:name="_Toc50125127"/>
      <w:bookmarkEnd w:id="8"/>
      <w:bookmarkEnd w:id="22"/>
    </w:p>
    <w:p>
      <w:pPr>
        <w:pStyle w:val="1"/>
        <w:keepNext w:val="false"/>
        <w:widowControl w:val="false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26" w:name="__RefHeading___Toc1972_2432563399"/>
      <w:bookmarkStart w:id="27" w:name="_Toc226119946"/>
      <w:bookmarkEnd w:id="26"/>
      <w:r>
        <w:rPr>
          <w:sz w:val="24"/>
          <w:szCs w:val="24"/>
        </w:rPr>
        <w:t>Таблица 2.1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8"/>
      <w:r>
        <w:rPr>
          <w:sz w:val="24"/>
          <w:szCs w:val="24"/>
        </w:rPr>
        <w:t>поставки продукции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text" w:leftFromText="180" w:rightFromText="180" w:tblpX="0" w:tblpY="1" w:topFromText="0" w:vertAnchor="text"/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805"/>
        <w:gridCol w:w="2979"/>
        <w:gridCol w:w="3115"/>
      </w:tblGrid>
      <w:tr>
        <w:trPr>
          <w:tblHeader w:val="true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>Электромагнитны</w:t>
            </w: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 xml:space="preserve">й </w:t>
            </w: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>измерител</w:t>
            </w: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 xml:space="preserve">ь </w:t>
            </w: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 xml:space="preserve">расхода воды </w:t>
            </w: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>(2) шт)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даты, следующей за датой заключения Договора.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iCs/>
                <w:sz w:val="24"/>
                <w:szCs w:val="24"/>
              </w:rPr>
              <w:t>16 недель с даты заключения Договора.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header="680" w:top="1134" w:footer="0" w:bottom="992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4"/>
        <w:keepNext w:val="false"/>
        <w:widowControl w:val="false"/>
        <w:numPr>
          <w:ilvl w:val="1"/>
          <w:numId w:val="19"/>
        </w:numPr>
        <w:ind w:left="432" w:hanging="0"/>
        <w:rPr>
          <w:sz w:val="24"/>
          <w:szCs w:val="24"/>
        </w:rPr>
      </w:pPr>
      <w:bookmarkStart w:id="29" w:name="__RefHeading___Toc1974_2432563399"/>
      <w:bookmarkStart w:id="30" w:name="_Toc226119947"/>
      <w:bookmarkStart w:id="31" w:name="_Toc46743511"/>
      <w:bookmarkEnd w:id="29"/>
      <w:r>
        <w:rPr>
          <w:sz w:val="24"/>
          <w:szCs w:val="24"/>
        </w:rPr>
        <w:t xml:space="preserve">Требования к </w:t>
      </w:r>
      <w:bookmarkEnd w:id="31"/>
      <w:r>
        <w:rPr>
          <w:sz w:val="24"/>
          <w:szCs w:val="24"/>
        </w:rPr>
        <w:t>качеству продукции</w:t>
      </w:r>
      <w:bookmarkEnd w:id="30"/>
    </w:p>
    <w:p>
      <w:pPr>
        <w:pStyle w:val="1"/>
        <w:keepNext w:val="false"/>
        <w:widowControl w:val="false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32" w:name="__RefHeading___Toc1976_2432563399"/>
      <w:bookmarkEnd w:id="32"/>
      <w:r>
        <w:rPr>
          <w:sz w:val="24"/>
          <w:szCs w:val="24"/>
        </w:rPr>
        <w:t xml:space="preserve"> </w:t>
      </w:r>
      <w:bookmarkStart w:id="33" w:name="_Toc226119948"/>
      <w:r>
        <w:rPr>
          <w:sz w:val="24"/>
          <w:szCs w:val="24"/>
        </w:rPr>
        <w:t>Таблица 3. Требования к качеству продукции</w:t>
      </w:r>
      <w:bookmarkEnd w:id="33"/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rPr>
          <w:iCs/>
        </w:rPr>
      </w:pPr>
      <w:r>
        <w:rPr>
          <w:sz w:val="24"/>
          <w:szCs w:val="24"/>
        </w:rPr>
        <w:t xml:space="preserve">Наименовании продукции: </w:t>
      </w: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>Электромагнитны</w:t>
      </w: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й </w:t>
      </w: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>измерител</w:t>
      </w: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ь </w:t>
      </w: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расхода воды </w:t>
      </w: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>(2шт).</w:t>
      </w:r>
    </w:p>
    <w:tbl>
      <w:tblPr>
        <w:tblStyle w:val="affff9"/>
        <w:tblW w:w="10042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3169"/>
        <w:gridCol w:w="6945"/>
      </w:tblGrid>
      <w:tr>
        <w:trPr/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9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94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</w:t>
            </w:r>
          </w:p>
        </w:tc>
        <w:tc>
          <w:tcPr>
            <w:tcW w:w="69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Измерение расхода воды</w:t>
            </w:r>
          </w:p>
        </w:tc>
      </w:tr>
      <w:tr>
        <w:trPr>
          <w:trHeight w:val="91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auto" w:fill="auto" w:val="clear"/>
          </w:tcPr>
          <w:p>
            <w:pPr>
              <w:pStyle w:val="Style28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Тип расходомеров </w:t>
            </w:r>
          </w:p>
        </w:tc>
        <w:tc>
          <w:tcPr>
            <w:tcW w:w="6945" w:type="dxa"/>
            <w:tcBorders/>
            <w:shd w:color="auto" w:fill="auto" w:val="clear"/>
          </w:tcPr>
          <w:p>
            <w:pPr>
              <w:pStyle w:val="Style28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электромагнитные</w:t>
            </w:r>
          </w:p>
        </w:tc>
      </w:tr>
      <w:tr>
        <w:trPr>
          <w:trHeight w:val="91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auto" w:fill="auto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Рабочая среда </w:t>
            </w:r>
          </w:p>
        </w:tc>
        <w:tc>
          <w:tcPr>
            <w:tcW w:w="6945" w:type="dxa"/>
            <w:tcBorders/>
            <w:shd w:color="auto" w:fill="auto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водопроводная вода.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auto" w:fill="auto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firstLine="57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Рабочее давление </w:t>
            </w:r>
          </w:p>
        </w:tc>
        <w:tc>
          <w:tcPr>
            <w:tcW w:w="6945" w:type="dxa"/>
            <w:tcBorders/>
            <w:shd w:color="auto" w:fill="auto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firstLine="57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ru-RU" w:bidi="ar-SA"/>
              </w:rPr>
              <w:t xml:space="preserve">Не менее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ru-RU" w:bidi="ar-SA"/>
              </w:rPr>
              <w:t>PN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= 1.0МПа 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auto" w:fill="auto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Температура воды </w:t>
            </w:r>
          </w:p>
        </w:tc>
        <w:tc>
          <w:tcPr>
            <w:tcW w:w="6945" w:type="dxa"/>
            <w:tcBorders/>
            <w:shd w:color="auto" w:fill="auto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5-30°C.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firstLine="57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Условный проход </w:t>
            </w:r>
          </w:p>
        </w:tc>
        <w:tc>
          <w:tcPr>
            <w:tcW w:w="6945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firstLine="57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ru-RU" w:bidi="ar-SA"/>
              </w:rPr>
              <w:t>DN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= 300мм (1 штука) 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ru-RU" w:bidi="ar-SA"/>
              </w:rPr>
              <w:t>DN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= 400мм (1 штука).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Полнопроходные </w:t>
            </w:r>
          </w:p>
        </w:tc>
        <w:tc>
          <w:tcPr>
            <w:tcW w:w="6945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диаметр внутреннего сечения измерительной части совпадает с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ru-RU" w:bidi="ar-SA"/>
              </w:rPr>
              <w:t>DN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, 300мм и 400мм, соответственно.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Материал электродов </w:t>
            </w:r>
          </w:p>
        </w:tc>
        <w:tc>
          <w:tcPr>
            <w:tcW w:w="6945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нерж. сталь.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Материал корпуса </w:t>
            </w:r>
          </w:p>
        </w:tc>
        <w:tc>
          <w:tcPr>
            <w:tcW w:w="6945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углеродистая сталь.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Присоединение к процессу  </w:t>
            </w:r>
          </w:p>
        </w:tc>
        <w:tc>
          <w:tcPr>
            <w:tcW w:w="6945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фланцы.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Исполнение</w:t>
            </w:r>
          </w:p>
        </w:tc>
        <w:tc>
          <w:tcPr>
            <w:tcW w:w="6945" w:type="dxa"/>
            <w:tcBorders/>
            <w:shd w:color="FFFFFF" w:fill="FFFFFF" w:val="clea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интегральное исполнение с ЖКИ.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  <w:vAlign w:val="cente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Погрешность измерений </w:t>
            </w:r>
          </w:p>
        </w:tc>
        <w:tc>
          <w:tcPr>
            <w:tcW w:w="6945" w:type="dxa"/>
            <w:tcBorders/>
            <w:shd w:color="FFFFFF" w:fill="FFFFFF" w:val="clear"/>
            <w:vAlign w:val="cente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не хуже +-0,5%.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  <w:vAlign w:val="cente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Выходной сигнал </w:t>
            </w:r>
          </w:p>
        </w:tc>
        <w:tc>
          <w:tcPr>
            <w:tcW w:w="6945" w:type="dxa"/>
            <w:tcBorders/>
            <w:shd w:color="FFFFFF" w:fill="FFFFFF" w:val="clear"/>
            <w:vAlign w:val="cente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aps w:val="false"/>
                <w:smallCap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en-US" w:eastAsia="ru-RU" w:bidi="ar-SA"/>
              </w:rPr>
              <w:t>RS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485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en-US" w:eastAsia="ru-RU" w:bidi="ar-SA"/>
              </w:rPr>
              <w:t>Modbus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en-US" w:eastAsia="ru-RU" w:bidi="ar-SA"/>
              </w:rPr>
              <w:t>RTU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  <w:vAlign w:val="cente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Влагозащищённость </w:t>
            </w:r>
          </w:p>
        </w:tc>
        <w:tc>
          <w:tcPr>
            <w:tcW w:w="6945" w:type="dxa"/>
            <w:tcBorders/>
            <w:shd w:color="FFFFFF" w:fill="FFFFFF" w:val="clear"/>
            <w:vAlign w:val="cente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en-US" w:eastAsia="ru-RU" w:bidi="ar-SA"/>
              </w:rPr>
              <w:t xml:space="preserve">Не менее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en-US" w:eastAsia="ru-RU" w:bidi="ar-SA"/>
              </w:rPr>
              <w:t>IP65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  <w:vAlign w:val="cente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Футеровка </w:t>
            </w:r>
          </w:p>
        </w:tc>
        <w:tc>
          <w:tcPr>
            <w:tcW w:w="6945" w:type="dxa"/>
            <w:tcBorders/>
            <w:shd w:color="FFFFFF" w:fill="FFFFFF" w:val="clear"/>
            <w:vAlign w:val="cente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жёсткая резина/неопрен.</w:t>
            </w:r>
          </w:p>
        </w:tc>
      </w:tr>
      <w:tr>
        <w:trPr>
          <w:trHeight w:val="396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  <w:shd w:color="FFFFFF" w:fill="FFFFFF" w:val="clear"/>
            <w:vAlign w:val="center"/>
          </w:tcPr>
          <w:p>
            <w:pPr>
              <w:pStyle w:val="Style28"/>
              <w:widowControl/>
              <w:suppressAutoHyphens w:val="true"/>
              <w:bidi w:val="0"/>
              <w:spacing w:lineRule="auto" w:line="240" w:before="0" w:after="140"/>
              <w:ind w:left="0" w:right="0" w:hanging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Ответные фланцы для присоединения к тех. процессу </w:t>
            </w:r>
          </w:p>
        </w:tc>
        <w:tc>
          <w:tcPr>
            <w:tcW w:w="6945" w:type="dxa"/>
            <w:tcBorders/>
            <w:shd w:color="FFFFFF" w:fill="FFFFFF" w:val="clear"/>
            <w:vAlign w:val="center"/>
          </w:tcPr>
          <w:p>
            <w:pPr>
              <w:pStyle w:val="Style28"/>
              <w:widowControl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 комплекте.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Fontstyle01"/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>
          <w:trHeight w:val="912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655" w:hRule="atLeast"/>
        </w:trPr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транспортировке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Транспортировка силами и средствами поставщика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гарантийного обслуживания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момента поставки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Требования к документам, передаваемым вместе с оборудованием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 либо декларация соответствия;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Паспорт изделия;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либо УПД.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1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Документация на оборудование для передачи Покупателю должна быть оформлена в соответствии с требованиями по ГОСТ Р 2.105-2019 «ЕСКД Общие требования к текстовым документам» </w:t>
            </w:r>
            <w:hyperlink r:id="rId4" w:tgtFrame="https://docs.cntd.ru/document/1200164120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https://docs.cntd.ru/document/1200164120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4"/>
        <w:keepNext w:val="false"/>
        <w:widowControl w:val="false"/>
        <w:tabs>
          <w:tab w:val="clear" w:pos="0"/>
        </w:tabs>
        <w:spacing w:before="120" w:after="60"/>
        <w:ind w:left="432" w:hanging="0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851" w:right="851" w:header="680" w:top="992" w:footer="0" w:bottom="567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8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8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8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8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5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6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7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8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9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qFormat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2"/>
    <w:qFormat/>
    <w:pPr>
      <w:outlineLvl w:val="1"/>
    </w:pPr>
    <w:rPr/>
  </w:style>
  <w:style w:type="paragraph" w:styleId="3">
    <w:name w:val="Heading 3"/>
    <w:basedOn w:val="Normal"/>
    <w:next w:val="Normal"/>
    <w:link w:val="31"/>
    <w:qFormat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next w:val="Normal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5">
    <w:name w:val="Heading 5"/>
    <w:basedOn w:val="Normal"/>
    <w:next w:val="Normal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Normal"/>
    <w:next w:val="Normal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Normal"/>
    <w:next w:val="Normal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Normal"/>
    <w:next w:val="Normal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CaptionChar" w:customStyle="1">
    <w:name w:val="Caption Char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6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Style8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1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1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1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1" w:customStyle="1">
    <w:name w:val="Заголовок 1 Знак"/>
    <w:qFormat/>
    <w:rPr>
      <w:rFonts w:eastAsia="Calibri"/>
      <w:b/>
      <w:sz w:val="28"/>
      <w:szCs w:val="28"/>
    </w:rPr>
  </w:style>
  <w:style w:type="character" w:styleId="21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1" w:customStyle="1">
    <w:name w:val="Заголовок 3 Знак"/>
    <w:qFormat/>
    <w:rPr>
      <w:rFonts w:eastAsia="Calibri"/>
      <w:b/>
      <w:sz w:val="24"/>
      <w:szCs w:val="24"/>
    </w:rPr>
  </w:style>
  <w:style w:type="character" w:styleId="41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1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10" w:customStyle="1">
    <w:name w:val="Название Знак"/>
    <w:uiPriority w:val="10"/>
    <w:qFormat/>
    <w:rPr>
      <w:sz w:val="28"/>
    </w:rPr>
  </w:style>
  <w:style w:type="character" w:styleId="Style11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12">
    <w:name w:val="Выделение"/>
    <w:uiPriority w:val="20"/>
    <w:qFormat/>
    <w:rPr>
      <w:i/>
      <w:iCs/>
    </w:rPr>
  </w:style>
  <w:style w:type="character" w:styleId="22" w:customStyle="1">
    <w:name w:val="Цитата 2 Знак"/>
    <w:link w:val="24"/>
    <w:uiPriority w:val="29"/>
    <w:qFormat/>
    <w:rPr>
      <w:rFonts w:ascii="Calibri" w:hAnsi="Calibri" w:eastAsia="Calibri"/>
      <w:i/>
      <w:iCs/>
      <w:color w:val="000000"/>
    </w:rPr>
  </w:style>
  <w:style w:type="character" w:styleId="Style13" w:customStyle="1">
    <w:name w:val="Выделенная цитата Знак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14" w:customStyle="1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styleId="12" w:customStyle="1">
    <w:name w:val="Подпункт Знак1"/>
    <w:qFormat/>
    <w:rPr>
      <w:sz w:val="28"/>
    </w:rPr>
  </w:style>
  <w:style w:type="character" w:styleId="Style15" w:customStyle="1">
    <w:name w:val="Текст сноски Знак"/>
    <w:uiPriority w:val="99"/>
    <w:qFormat/>
    <w:rPr/>
  </w:style>
  <w:style w:type="character" w:styleId="Style1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17" w:customStyle="1">
    <w:name w:val="Абзац списка Знак"/>
    <w:uiPriority w:val="34"/>
    <w:qFormat/>
    <w:rPr>
      <w:rFonts w:eastAsia="Calibri"/>
      <w:sz w:val="24"/>
      <w:szCs w:val="24"/>
    </w:rPr>
  </w:style>
  <w:style w:type="character" w:styleId="Style18" w:customStyle="1">
    <w:name w:val="комментарий"/>
    <w:qFormat/>
    <w:rPr>
      <w:b/>
      <w:i/>
      <w:shd w:fill="FFFF99" w:val="clear"/>
    </w:rPr>
  </w:style>
  <w:style w:type="character" w:styleId="Style19" w:customStyle="1">
    <w:name w:val="Подподпункт Знак"/>
    <w:qFormat/>
    <w:rPr>
      <w:sz w:val="26"/>
      <w:szCs w:val="26"/>
    </w:rPr>
  </w:style>
  <w:style w:type="character" w:styleId="32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20" w:customStyle="1">
    <w:name w:val="Верхний колонтитул Знак"/>
    <w:uiPriority w:val="99"/>
    <w:qFormat/>
    <w:rPr>
      <w:sz w:val="24"/>
      <w:szCs w:val="24"/>
    </w:rPr>
  </w:style>
  <w:style w:type="character" w:styleId="Style21" w:customStyle="1">
    <w:name w:val="Текст примечания Знак"/>
    <w:semiHidden/>
    <w:qFormat/>
    <w:rPr/>
  </w:style>
  <w:style w:type="character" w:styleId="Style22" w:customStyle="1">
    <w:name w:val="Текст концевой сноски Знак"/>
    <w:basedOn w:val="DefaultParagraphFont"/>
    <w:qFormat/>
    <w:rPr/>
  </w:style>
  <w:style w:type="character" w:styleId="Style23" w:customStyle="1">
    <w:name w:val="Символ концевой сноски"/>
    <w:qFormat/>
    <w:rPr>
      <w:vertAlign w:val="superscript"/>
    </w:rPr>
  </w:style>
  <w:style w:type="character" w:styleId="Style24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3" w:customStyle="1">
    <w:name w:val="Пункт2 Знак"/>
    <w:link w:val="25"/>
    <w:qFormat/>
    <w:rPr>
      <w:b/>
      <w:sz w:val="28"/>
    </w:rPr>
  </w:style>
  <w:style w:type="character" w:styleId="13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3" w:customStyle="1">
    <w:name w:val="Основной текст с отступом 3 Знак"/>
    <w:qFormat/>
    <w:rPr>
      <w:sz w:val="16"/>
      <w:szCs w:val="16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25">
    <w:name w:val="Посещённая гиперссылка"/>
    <w:basedOn w:val="DefaultParagraphFont"/>
    <w:semiHidden/>
    <w:unhideWhenUsed/>
    <w:rPr>
      <w:color w:val="954F72" w:themeColor="followedHyperlink"/>
      <w:u w:val="single"/>
    </w:rPr>
  </w:style>
  <w:style w:type="character" w:styleId="Style26" w:customStyle="1">
    <w:name w:val="Ссылка указателя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8">
    <w:name w:val="Body Text"/>
    <w:basedOn w:val="Normal"/>
    <w:pPr>
      <w:spacing w:before="0" w:after="120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15" w:customStyle="1">
    <w:name w:val="Заголовок1"/>
    <w:basedOn w:val="Normal"/>
    <w:next w:val="Style28"/>
    <w:qFormat/>
    <w:pPr>
      <w:keepNext w:val="true"/>
      <w:spacing w:before="240" w:after="120"/>
    </w:pPr>
    <w:rPr>
      <w:rFonts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15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15"/>
    <w:qFormat/>
    <w:pPr/>
    <w:rPr/>
  </w:style>
  <w:style w:type="paragraph" w:styleId="Style32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33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34" w:customStyle="1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35" w:customStyle="1">
    <w:name w:val="Подраздел раздела положения"/>
    <w:basedOn w:val="Normal"/>
    <w:qFormat/>
    <w:pPr>
      <w:numPr>
        <w:ilvl w:val="0"/>
        <w:numId w:val="2"/>
      </w:numPr>
      <w:spacing w:before="80" w:after="80"/>
      <w:jc w:val="both"/>
    </w:pPr>
    <w:rPr/>
  </w:style>
  <w:style w:type="paragraph" w:styleId="Style36">
    <w:name w:val="Footnote Text"/>
    <w:basedOn w:val="Normal"/>
    <w:uiPriority w:val="99"/>
    <w:pPr/>
    <w:rPr>
      <w:sz w:val="20"/>
      <w:szCs w:val="20"/>
    </w:rPr>
  </w:style>
  <w:style w:type="paragraph" w:styleId="16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uiPriority w:val="10"/>
    <w:qFormat/>
    <w:pPr>
      <w:jc w:val="center"/>
    </w:pPr>
    <w:rPr>
      <w:szCs w:val="20"/>
    </w:rPr>
  </w:style>
  <w:style w:type="paragraph" w:styleId="Style37" w:customStyle="1">
    <w:name w:val="Колонтитул"/>
    <w:basedOn w:val="Normal"/>
    <w:qFormat/>
    <w:pPr/>
    <w:rPr/>
  </w:style>
  <w:style w:type="paragraph" w:styleId="Style3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9">
    <w:name w:val="Body Text Indent"/>
    <w:basedOn w:val="Normal"/>
    <w:pPr>
      <w:ind w:left="360" w:hanging="0"/>
    </w:pPr>
    <w:rPr>
      <w:sz w:val="24"/>
      <w:szCs w:val="24"/>
    </w:rPr>
  </w:style>
  <w:style w:type="paragraph" w:styleId="Style4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41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5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42" w:customStyle="1">
    <w:name w:val="Раздел регламента"/>
    <w:basedOn w:val="Normal"/>
    <w:qFormat/>
    <w:pPr/>
    <w:rPr/>
  </w:style>
  <w:style w:type="paragraph" w:styleId="Style43" w:customStyle="1">
    <w:name w:val="Приложение к регламенту"/>
    <w:basedOn w:val="Normal"/>
    <w:qFormat/>
    <w:pPr>
      <w:jc w:val="right"/>
    </w:pPr>
    <w:rPr/>
  </w:style>
  <w:style w:type="paragraph" w:styleId="26">
    <w:name w:val="TOC 2"/>
    <w:basedOn w:val="Normal"/>
    <w:next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9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4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tyle45">
    <w:name w:val="Subtitle"/>
    <w:basedOn w:val="Normal"/>
    <w:next w:val="Normal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Style46">
    <w:name w:val="Index Heading"/>
    <w:basedOn w:val="Style27"/>
    <w:pPr/>
    <w:rPr/>
  </w:style>
  <w:style w:type="paragraph" w:styleId="TOCHeading">
    <w:name w:val="TOC Heading"/>
    <w:basedOn w:val="1"/>
    <w:next w:val="Normal"/>
    <w:uiPriority w:val="39"/>
    <w:qFormat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pPr/>
    <w:rPr>
      <w:rFonts w:eastAsia="Calibri"/>
      <w:sz w:val="24"/>
      <w:szCs w:val="24"/>
    </w:rPr>
  </w:style>
  <w:style w:type="paragraph" w:styleId="Style4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pPr>
      <w:numPr>
        <w:ilvl w:val="0"/>
        <w:numId w:val="3"/>
      </w:numPr>
      <w:jc w:val="both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5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1" w:customStyle="1">
    <w:name w:val="Подподпункт"/>
    <w:basedOn w:val="Style41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52" w:customStyle="1">
    <w:name w:val="УРОВЕНЬ_(а)"/>
    <w:basedOn w:val="ListParagraph"/>
    <w:qFormat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3" w:customStyle="1">
    <w:name w:val="УРОВЕНЬ_-"/>
    <w:basedOn w:val="ListParagraph"/>
    <w:qFormat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2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4" w:customStyle="1">
    <w:name w:val="УРОВЕНЬ_Подпись"/>
    <w:basedOn w:val="ListParagraph"/>
    <w:qFormat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1" w:customStyle="1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Style55">
    <w:name w:val="Endnote Text"/>
    <w:basedOn w:val="Normal"/>
    <w:pPr/>
    <w:rPr>
      <w:sz w:val="20"/>
      <w:szCs w:val="20"/>
    </w:rPr>
  </w:style>
  <w:style w:type="paragraph" w:styleId="210" w:customStyle="1">
    <w:name w:val="Заголовок 2 КВВ"/>
    <w:basedOn w:val="Normal"/>
    <w:qFormat/>
    <w:pPr>
      <w:keepNext w:val="true"/>
      <w:spacing w:before="120" w:after="120"/>
      <w:jc w:val="both"/>
      <w:outlineLvl w:val="0"/>
    </w:pPr>
    <w:rPr>
      <w:b/>
      <w:sz w:val="24"/>
      <w:szCs w:val="20"/>
    </w:rPr>
  </w:style>
  <w:style w:type="paragraph" w:styleId="Style56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12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7" w:customStyle="1">
    <w:name w:val="Содержимое врезки"/>
    <w:basedOn w:val="Normal"/>
    <w:qFormat/>
    <w:pPr/>
    <w:rPr/>
  </w:style>
  <w:style w:type="paragraph" w:styleId="Style58">
    <w:name w:val="Содержимое таблицы"/>
    <w:basedOn w:val="Normal"/>
    <w:qFormat/>
    <w:pPr>
      <w:widowControl w:val="false"/>
      <w:suppressLineNumbers/>
    </w:pPr>
    <w:rPr/>
  </w:style>
  <w:style w:type="paragraph" w:styleId="Style59">
    <w:name w:val="Заголовок таблицы"/>
    <w:basedOn w:val="Style5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</w:style>
  <w:style w:type="numbering" w:styleId="211" w:customStyle="1">
    <w:name w:val="Стиль2"/>
    <w:uiPriority w:val="99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-21">
    <w:name w:val="Таблица-сетка 21"/>
    <w:basedOn w:val="a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-410">
    <w:name w:val="Список-таблица 41"/>
    <w:basedOn w:val="a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f9">
    <w:name w:val="Table Grid"/>
    <w:basedOn w:val="a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d">
    <w:name w:val="Сетка таблицы1"/>
    <w:basedOn w:val="a5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https://docs.cntd.ru/document/1200164120" TargetMode="Externa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Application>LibreOffice/7.1.8.1$Linux_X86_64 LibreOffice_project/10$Build-1</Application>
  <AppVersion>15.0000</AppVersion>
  <Pages>5</Pages>
  <Words>563</Words>
  <Characters>3668</Characters>
  <CharactersWithSpaces>4115</CharactersWithSpaces>
  <Paragraphs>151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2025-09-26T13:22:00Z</dcterms:created>
  <dc:creator>Быстров Олег Геннадьевич</dc:creator>
  <dc:description/>
  <dc:language>ru-RU</dc:language>
  <cp:lastModifiedBy/>
  <dcterms:modified xsi:type="dcterms:W3CDTF">2026-05-06T11:09:21Z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