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Запрос технико-коммерческих предложений в рамках Упрощенной закупки в электронной форме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  <w:t>по лоту № 04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57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ОКПД 2. 26.51.52.110. Поставка электромагнитных измерителей расхода воды (2 шт.) для строительства физической модели №7 верхнего водоприемника туннеля ТВВУ1 Рогунской ГЭС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«Всероссийский научно-исследовательский институт гидротехники имени Б.Е. Веденеева»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исполнителей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рамках упрощенной закупки в электронной форме на право заключения договора по лоту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-ОСН ПРОД ДОХ-2026-ВНИИГ ОКПД 2. 26.51.52.110. Поставка электромагнитных измерителей расхода воды (2 шт.) для строительства физической модели №7 верхнего водоприемника туннеля ТВВУ1 Рогунской ГЭС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оказыва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емым услугам (в том числе, сведения об объеме, месте, сроках оказания услуг) при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ведены в приложении 1 к настоящему запросу; проекте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Начальная (максимальная) цена договора:</w:t>
      </w:r>
    </w:p>
    <w:p>
      <w:pPr>
        <w:pStyle w:val="Normal"/>
        <w:spacing w:lineRule="auto" w:line="240" w:before="120" w:after="0"/>
        <w:ind w:firstLine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lang w:eastAsia="ru-RU"/>
        </w:rPr>
        <w:t>881 200,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lang w:eastAsia="ru-RU"/>
        </w:rPr>
        <w:t>00</w:t>
      </w:r>
      <w:r>
        <w:rPr>
          <w:rFonts w:ascii="Times New Roman" w:hAnsi="Times New Roman"/>
          <w:b/>
          <w:bCs/>
          <w:i w:val="false"/>
          <w:iCs w:val="false"/>
          <w:color w:val="000000" w:themeColor="text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руб. бе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 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НДС.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исполнителя, с 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оказания услуг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оказания услуг в требуемом объема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оказания услуг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</w:p>
    <w:p>
      <w:pPr>
        <w:pStyle w:val="Normal"/>
        <w:spacing w:lineRule="auto" w:line="240" w:before="120" w:after="0"/>
        <w:ind w:left="567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начала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мая 2026 г.  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и время окончания срока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мая 2026 г.  в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ч. 00 мин.  (по московскому времени)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окончания рассмотрения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мая 2026 г.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подведения итогов закупки: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мая 2026 г.</w:t>
      </w:r>
    </w:p>
    <w:p>
      <w:pPr>
        <w:pStyle w:val="Normal"/>
        <w:spacing w:lineRule="auto" w:line="240" w:before="120" w:after="0"/>
        <w:ind w:left="113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(в том числе, сведения об объеме, сроках выполняемых работ);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Проект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договора (в том числе, условия оплаты и гарантийных обязательств).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ТКП для заполнения Участниками упрощенной закупки.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FootnoteText">
    <w:name w:val="Footnote Text"/>
    <w:basedOn w:val="Normal"/>
    <w:semiHidden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AlterOffice/2025.3.1.0$Linux_X86_64 LibreOffice_project/431cd1b79110582f53535c95ed0a2449aadc8bf9</Application>
  <AppVersion>15.0000</AppVersion>
  <Pages>2</Pages>
  <Words>518</Words>
  <Characters>3511</Characters>
  <CharactersWithSpaces>3984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2023-09-08T13:29:00Z</dcterms:created>
  <dc:creator>Иванова Вероника Сергеевна</dc:creator>
  <dc:description/>
  <dc:language>ru-RU</dc:language>
  <cp:lastModifiedBy>melnikovaod</cp:lastModifiedBy>
  <dcterms:modified xsi:type="dcterms:W3CDTF">2026-05-08T10:40:58Z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