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 w:left="0" w:right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ab/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center"/>
        <w:outlineLvl w:val="1"/>
        <w:rPr/>
      </w:pPr>
      <w:r>
        <w:rPr>
          <w:rStyle w:val="Strong1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ОКПД 2: 27.20.23.190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>П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оставка аккумуляторных батарей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 для нужд Кубанского филиала. 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64" w:before="0" w:after="0"/>
        <w:ind w:firstLine="851" w:left="0" w:right="0"/>
        <w:jc w:val="center"/>
        <w:outlineLvl w:val="1"/>
        <w:rPr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продукции…………………………………………………………………….5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закупки...…………………………….7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51339692"/>
      <w:bookmarkStart w:id="2" w:name="_Toc125476050"/>
      <w:bookmarkStart w:id="3" w:name="_Toc125473240"/>
      <w:bookmarkStart w:id="4" w:name="_Toc75446566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5" w:name="_Toc125473241"/>
      <w:bookmarkStart w:id="6" w:name="_Toc12547605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both"/>
        <w:outlineLvl w:val="1"/>
        <w:rPr/>
      </w:pPr>
      <w:r>
        <w:rPr>
          <w:rStyle w:val="Strong1"/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lang w:val="ru-RU" w:eastAsia="ru-RU" w:bidi="ar-SA"/>
        </w:rPr>
        <w:t xml:space="preserve">ОКПД 2: 27.20.23.190 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eastAsia="ru-RU"/>
        </w:rPr>
        <w:t>П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  <w:t>оставка аккумуляторных батарей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для нужд Кубанского филиала </w:t>
      </w:r>
      <w:r>
        <w:rPr>
          <w:rFonts w:cs="Times New Roman" w:ascii="Times New Roman" w:hAnsi="Times New Roman"/>
          <w:sz w:val="24"/>
          <w:szCs w:val="24"/>
        </w:rPr>
        <w:t>(далее продукция).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Исполнение обязательств по договору подряда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>№ 1210-153-2024/3-ТПиР-БЕЗ-2024-ККГЭС от 07.06.2024 М</w:t>
      </w:r>
      <w:r>
        <w:rPr>
          <w:rFonts w:eastAsia="Times New Roman" w:cs="Times New Roman" w:ascii="Times New Roman" w:hAnsi="Times New Roman"/>
          <w:bCs/>
          <w:i w:val="false"/>
          <w:iCs w:val="false"/>
          <w:color w:val="000000"/>
          <w:sz w:val="24"/>
          <w:szCs w:val="24"/>
          <w:shd w:fill="FFFFFF" w:val="clear"/>
          <w:lang w:eastAsia="ru-RU"/>
        </w:rPr>
        <w:t>онтаж и наладка оборудования систем оперативной радиосвязи, оповещения, охранного телевидения, охранно-тревожной сигнализации, контроля и управления доступом, сбора и обработки информации объектов в административном здании в г. Невинномысск, ГЭС-1, ГЭС-2, ГЭС-3, ГЭС-4, Егорлыкской ГЭС, Егорлыкской ГЭС-2, Свистухинской ГЭС, монтажу ограждений площадки ОРУ-330 кВ и плотины выравнивающего водохранилища ГЭС-2, плотины выравнивающего водохранилища ГЭС-3, плотины Егорлыкского водохранилища, в рамках выполнения инвестиционного проекта K_T-1210-042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 xml:space="preserve">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заключенного между ПАО РусГидро «Федеральная гидрогенерирующая компания –РусГидро» и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 w:right="0"/>
        <w:jc w:val="center"/>
        <w:outlineLvl w:val="0"/>
        <w:rPr>
          <w:sz w:val="24"/>
          <w:szCs w:val="24"/>
        </w:rPr>
      </w:pPr>
      <w:bookmarkStart w:id="9" w:name="_Toc125476056"/>
      <w:bookmarkStart w:id="10" w:name="_Toc125473249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75446573"/>
      <w:bookmarkStart w:id="12" w:name="_Toc5133969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17" w:right="0"/>
        <w:jc w:val="center"/>
        <w:outlineLvl w:val="0"/>
        <w:rPr>
          <w:rFonts w:ascii="Times New Roman" w:hAnsi="Times New Roman" w:cs="Times New Roman"/>
          <w:b/>
          <w:iCs/>
          <w:lang w:eastAsia="x-none"/>
        </w:rPr>
      </w:pPr>
      <w:r>
        <w:rPr>
          <w:rFonts w:cs="Times New Roman" w:ascii="Times New Roman" w:hAnsi="Times New Roman"/>
          <w:b/>
          <w:iCs/>
          <w:lang w:eastAsia="x-none"/>
        </w:rPr>
      </w:r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hanging="567" w:left="567" w:right="0"/>
        <w:outlineLvl w:val="3"/>
        <w:rPr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 w:right="0"/>
        <w:outlineLvl w:val="2"/>
        <w:rPr>
          <w:sz w:val="24"/>
          <w:szCs w:val="24"/>
        </w:rPr>
      </w:pPr>
      <w:bookmarkStart w:id="14" w:name="_Toc75446575"/>
      <w:bookmarkStart w:id="15" w:name="_Toc125476057"/>
      <w:bookmarkStart w:id="16" w:name="_Toc125473250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17" w:name="_Toc75446576"/>
      <w:bookmarkStart w:id="18" w:name="_Toc125476058"/>
      <w:bookmarkStart w:id="19" w:name="_Toc125473251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530"/>
        <w:gridCol w:w="1350"/>
        <w:gridCol w:w="1482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Батарея аккумуляторная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>
        <w:trPr>
          <w:trHeight w:val="425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Батарея аккумуляторная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</w:tr>
      <w:tr>
        <w:trPr>
          <w:trHeight w:val="425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Батарея аккумуляторная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>
          <w:trHeight w:val="425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color w:val="auto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Style w:val="Strong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Батарея аккумуляторная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21" w:name="_Toc125476060"/>
      <w:bookmarkStart w:id="22" w:name="_Toc75446579"/>
      <w:bookmarkStart w:id="23" w:name="_Toc125473253"/>
      <w:bookmarkStart w:id="24" w:name="_Toc51339697"/>
      <w:bookmarkStart w:id="25" w:name="_Toc5012512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50"/>
        <w:gridCol w:w="2240"/>
        <w:gridCol w:w="3556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 xml:space="preserve">ОКПД 2: 27.20.23.190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П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FF" w:val="clear"/>
                <w:lang w:eastAsia="ru-RU"/>
              </w:rPr>
              <w:t>оставка аккумуляторных батарей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для нужд Кубанского филиала.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(в соответствии с Таблица 1.1 Перечень объемов закупаемой продукции)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45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61440"/>
        </w:sectPr>
      </w:pP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27" w:name="_Toc125476061_Копия_1_Копия_1_Копия_1_Ко"/>
      <w:bookmarkStart w:id="28" w:name="_Toc125473255_Копия_1_Копия_1_Копия_1_Ко"/>
      <w:bookmarkEnd w:id="27"/>
      <w:bookmarkEnd w:id="28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                    </w:t>
      </w:r>
      <w:bookmarkStart w:id="29" w:name="_Toc125473256_Копия_1"/>
      <w:bookmarkStart w:id="30" w:name="_Toc125476062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29"/>
      <w:bookmarkEnd w:id="30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91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>Наименование продукции: согласно Таблицы 1.1 Перечень и объем закупаемой продукции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.</w:t>
      </w:r>
    </w:p>
    <w:tbl>
      <w:tblPr>
        <w:tblW w:w="1467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4078"/>
        <w:gridCol w:w="3512"/>
        <w:gridCol w:w="2447"/>
        <w:gridCol w:w="1979"/>
        <w:gridCol w:w="1798"/>
      </w:tblGrid>
      <w:tr>
        <w:trPr>
          <w:trHeight w:val="675" w:hRule="atLeast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п/п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Наименование параметра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Требование заказчика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8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5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4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5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6</w:t>
            </w:r>
          </w:p>
        </w:tc>
      </w:tr>
      <w:tr>
        <w:trPr>
          <w:trHeight w:val="95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47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Батарея аккумуляторная 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638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Напряжение, В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66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1.1.2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Емкость, Ач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Не менее 17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302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1.1.3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вывода(штекер)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ПБ-М5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53" w:hRule="atLeast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1.1.4</w:t>
            </w:r>
          </w:p>
        </w:tc>
        <w:tc>
          <w:tcPr>
            <w:tcW w:w="4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Напряжение непрерывного подзаряда, В/блок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Не менее 13,6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53" w:hRule="atLeast"/>
        </w:trPr>
        <w:tc>
          <w:tcPr>
            <w:tcW w:w="8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lang w:eastAsia="ru-RU"/>
              </w:rPr>
              <w:t>Не более 13,8</w:t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62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Полярность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Обратная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08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Максимальный зарядный ток, А 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более 5,1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08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1.1.7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Производитель / марка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pacing w:before="0" w:after="160"/>
              <w:ind w:hanging="0" w:lef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Delta / </w:t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DTM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85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Батарея аккумуляторная 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67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Напряжение, В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43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1.2.2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Емкость, Ач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7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27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1.2.3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зарядный ток, 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2.1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12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1.2.4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клемм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 1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1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1.2.5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Полярность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Прямая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1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1.2.6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Производитель / марка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pacing w:before="0" w:after="160"/>
              <w:ind w:hanging="0" w:lef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Delta / </w:t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DTM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42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 xml:space="preserve">Батарея аккумуляторная 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Напряжение, В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1.3.2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Емкость, Ач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менее 40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1.3.3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зарядный ток, 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более 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1.3.4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клемм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под болт М6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1.3.5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Производитель / марка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pacing w:before="0" w:after="160"/>
              <w:ind w:hanging="0" w:lef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Delta / </w:t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DTM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 xml:space="preserve">Батарея аккумуляторная 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Напряжение, В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1.4.2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Емкость, Ач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Не менее 26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1.4.3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зарядный ток, 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более 7,8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Указание характеристик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1.4.4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клемм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под болт M5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1.4.5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Производитель / марка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spacing w:before="0" w:after="160"/>
              <w:ind w:hanging="0" w:lef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Delta / </w:t>
            </w: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DTM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Cs w:val="false"/>
                <w:strike w:val="false"/>
                <w:dstrike w:val="false"/>
                <w:outline w:val="false"/>
                <w:shadow w:val="false"/>
                <w:u w:val="none"/>
                <w:shd w:fill="auto" w:val="clear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>
        <w:trPr>
          <w:trHeight w:val="177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Гарантия, не менее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12 (двенадцать) месяцев,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/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2.2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Согласие с требованием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r>
          </w:p>
        </w:tc>
      </w:tr>
      <w:tr>
        <w:trPr>
          <w:trHeight w:val="787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>
          <w:trHeight w:val="48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Паспорт качества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 экземпляра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Согласие с требованием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-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3.2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Сертификат соответствия (декларация соответствия)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 экземпляра</w:t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3.3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Сертификат страны происхождения (РФ)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 экземпляра</w:t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3.4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Упаковочный лист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 шт.</w:t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19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Согласие с требованием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116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4.1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Место поставки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 xml:space="preserve">Кубанский филиал АО «Гидроремонт – ВКК» в г. Невинномысск, Ставропольский край, Кочубеевский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р-н, с.Кочубеевское, АВТОДОРОГА «КАВКАЗ» 246КМ+1200М (СПРАВА) в рабочие дни:с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4.2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Условия поставки за счет средств Поставщика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Согласие с требованием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4.3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Продукция должна быть новой, не бывшей в употреблении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Согласие с требованием</w:t>
            </w:r>
          </w:p>
        </w:tc>
        <w:tc>
          <w:tcPr>
            <w:tcW w:w="19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suppressLineNumbers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4.5</w:t>
            </w:r>
          </w:p>
        </w:tc>
        <w:tc>
          <w:tcPr>
            <w:tcW w:w="75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59" w:before="0" w:after="200"/>
              <w:ind w:hanging="0" w:left="57" w:right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Доставка оборудования должна соответствовать установленным требованиям.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7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BodyText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>Требования</w:t>
      </w:r>
      <w:bookmarkStart w:id="31" w:name="_Toc125485145"/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 xml:space="preserve"> к документации по ценообразованию на этапе закупки.</w:t>
      </w:r>
      <w:bookmarkEnd w:id="31"/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bidi w:val="0"/>
        <w:spacing w:lineRule="auto" w:line="240" w:before="60" w:after="0"/>
        <w:ind w:hanging="0" w:left="72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3.1.В обоснование стоимости своей заявки Участник предоставляет Коммерческое предложение.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3.2. Дополнительные документы по ценообразованию в состав заявки не включаются.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false"/>
        <w:bidi w:val="0"/>
        <w:spacing w:lineRule="auto" w:line="240" w:before="60" w:after="0"/>
        <w:ind w:hanging="0" w:left="1247" w:right="0"/>
        <w:contextualSpacing/>
        <w:jc w:val="center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454" w:right="454" w:gutter="0" w:header="0" w:top="450" w:footer="0" w:bottom="624"/>
      <w:pgNumType w:fmt="decimal"/>
      <w:formProt w:val="false"/>
      <w:textDirection w:val="lrTb"/>
      <w:docGrid w:type="default" w:linePitch="360" w:charSpace="6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7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5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>
    <w:name w:val="Нижний колонтитул Знак1"/>
    <w:basedOn w:val="DefaultParagraphFont"/>
    <w:qFormat/>
    <w:rPr/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Linenumber">
    <w:name w:val="line number"/>
    <w:qFormat/>
    <w:rPr/>
  </w:style>
  <w:style w:type="character" w:styleId="Style7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 w:right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 w:right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4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numbering" w:styleId="123">
    <w:name w:val="Нумерованный 123"/>
    <w:qFormat/>
  </w:style>
  <w:style w:type="numbering" w:styleId="9124036821">
    <w:name w:val="9124036821"/>
    <w:qFormat/>
  </w:style>
  <w:style w:type="numbering" w:styleId="26549995371">
    <w:name w:val="26549995371"/>
    <w:qFormat/>
  </w:style>
  <w:style w:type="numbering" w:styleId="8885772351">
    <w:name w:val="88857723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18932</TotalTime>
  <Application>AlterOffice/2026.1.0.0$Linux_X86_64 LibreOffice_project/a0185688e0f3f228c7940c57a96eaa0ebba58757</Application>
  <AppVersion>15.0000</AppVersion>
  <Pages>3</Pages>
  <Words>900</Words>
  <Characters>6087</Characters>
  <CharactersWithSpaces>6767</CharactersWithSpaces>
  <Paragraphs>271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2024-11-20T06:48:00Z</dcterms:created>
  <dc:creator>Бухарев Сергей Викторович</dc:creator>
  <dc:description/>
  <dc:language>ru-RU</dc:language>
  <cp:lastModifiedBy>kladkovayann@corp.gidroogk.com</cp:lastModifiedBy>
  <cp:lastPrinted>2025-08-04T09:31:05Z</cp:lastPrinted>
  <dcterms:modified xsi:type="dcterms:W3CDTF">2026-05-08T11:39:11Z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