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 №_______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10200" w:leader="none"/>
        </w:tabs>
        <w:rPr>
          <w:bCs/>
          <w:sz w:val="24"/>
          <w:szCs w:val="24"/>
        </w:rPr>
      </w:pPr>
      <w:r>
        <w:rPr>
          <w:bCs/>
          <w:sz w:val="24"/>
          <w:szCs w:val="24"/>
        </w:rPr>
        <w:t>г. Хабаровск</w:t>
        <w:tab/>
        <w:t xml:space="preserve">   «___» _________ 20__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widowControl/>
        <w:ind w:firstLine="709"/>
        <w:jc w:val="both"/>
        <w:rPr>
          <w:bCs/>
          <w:sz w:val="24"/>
          <w:szCs w:val="24"/>
          <w:lang w:eastAsia="x-none"/>
        </w:rPr>
      </w:pPr>
      <w:r>
        <w:rPr>
          <w:b/>
          <w:bCs/>
          <w:sz w:val="24"/>
          <w:szCs w:val="24"/>
          <w:lang w:eastAsia="x-none"/>
        </w:rPr>
        <w:t>Акционерное общество «Сервисная Компания РусГидро»</w:t>
      </w:r>
      <w:r>
        <w:rPr>
          <w:bCs/>
          <w:sz w:val="24"/>
          <w:szCs w:val="24"/>
          <w:lang w:eastAsia="x-none"/>
        </w:rPr>
        <w:t xml:space="preserve"> </w:t>
      </w:r>
      <w:r>
        <w:rPr>
          <w:b/>
          <w:bCs/>
          <w:sz w:val="24"/>
          <w:szCs w:val="24"/>
          <w:lang w:eastAsia="x-none"/>
        </w:rPr>
        <w:t xml:space="preserve">(АО «СК РусГидро») </w:t>
      </w:r>
      <w:r>
        <w:rPr>
          <w:bCs/>
          <w:sz w:val="24"/>
          <w:szCs w:val="24"/>
          <w:lang w:eastAsia="x-none"/>
        </w:rPr>
        <w:t xml:space="preserve">именуемое в дальнейшем </w:t>
      </w:r>
      <w:r>
        <w:rPr>
          <w:b/>
          <w:bCs/>
          <w:sz w:val="24"/>
          <w:szCs w:val="24"/>
          <w:lang w:eastAsia="x-none"/>
        </w:rPr>
        <w:t>«Покупатель»</w:t>
      </w:r>
      <w:r>
        <w:rPr>
          <w:bCs/>
          <w:sz w:val="24"/>
          <w:szCs w:val="24"/>
          <w:lang w:eastAsia="x-none"/>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г., с одной стороны, и </w:t>
      </w:r>
      <w:r>
        <w:rPr>
          <w:b/>
          <w:sz w:val="24"/>
          <w:szCs w:val="24"/>
          <w:lang w:eastAsia="x-none"/>
        </w:rPr>
        <w:t>____________________________________________________________________________________</w:t>
      </w:r>
      <w:r>
        <w:rPr>
          <w:bCs/>
          <w:sz w:val="24"/>
          <w:szCs w:val="24"/>
          <w:lang w:eastAsia="x-none"/>
        </w:rPr>
        <w:t xml:space="preserve">, именуемый в дальнейшем </w:t>
      </w:r>
      <w:r>
        <w:rPr>
          <w:b/>
          <w:sz w:val="24"/>
          <w:szCs w:val="24"/>
          <w:lang w:eastAsia="x-none"/>
        </w:rPr>
        <w:t>«Поставщик»</w:t>
      </w:r>
      <w:r>
        <w:rPr>
          <w:bCs/>
          <w:sz w:val="24"/>
          <w:szCs w:val="24"/>
          <w:lang w:eastAsia="x-none"/>
        </w:rPr>
        <w:t xml:space="preserve">, в лице ________________________ действующего на основании _______________________________, с другой стороны, совместно далее именуемые - </w:t>
      </w:r>
      <w:r>
        <w:rPr>
          <w:b/>
          <w:sz w:val="24"/>
          <w:szCs w:val="24"/>
          <w:lang w:eastAsia="x-none"/>
        </w:rPr>
        <w:t>«Стороны»</w:t>
      </w:r>
      <w:r>
        <w:rPr>
          <w:bCs/>
          <w:sz w:val="24"/>
          <w:szCs w:val="24"/>
          <w:lang w:eastAsia="x-none"/>
        </w:rPr>
        <w:t xml:space="preserve">, а по отдельности – </w:t>
      </w:r>
      <w:r>
        <w:rPr>
          <w:b/>
          <w:sz w:val="24"/>
          <w:szCs w:val="24"/>
          <w:lang w:eastAsia="x-none"/>
        </w:rPr>
        <w:t>«Сторона»</w:t>
      </w:r>
      <w:r>
        <w:rPr>
          <w:bCs/>
          <w:sz w:val="24"/>
          <w:szCs w:val="24"/>
          <w:lang w:eastAsia="x-none"/>
        </w:rPr>
        <w:t>,  заключили настоящий Договор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w:t>
      </w:r>
      <w:r>
        <w:rPr>
          <w:rFonts w:ascii="Times New Roman" w:hAnsi="Times New Roman"/>
          <w:b w:val="false"/>
          <w:color w:val="auto"/>
          <w:sz w:val="24"/>
          <w:szCs w:val="24"/>
          <w:lang w:val="ru-RU" w:eastAsia="en-US"/>
        </w:rPr>
        <w:t>определяются</w:t>
      </w:r>
      <w:r>
        <w:rPr>
          <w:rFonts w:ascii="Times New Roman" w:hAnsi="Times New Roman"/>
          <w:b w:val="false"/>
          <w:color w:val="auto"/>
          <w:sz w:val="24"/>
          <w:szCs w:val="24"/>
          <w:lang w:eastAsia="en-US"/>
        </w:rPr>
        <w:t xml:space="preserve">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ListParagraph"/>
        <w:numPr>
          <w:ilvl w:val="1"/>
          <w:numId w:val="2"/>
        </w:numPr>
        <w:shd w:val="clear" w:color="auto" w:fill="FFFFFF"/>
        <w:ind w:left="0" w:firstLine="709"/>
        <w:jc w:val="both"/>
        <w:rPr>
          <w:b/>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гусеничную платформу с мульчером и шнекоротором</w:t>
      </w:r>
      <w:r>
        <w:rPr>
          <w:rFonts w:eastAsia="Calibri"/>
          <w:sz w:val="24"/>
          <w:szCs w:val="24"/>
          <w:lang w:eastAsia="x-none"/>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АО «СК РусГидро».</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осуществляется по адресу: 630056, Российская Федерация, г. Новосибирск, ул. Новоморская, д. 4.</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Начало – с даты направления заявки поставщику;</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Окончание – до 31.07.2026</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w:t>
      </w:r>
      <w:r>
        <w:rPr>
          <w:bCs/>
          <w:sz w:val="24"/>
          <w:szCs w:val="24"/>
        </w:rPr>
        <w:t>твердой</w:t>
      </w:r>
      <w:r>
        <w:rPr>
          <w:bCs/>
          <w:sz w:val="24"/>
          <w:szCs w:val="24"/>
        </w:rPr>
        <w:t xml:space="preserve"> и составляет </w:t>
      </w:r>
      <w:r>
        <w:rPr>
          <w:b/>
          <w:bCs/>
          <w:sz w:val="24"/>
          <w:szCs w:val="24"/>
        </w:rPr>
        <w:t>_______ (_______________) рублей ___ копеек,</w:t>
      </w:r>
      <w:r>
        <w:rPr>
          <w:bCs/>
          <w:sz w:val="24"/>
          <w:szCs w:val="24"/>
        </w:rPr>
        <w:t xml:space="preserve"> </w:t>
      </w:r>
      <w:r>
        <w:rPr>
          <w:bCs/>
          <w:sz w:val="24"/>
          <w:szCs w:val="24"/>
          <w:highlight w:val="lightGray"/>
        </w:rPr>
        <w:t>в соответствии с _____________________</w:t>
      </w:r>
      <w:r>
        <w:rPr>
          <w:bCs/>
          <w:i/>
          <w:iCs/>
          <w:sz w:val="24"/>
          <w:szCs w:val="24"/>
          <w:highlight w:val="lightGray"/>
        </w:rPr>
        <w:t xml:space="preserve">(указываются основания освобождения от НДС) </w:t>
      </w:r>
      <w:r>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Pr>
          <w:bCs/>
          <w:i/>
          <w:iCs/>
          <w:sz w:val="24"/>
          <w:szCs w:val="24"/>
          <w:highlight w:val="lightGray"/>
        </w:rPr>
        <w:t>(в случае уплаты НДС)</w:t>
      </w:r>
      <w:r>
        <w:rPr>
          <w:bCs/>
          <w:sz w:val="24"/>
          <w:szCs w:val="24"/>
          <w:highlight w:val="lightGray"/>
        </w:rPr>
        <w:t>.</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и/или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 xml:space="preserve">Оплата по Договору осуществляется Покупателем в течение </w:t>
      </w:r>
      <w:r>
        <w:rPr>
          <w:sz w:val="24"/>
          <w:szCs w:val="24"/>
          <w:highlight w:val="lightGray"/>
        </w:rPr>
        <w:t xml:space="preserve">7 (семи) рабочих дней </w:t>
      </w:r>
      <w:r>
        <w:rPr>
          <w:i/>
          <w:iCs/>
          <w:sz w:val="24"/>
          <w:szCs w:val="24"/>
          <w:highlight w:val="lightGray"/>
        </w:rPr>
        <w:t>(для МСП)</w:t>
      </w:r>
      <w:r>
        <w:rPr>
          <w:sz w:val="24"/>
          <w:szCs w:val="24"/>
          <w:highlight w:val="lightGray"/>
        </w:rPr>
        <w:t xml:space="preserve"> / 20 (двадцати) календарных дней </w:t>
      </w:r>
      <w:r>
        <w:rPr>
          <w:i/>
          <w:iCs/>
          <w:sz w:val="24"/>
          <w:szCs w:val="24"/>
          <w:highlight w:val="lightGray"/>
        </w:rPr>
        <w:t>(для не МСП)</w:t>
      </w:r>
      <w:r>
        <w:rPr>
          <w:sz w:val="24"/>
          <w:szCs w:val="24"/>
        </w:rPr>
        <w:t xml:space="preserve"> с даты подписания Сторонами Накладной ТОРГ-12</w:t>
      </w:r>
      <w:r>
        <w:rPr>
          <w:sz w:val="24"/>
          <w:szCs w:val="24"/>
          <w:shd w:fill="auto" w:val="clear"/>
        </w:rPr>
        <w:t>/УПД</w:t>
      </w:r>
      <w:r>
        <w:rPr>
          <w:sz w:val="24"/>
          <w:szCs w:val="24"/>
        </w:rPr>
        <w:t xml:space="preserve">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 xml:space="preserve">фактуры/УПД в течение 3 (трех) рабочих дней с даты получения соответствующего письменного требования Покупателя </w:t>
      </w:r>
      <w:r>
        <w:rPr>
          <w:i/>
          <w:iCs/>
          <w:sz w:val="24"/>
          <w:szCs w:val="24"/>
          <w:highlight w:val="lightGray"/>
        </w:rPr>
        <w:t>(если предусмотрен НДС)</w:t>
      </w:r>
      <w:r>
        <w:rPr>
          <w:sz w:val="24"/>
          <w:szCs w:val="24"/>
          <w:highlight w:val="lightGray"/>
        </w:rPr>
        <w:t>.</w:t>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15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2">
        <w:r>
          <w:rPr>
            <w:rStyle w:val="Hyperlink"/>
            <w:sz w:val="24"/>
            <w:szCs w:val="24"/>
            <w:lang w:val="en-US"/>
          </w:rPr>
          <w:t>ShubinVYu</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r>
        <w:rPr>
          <w:sz w:val="24"/>
          <w:szCs w:val="24"/>
        </w:rPr>
        <w:t xml:space="preserve">, </w:t>
      </w:r>
      <w:hyperlink r:id="rId3">
        <w:r>
          <w:rPr>
            <w:rStyle w:val="Hyperlink"/>
            <w:sz w:val="24"/>
            <w:szCs w:val="24"/>
            <w:lang w:val="en-US"/>
          </w:rPr>
          <w:t>AntonovPE</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r>
        <w:rPr>
          <w:sz w:val="24"/>
          <w:szCs w:val="24"/>
        </w:rPr>
        <w:t xml:space="preserve">, </w:t>
      </w:r>
      <w:hyperlink r:id="rId4">
        <w:r>
          <w:rPr>
            <w:rStyle w:val="Hyperlink"/>
            <w:sz w:val="24"/>
            <w:szCs w:val="24"/>
            <w:lang w:val="en-US"/>
          </w:rPr>
          <w:t>BaevaVV</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r>
        <w:rPr>
          <w:sz w:val="24"/>
          <w:szCs w:val="24"/>
        </w:rPr>
        <w:t xml:space="preserve">, </w:t>
      </w:r>
      <w:hyperlink r:id="rId5">
        <w:r>
          <w:rPr>
            <w:rStyle w:val="Hyperlink"/>
            <w:sz w:val="24"/>
            <w:szCs w:val="24"/>
            <w:lang w:val="en-US"/>
          </w:rPr>
          <w:t>BagryantsevEE</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r>
        <w:rPr>
          <w:sz w:val="24"/>
          <w:szCs w:val="24"/>
        </w:rPr>
        <w:t xml:space="preserve">, </w:t>
      </w:r>
      <w:hyperlink r:id="rId6">
        <w:r>
          <w:rPr>
            <w:rStyle w:val="Hyperlink"/>
            <w:sz w:val="24"/>
            <w:szCs w:val="24"/>
            <w:lang w:val="en-US"/>
          </w:rPr>
          <w:t>ShistopalIV</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r>
        <w:rPr>
          <w:sz w:val="24"/>
          <w:szCs w:val="24"/>
        </w:rPr>
        <w:t xml:space="preserve"> с последующим направлением письменного ответа по адресу, указанному в разделе 15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w:t>
      </w:r>
      <w:r>
        <w:rPr>
          <w:sz w:val="24"/>
          <w:szCs w:val="24"/>
          <w:shd w:fill="auto" w:val="clear"/>
        </w:rPr>
        <w:t>/УПД</w:t>
      </w:r>
      <w:r>
        <w:rPr>
          <w:sz w:val="24"/>
          <w:szCs w:val="24"/>
        </w:rPr>
        <w:t xml:space="preserve"> в 1 (одном)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br/>
        <w:t>ТОРГ-12</w:t>
      </w:r>
      <w:r>
        <w:rPr>
          <w:sz w:val="24"/>
          <w:szCs w:val="24"/>
          <w:shd w:fill="auto" w:val="clear"/>
        </w:rPr>
        <w:t>/УПД</w:t>
      </w:r>
      <w:r>
        <w:rPr>
          <w:sz w:val="24"/>
          <w:szCs w:val="24"/>
        </w:rPr>
        <w:t>.</w:t>
      </w:r>
      <w:bookmarkEnd w:id="1"/>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r>
        <w:rPr>
          <w:sz w:val="24"/>
          <w:szCs w:val="24"/>
          <w:shd w:fill="auto" w:val="clear"/>
        </w:rPr>
        <w:t>/УПД</w:t>
      </w:r>
      <w:r>
        <w:rPr>
          <w:sz w:val="24"/>
          <w:szCs w:val="24"/>
        </w:rPr>
        <w:t>.</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shd w:fill="auto" w:val="clear"/>
        </w:rPr>
        <w:t>/УПД</w:t>
      </w:r>
      <w:r>
        <w:rPr>
          <w:sz w:val="24"/>
          <w:szCs w:val="24"/>
        </w:rPr>
        <w:t>.</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rPr>
      </w:pPr>
      <w:r>
        <w:rPr>
          <w:b/>
          <w:sz w:val="24"/>
          <w:szCs w:val="24"/>
        </w:rPr>
        <w:t>Гарантийный срок</w:t>
      </w:r>
    </w:p>
    <w:p>
      <w:pPr>
        <w:pStyle w:val="ListParagraph"/>
        <w:numPr>
          <w:ilvl w:val="1"/>
          <w:numId w:val="2"/>
        </w:numPr>
        <w:tabs>
          <w:tab w:val="clear" w:pos="708"/>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Pr>
          <w:sz w:val="24"/>
          <w:szCs w:val="24"/>
          <w:shd w:fill="auto" w:val="clear"/>
        </w:rPr>
        <w:t>/УПД</w:t>
      </w:r>
      <w:r>
        <w:rPr>
          <w:sz w:val="24"/>
          <w:szCs w:val="24"/>
        </w:rPr>
        <w:t xml:space="preserve">.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штрафной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8"/>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счетов-фактур/УПД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предоставления счетов-фактур/УПД,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bCs/>
          <w:i/>
          <w:iCs/>
          <w:sz w:val="24"/>
          <w:szCs w:val="24"/>
          <w:highlight w:val="lightGray"/>
        </w:rPr>
        <w:t xml:space="preserve"> </w:t>
      </w:r>
      <w:r>
        <w:rPr>
          <w:bCs/>
          <w:i/>
          <w:iCs/>
          <w:sz w:val="24"/>
          <w:szCs w:val="24"/>
          <w:highlight w:val="lightGray"/>
          <w:lang w:val="en-GB"/>
        </w:rPr>
        <w:t>(</w:t>
      </w:r>
      <w:r>
        <w:rPr>
          <w:bCs/>
          <w:i/>
          <w:iCs/>
          <w:sz w:val="24"/>
          <w:szCs w:val="24"/>
          <w:highlight w:val="lightGray"/>
        </w:rPr>
        <w:t xml:space="preserve">если предусмотрен </w:t>
      </w:r>
      <w:r>
        <w:rPr>
          <w:bCs/>
          <w:i/>
          <w:iCs/>
          <w:sz w:val="24"/>
          <w:szCs w:val="24"/>
          <w:highlight w:val="lightGray"/>
          <w:lang w:val="en-GB"/>
        </w:rPr>
        <w:t>НДС)</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7">
        <w:r>
          <w:rPr>
            <w:rStyle w:val="Hyperlink"/>
            <w:bCs/>
            <w:color w:val="auto"/>
            <w:sz w:val="24"/>
            <w:szCs w:val="24"/>
          </w:rPr>
          <w:t>ld@rushydro.ru</w:t>
        </w:r>
      </w:hyperlink>
      <w:r>
        <w:rPr>
          <w:bCs/>
          <w:sz w:val="24"/>
          <w:szCs w:val="24"/>
        </w:rPr>
        <w:t>.</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bCs/>
            <w:sz w:val="24"/>
            <w:szCs w:val="24"/>
          </w:rPr>
          <w:t>№ 18162/09</w:t>
        </w:r>
      </w:hyperlink>
      <w:r>
        <w:rPr>
          <w:bCs/>
          <w:sz w:val="24"/>
          <w:szCs w:val="24"/>
        </w:rPr>
        <w:t xml:space="preserve"> </w:t>
        <w:br/>
        <w:t xml:space="preserve">и от 25.05.2010 </w:t>
      </w:r>
      <w:hyperlink r:id="rId9">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и/или </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xml:space="preserve">соответствующие </w:t>
      </w:r>
      <w:hyperlink r:id="rId10">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и/или нарушившим свои обязательства по Договору.</w:t>
      </w:r>
      <w:bookmarkEnd w:id="13"/>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8"/>
          <w:tab w:val="left" w:pos="1134"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w:t>
      </w:r>
      <w:r>
        <w:rPr>
          <w:sz w:val="24"/>
          <w:szCs w:val="24"/>
          <w:highlight w:val="lightGray"/>
        </w:rPr>
        <w:t>/ индивидуальным предпринимателем</w:t>
      </w:r>
      <w:r>
        <w:rPr>
          <w:sz w:val="24"/>
          <w:szCs w:val="24"/>
        </w:rPr>
        <w:t xml:space="preserve">, надлежащим образом учрежденным </w:t>
      </w:r>
      <w:r>
        <w:rPr>
          <w:sz w:val="24"/>
          <w:szCs w:val="24"/>
          <w:highlight w:val="lightGray"/>
        </w:rPr>
        <w:t>/ зарегистрированным</w:t>
      </w:r>
      <w:r>
        <w:rPr>
          <w:sz w:val="24"/>
          <w:szCs w:val="24"/>
        </w:rPr>
        <w:t xml:space="preserve">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60 (шестьдесят) календарных дней по причинам, не зависящим от Покупателя;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4"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4"/>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2"/>
        </w:numPr>
        <w:ind w:left="0" w:firstLine="709"/>
        <w:jc w:val="both"/>
        <w:rPr>
          <w:sz w:val="24"/>
          <w:szCs w:val="24"/>
        </w:rPr>
      </w:pPr>
      <w:r>
        <w:rPr>
          <w:bCs/>
          <w:sz w:val="24"/>
          <w:szCs w:val="24"/>
        </w:rPr>
        <w:t xml:space="preserve">По </w:t>
      </w:r>
      <w:bookmarkStart w:id="15"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5"/>
      <w:r>
        <w:rPr>
          <w:sz w:val="24"/>
          <w:szCs w:val="24"/>
        </w:rPr>
        <w:t>:</w:t>
      </w:r>
    </w:p>
    <w:p>
      <w:pPr>
        <w:pStyle w:val="ListParagraph"/>
        <w:numPr>
          <w:ilvl w:val="0"/>
          <w:numId w:val="14"/>
        </w:numPr>
        <w:tabs>
          <w:tab w:val="clear" w:pos="708"/>
          <w:tab w:val="left" w:pos="993" w:leader="none"/>
        </w:tabs>
        <w:ind w:left="0" w:firstLine="709"/>
        <w:jc w:val="both"/>
        <w:rPr>
          <w:sz w:val="24"/>
          <w:szCs w:val="24"/>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4"/>
        </w:numPr>
        <w:tabs>
          <w:tab w:val="clear" w:pos="708"/>
          <w:tab w:val="left" w:pos="993" w:leader="none"/>
        </w:tabs>
        <w:ind w:left="0" w:firstLine="709"/>
        <w:jc w:val="both"/>
        <w:rPr>
          <w:sz w:val="24"/>
          <w:szCs w:val="24"/>
        </w:rPr>
      </w:pPr>
      <w:bookmarkStart w:id="16"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6"/>
    </w:p>
    <w:p>
      <w:pPr>
        <w:pStyle w:val="ListParagraph"/>
        <w:numPr>
          <w:ilvl w:val="2"/>
          <w:numId w:val="2"/>
        </w:numPr>
        <w:ind w:left="0" w:firstLine="709"/>
        <w:jc w:val="both"/>
        <w:rPr>
          <w:sz w:val="24"/>
          <w:szCs w:val="24"/>
        </w:rPr>
      </w:pPr>
      <w:r>
        <w:rPr>
          <w:bCs/>
          <w:sz w:val="24"/>
          <w:szCs w:val="24"/>
        </w:rPr>
        <w:t xml:space="preserve">Посредством </w:t>
      </w:r>
      <w:bookmarkStart w:id="17"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7"/>
      <w:r>
        <w:rPr>
          <w:sz w:val="24"/>
          <w:szCs w:val="24"/>
        </w:rPr>
        <w:t>.</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18"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18"/>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highlight w:val="lightGray"/>
        </w:rPr>
      </w:pPr>
      <w:bookmarkStart w:id="19" w:name="_Hlk154477404"/>
      <w:bookmarkStart w:id="20"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0"/>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1"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1"/>
      <w:r>
        <w:rPr>
          <w:i/>
          <w:iCs/>
          <w:sz w:val="24"/>
          <w:szCs w:val="24"/>
          <w:highlight w:val="lightGray"/>
        </w:rPr>
        <w:t>(в случае заключения в электронной форме</w:t>
      </w:r>
      <w:bookmarkEnd w:id="19"/>
      <w:r>
        <w:rPr>
          <w:i/>
          <w:iCs/>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22"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22"/>
    </w:p>
    <w:p>
      <w:pPr>
        <w:pStyle w:val="Normal"/>
        <w:ind w:firstLine="709"/>
        <w:jc w:val="both"/>
        <w:rPr>
          <w:bCs/>
          <w:sz w:val="24"/>
          <w:szCs w:val="24"/>
        </w:rPr>
      </w:pPr>
      <w:r>
        <w:rPr>
          <w:bCs/>
          <w:sz w:val="24"/>
          <w:szCs w:val="24"/>
        </w:rPr>
        <w:t>Приложение № 3 </w:t>
      </w:r>
      <w:r>
        <w:rPr>
          <w:rFonts w:eastAsia="Calibri"/>
          <w:sz w:val="24"/>
          <w:szCs w:val="24"/>
          <w:lang w:eastAsia="en-US"/>
        </w:rPr>
        <w:t>–</w:t>
      </w:r>
      <w:r>
        <w:rPr>
          <w:bCs/>
          <w:sz w:val="24"/>
          <w:szCs w:val="24"/>
        </w:rPr>
        <w:t>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Normal"/>
        <w:rPr>
          <w:sz w:val="24"/>
          <w:szCs w:val="24"/>
        </w:rPr>
      </w:pPr>
      <w:r>
        <w:rPr>
          <w:sz w:val="24"/>
          <w:szCs w:val="24"/>
        </w:rPr>
      </w:r>
    </w:p>
    <w:tbl>
      <w:tblPr>
        <w:tblStyle w:val="affe"/>
        <w:tblW w:w="1019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97"/>
        <w:gridCol w:w="5097"/>
      </w:tblGrid>
      <w:tr>
        <w:trPr/>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ПОКУПАТЕЛЬ:</w:t>
            </w:r>
          </w:p>
        </w:tc>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ПОСТАВЩИК:</w:t>
            </w:r>
          </w:p>
        </w:tc>
      </w:tr>
      <w:tr>
        <w:trPr/>
        <w:tc>
          <w:tcPr>
            <w:tcW w:w="5097"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sz w:val="24"/>
                <w:szCs w:val="24"/>
              </w:rPr>
            </w:pPr>
            <w:r>
              <w:rPr>
                <w:rFonts w:eastAsia="Times New Roman" w:cs="Times New Roman"/>
                <w:b/>
                <w:kern w:val="0"/>
                <w:sz w:val="24"/>
                <w:szCs w:val="24"/>
                <w:lang w:val="ru-RU" w:eastAsia="ru-RU" w:bidi="ar-SA"/>
              </w:rPr>
              <w:t>Акционерное общество «</w:t>
            </w:r>
            <w:r>
              <w:rPr>
                <w:rFonts w:eastAsia="Times New Roman" w:cs="Times New Roman"/>
                <w:b/>
                <w:bCs/>
                <w:kern w:val="0"/>
                <w:sz w:val="24"/>
                <w:szCs w:val="24"/>
                <w:lang w:val="ru-RU" w:eastAsia="ru-RU" w:bidi="ar-SA"/>
              </w:rPr>
              <w:t>Сервисная Компания РусГидро</w:t>
            </w:r>
            <w:r>
              <w:rPr>
                <w:rFonts w:eastAsia="Times New Roman" w:cs="Times New Roman"/>
                <w:b/>
                <w:kern w:val="0"/>
                <w:sz w:val="24"/>
                <w:szCs w:val="24"/>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sz w:val="24"/>
                <w:szCs w:val="24"/>
              </w:rPr>
            </w:pPr>
            <w:r>
              <w:rPr>
                <w:rFonts w:eastAsia="Times New Roman" w:cs="Times New Roman"/>
                <w:b/>
                <w:kern w:val="0"/>
                <w:sz w:val="24"/>
                <w:szCs w:val="24"/>
                <w:lang w:val="ru-RU" w:eastAsia="ru-RU" w:bidi="ar-SA"/>
              </w:rPr>
              <w:t>(</w:t>
            </w:r>
            <w:r>
              <w:rPr>
                <w:rFonts w:eastAsia="Times New Roman" w:cs="Times New Roman"/>
                <w:b/>
                <w:bCs/>
                <w:kern w:val="0"/>
                <w:sz w:val="24"/>
                <w:szCs w:val="24"/>
                <w:lang w:val="ru-RU" w:eastAsia="ru-RU" w:bidi="ar-SA"/>
              </w:rPr>
              <w:t>АО «СК РусГидро»</w:t>
            </w:r>
            <w:r>
              <w:rPr>
                <w:rFonts w:eastAsia="Times New Roman" w:cs="Times New Roman"/>
                <w:b/>
                <w:kern w:val="0"/>
                <w:sz w:val="24"/>
                <w:szCs w:val="24"/>
                <w:lang w:val="ru-RU" w:eastAsia="ru-RU" w:bidi="ar-SA"/>
              </w:rPr>
              <w:t>)</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ул. Тургенева, дом 80, этаж 2, помещ. </w:t>
            </w:r>
            <w:r>
              <w:rPr>
                <w:rFonts w:eastAsia="Times New Roman" w:cs="Times New Roman"/>
                <w:kern w:val="0"/>
                <w:sz w:val="24"/>
                <w:szCs w:val="24"/>
                <w:lang w:val="en-US" w:eastAsia="ru-RU" w:bidi="ar-SA"/>
              </w:rPr>
              <w:t>II</w:t>
            </w:r>
            <w:r>
              <w:rPr>
                <w:rFonts w:eastAsia="Times New Roman" w:cs="Times New Roman"/>
                <w:kern w:val="0"/>
                <w:sz w:val="24"/>
                <w:szCs w:val="24"/>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 xml:space="preserve">Филиал Банка ВТБ (ПАО) в г. Хабаровске </w:t>
            </w:r>
          </w:p>
          <w:p>
            <w:pPr>
              <w:pStyle w:val="Normal"/>
              <w:widowControl w:val="false"/>
              <w:tabs>
                <w:tab w:val="clear" w:pos="708"/>
                <w:tab w:val="left" w:pos="851" w:leader="none"/>
              </w:tabs>
              <w:suppressAutoHyphens w:val="true"/>
              <w:spacing w:before="0" w:after="0"/>
              <w:contextualSpacing/>
              <w:jc w:val="both"/>
              <w:rPr>
                <w:sz w:val="24"/>
                <w:szCs w:val="24"/>
              </w:rPr>
            </w:pPr>
            <w:r>
              <w:rPr>
                <w:rFonts w:eastAsia="Times New Roman" w:cs="Times New Roman"/>
                <w:kern w:val="0"/>
                <w:sz w:val="24"/>
                <w:szCs w:val="24"/>
                <w:lang w:val="ru-RU" w:eastAsia="ru-RU" w:bidi="ar-SA"/>
              </w:rPr>
              <w:t>к/с 30101810400000000727</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color w:val="000000"/>
                <w:kern w:val="0"/>
                <w:sz w:val="24"/>
                <w:szCs w:val="24"/>
                <w:lang w:val="en-US" w:eastAsia="ru-RU" w:bidi="ar-SA"/>
              </w:rPr>
              <w:t>E</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US" w:eastAsia="ru-RU" w:bidi="ar-SA"/>
              </w:rPr>
              <w:t>mail</w:t>
            </w:r>
            <w:r>
              <w:rPr>
                <w:rFonts w:eastAsia="Times New Roman" w:cs="Times New Roman"/>
                <w:color w:val="000000"/>
                <w:kern w:val="0"/>
                <w:sz w:val="24"/>
                <w:szCs w:val="24"/>
                <w:lang w:val="ru-RU" w:eastAsia="ru-RU" w:bidi="ar-SA"/>
              </w:rPr>
              <w:t xml:space="preserve">: </w:t>
            </w:r>
            <w:r>
              <w:rPr>
                <w:rFonts w:eastAsia="Times New Roman" w:cs="Times New Roman"/>
                <w:color w:val="000000"/>
                <w:kern w:val="0"/>
                <w:sz w:val="24"/>
                <w:szCs w:val="24"/>
                <w:lang w:val="en-GB" w:eastAsia="ru-RU" w:bidi="ar-SA"/>
              </w:rPr>
              <w:t>sk</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rushydro</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w:t>
            </w:r>
            <w:r>
              <w:rPr>
                <w:rFonts w:eastAsia="Times New Roman" w:cs="Times New Roman"/>
                <w:color w:val="000000"/>
                <w:kern w:val="0"/>
                <w:sz w:val="24"/>
                <w:szCs w:val="24"/>
                <w:lang w:val="en-US" w:eastAsia="ru-RU" w:bidi="ar-SA"/>
              </w:rPr>
              <w:t>u</w:t>
            </w:r>
          </w:p>
        </w:tc>
        <w:tc>
          <w:tcPr>
            <w:tcW w:w="5097"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Адрес (место нахождения):</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Почтовый адрес:</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sz w:val="24"/>
                <w:szCs w:val="24"/>
              </w:rPr>
            </w:pPr>
            <w:r>
              <w:rPr>
                <w:rFonts w:eastAsia="Times New Roman" w:cs="Times New Roman"/>
                <w:kern w:val="0"/>
                <w:sz w:val="24"/>
                <w:szCs w:val="24"/>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kern w:val="0"/>
                <w:sz w:val="20"/>
                <w:szCs w:val="20"/>
                <w:lang w:val="ru-RU" w:eastAsia="ru-RU" w:bidi="ar-SA"/>
              </w:rPr>
              <w:t>(номер телефона, адрес электронной почты)</w:t>
            </w:r>
          </w:p>
        </w:tc>
      </w:tr>
      <w:tr>
        <w:trPr/>
        <w:tc>
          <w:tcPr>
            <w:tcW w:w="5097"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Заместитель генерального директора</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по управление ресурсами</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__________________ / Н.Н. Клочков </w:t>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tc>
        <w:tc>
          <w:tcPr>
            <w:tcW w:w="5097"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b/>
                <w:bCs/>
                <w:color w:val="000000"/>
                <w:sz w:val="24"/>
                <w:szCs w:val="24"/>
              </w:rPr>
            </w:r>
          </w:p>
          <w:p>
            <w:pPr>
              <w:pStyle w:val="Normal"/>
              <w:widowControl w:val="false"/>
              <w:tabs>
                <w:tab w:val="clear" w:pos="708"/>
                <w:tab w:val="left" w:pos="426" w:leader="none"/>
              </w:tabs>
              <w:suppressAutoHyphens w:val="true"/>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 / _____________</w:t>
            </w:r>
          </w:p>
        </w:tc>
      </w:tr>
    </w:tbl>
    <w:p>
      <w:pPr>
        <w:pStyle w:val="Normal"/>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jc w:val="right"/>
        <w:rPr>
          <w:sz w:val="22"/>
          <w:szCs w:val="22"/>
        </w:rPr>
      </w:pPr>
      <w:r>
        <w:rPr>
          <w:sz w:val="22"/>
          <w:szCs w:val="22"/>
        </w:rPr>
        <w:t>Приложение № 1</w:t>
      </w:r>
    </w:p>
    <w:p>
      <w:pPr>
        <w:pStyle w:val="Normal"/>
        <w:jc w:val="right"/>
        <w:rPr>
          <w:sz w:val="22"/>
          <w:szCs w:val="22"/>
        </w:rPr>
      </w:pPr>
      <w:r>
        <w:rPr>
          <w:sz w:val="22"/>
          <w:szCs w:val="22"/>
        </w:rPr>
        <w:t>к Договору поставки</w:t>
      </w:r>
    </w:p>
    <w:p>
      <w:pPr>
        <w:pStyle w:val="Normal"/>
        <w:jc w:val="right"/>
        <w:rPr>
          <w:sz w:val="22"/>
          <w:szCs w:val="22"/>
        </w:rPr>
      </w:pPr>
      <w:r>
        <w:rPr>
          <w:sz w:val="22"/>
          <w:szCs w:val="22"/>
        </w:rPr>
        <w:t>от «____» _____20 _ г. № _____</w:t>
      </w:r>
    </w:p>
    <w:p>
      <w:pPr>
        <w:pStyle w:val="Normal"/>
        <w:widowControl/>
        <w:ind w:firstLine="709"/>
        <w:rPr>
          <w:rFonts w:eastAsia="Calibri"/>
          <w:b/>
          <w:sz w:val="24"/>
          <w:szCs w:val="24"/>
          <w:lang w:eastAsia="en-US"/>
        </w:rPr>
      </w:pPr>
      <w:r>
        <w:rPr>
          <w:rFonts w:eastAsia="Calibri"/>
          <w:b/>
          <w:sz w:val="24"/>
          <w:szCs w:val="24"/>
          <w:lang w:eastAsia="en-US"/>
        </w:rPr>
      </w:r>
    </w:p>
    <w:p>
      <w:pPr>
        <w:pStyle w:val="Normal"/>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p>
      <w:pPr>
        <w:pStyle w:val="ListParagraph"/>
        <w:numPr>
          <w:ilvl w:val="0"/>
          <w:numId w:val="16"/>
        </w:numPr>
        <w:jc w:val="both"/>
        <w:rPr>
          <w:b/>
          <w:i/>
          <w:i/>
          <w:color w:val="FF0000"/>
          <w:sz w:val="24"/>
          <w:szCs w:val="24"/>
        </w:rPr>
      </w:pPr>
      <w:r>
        <w:rPr>
          <w:b/>
          <w:bCs/>
          <w:sz w:val="24"/>
          <w:szCs w:val="24"/>
        </w:rPr>
        <w:t>Перечень и объем закупаемой продукции</w:t>
      </w:r>
      <w:r>
        <w:rPr>
          <w:b/>
          <w:sz w:val="24"/>
          <w:szCs w:val="24"/>
        </w:rPr>
        <w:t xml:space="preserve"> </w:t>
      </w:r>
      <w:r>
        <w:rPr>
          <w:b/>
          <w:i/>
          <w:color w:val="FF0000"/>
          <w:sz w:val="24"/>
          <w:szCs w:val="24"/>
          <w:u w:val="single"/>
        </w:rPr>
        <w:t>(Наименование и технические характеристики продукции могут быть изменены согласно результатам проведенной закупочной процедуры)</w:t>
      </w:r>
    </w:p>
    <w:p>
      <w:pPr>
        <w:pStyle w:val="Normal"/>
        <w:ind w:firstLine="709"/>
        <w:jc w:val="center"/>
        <w:rPr>
          <w:b/>
          <w:sz w:val="24"/>
          <w:szCs w:val="24"/>
        </w:rPr>
      </w:pPr>
      <w:r>
        <w:rPr>
          <w:b/>
          <w:sz w:val="24"/>
          <w:szCs w:val="24"/>
        </w:rPr>
      </w:r>
    </w:p>
    <w:tbl>
      <w:tblPr>
        <w:tblW w:w="10815" w:type="dxa"/>
        <w:jc w:val="left"/>
        <w:tblInd w:w="-572" w:type="dxa"/>
        <w:tblLayout w:type="fixed"/>
        <w:tblCellMar>
          <w:top w:w="0" w:type="dxa"/>
          <w:left w:w="108" w:type="dxa"/>
          <w:bottom w:w="0" w:type="dxa"/>
          <w:right w:w="108" w:type="dxa"/>
        </w:tblCellMar>
        <w:tblLook w:val="04a0" w:noVBand="1" w:noHBand="0" w:lastColumn="0" w:firstColumn="1" w:lastRow="0" w:firstRow="1"/>
      </w:tblPr>
      <w:tblGrid>
        <w:gridCol w:w="680"/>
        <w:gridCol w:w="1579"/>
        <w:gridCol w:w="4997"/>
        <w:gridCol w:w="917"/>
        <w:gridCol w:w="628"/>
        <w:gridCol w:w="566"/>
        <w:gridCol w:w="669"/>
        <w:gridCol w:w="777"/>
      </w:tblGrid>
      <w:tr>
        <w:trPr>
          <w:trHeight w:val="3395"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rPr>
              <w:t xml:space="preserve">№ </w:t>
            </w:r>
            <w:r>
              <w:rPr>
                <w:sz w:val="24"/>
              </w:rPr>
              <w:t>п/п</w:t>
            </w:r>
          </w:p>
        </w:tc>
        <w:tc>
          <w:tcPr>
            <w:tcW w:w="1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rPr>
              <w:t>Наименование продукции</w:t>
            </w:r>
          </w:p>
        </w:tc>
        <w:tc>
          <w:tcPr>
            <w:tcW w:w="4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Технические характеристики</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Страна происхождения товара</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rPr>
              <w:t>Ед. изм.</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rPr>
              <w:t>Кол-во</w:t>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НМЦ единицы продукции (руб. без НДС)</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rPr>
            </w:pPr>
            <w:r>
              <w:rPr>
                <w:sz w:val="24"/>
              </w:rPr>
              <w:t>Итоговая стоимость позиции (руб. без НДС)</w:t>
            </w:r>
          </w:p>
        </w:tc>
      </w:tr>
      <w:tr>
        <w:trPr>
          <w:trHeight w:val="3395"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jc w:val="center"/>
              <w:rPr>
                <w:color w:val="000000"/>
                <w:sz w:val="24"/>
                <w:szCs w:val="24"/>
              </w:rPr>
            </w:pPr>
            <w:r>
              <w:rPr>
                <w:color w:val="000000"/>
                <w:sz w:val="24"/>
                <w:szCs w:val="24"/>
              </w:rPr>
              <w:t>1</w:t>
            </w:r>
          </w:p>
        </w:tc>
        <w:tc>
          <w:tcPr>
            <w:tcW w:w="1579"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Гусеничная платформа с мульчером и шнекоротором</w:t>
            </w:r>
          </w:p>
        </w:tc>
        <w:tc>
          <w:tcPr>
            <w:tcW w:w="4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Ширина покоса: не менее 950 мм;</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Ширина шнекоротора: не менее 1000 мм;</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Максимальная дальность выброса снега: не менее 10 м;</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Тип шасси: гусеничное;</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Аккумулятор для двигателя ротора: не менее 72 В;</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Тип аккумулятора для двигателя ротора: литиевый;</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Аккумулятор для ходового двигателя: не менее 48 В;</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Максимальная скорость перемещения: не менее 6 км/ч;</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Управление: пульт ДУ;</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Максимальная дальность действия пульта ДУ: не менее 200 м;</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Степень защиты: ip 54;</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Температура эксплуатации: не менее -20 не более +45;</w:t>
            </w:r>
          </w:p>
          <w:p>
            <w:pPr>
              <w:pStyle w:val="Normal"/>
              <w:widowControl w:val="false"/>
              <w:suppressAutoHyphens w:val="true"/>
              <w:spacing w:before="0" w:after="0"/>
              <w:jc w:val="left"/>
              <w:rPr>
                <w:rFonts w:ascii="Times New Roman" w:hAnsi="Times New Roman" w:eastAsia="Times New Roman" w:cs="Times New Roman"/>
                <w:kern w:val="0"/>
                <w:highlight w:val="none"/>
                <w:shd w:fill="auto" w:val="clear"/>
                <w:lang w:val="ru-RU" w:eastAsia="ru-RU" w:bidi="ar-SA"/>
              </w:rPr>
            </w:pPr>
            <w:r>
              <w:rPr>
                <w:rFonts w:eastAsia="Times New Roman" w:cs="Times New Roman"/>
                <w:color w:val="000000"/>
                <w:kern w:val="0"/>
                <w:sz w:val="22"/>
                <w:szCs w:val="22"/>
                <w:shd w:fill="auto" w:val="clear"/>
                <w:lang w:val="ru-RU" w:eastAsia="ru-RU" w:bidi="ar-SA"/>
              </w:rPr>
              <w:t>Вес нетто шасси: не более 340 кг.</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color w:val="000000"/>
                <w:sz w:val="22"/>
                <w:szCs w:val="22"/>
              </w:rPr>
              <w:t>шт</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1</w:t>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jc w:val="center"/>
              <w:rPr>
                <w:rFonts w:ascii="Times New Roman" w:hAnsi="Times New Roman" w:eastAsia="Times New Roman" w:cs="Times New Roman"/>
                <w:color w:val="000000"/>
                <w:kern w:val="0"/>
                <w:sz w:val="22"/>
                <w:szCs w:val="22"/>
                <w:shd w:fill="auto" w:val="clear"/>
                <w:lang w:val="ru-RU" w:eastAsia="ru-RU" w:bidi="ar-SA"/>
              </w:rPr>
            </w:pPr>
            <w:r>
              <w:rPr>
                <w:rFonts w:eastAsia="Times New Roman" w:cs="Times New Roman"/>
                <w:color w:val="000000"/>
                <w:kern w:val="0"/>
                <w:sz w:val="22"/>
                <w:szCs w:val="22"/>
                <w:shd w:fill="auto" w:val="clear"/>
                <w:lang w:val="ru-RU" w:eastAsia="ru-RU" w:bidi="ar-SA"/>
              </w:rPr>
            </w:r>
          </w:p>
        </w:tc>
      </w:tr>
    </w:tbl>
    <w:p>
      <w:pPr>
        <w:pStyle w:val="Normal"/>
        <w:jc w:val="both"/>
        <w:rPr>
          <w:b/>
          <w:bCs/>
          <w:i/>
          <w:i/>
          <w:iCs/>
          <w:szCs w:val="22"/>
        </w:rPr>
      </w:pPr>
      <w:r>
        <w:rPr>
          <w:b/>
          <w:bCs/>
          <w:i/>
          <w:iCs/>
          <w:szCs w:val="22"/>
        </w:rPr>
      </w:r>
    </w:p>
    <w:p>
      <w:pPr>
        <w:pStyle w:val="ListParagraph"/>
        <w:numPr>
          <w:ilvl w:val="0"/>
          <w:numId w:val="16"/>
        </w:numPr>
        <w:rPr>
          <w:b/>
          <w:sz w:val="24"/>
          <w:szCs w:val="24"/>
        </w:rPr>
      </w:pPr>
      <w:r>
        <w:rPr>
          <w:b/>
          <w:sz w:val="24"/>
          <w:szCs w:val="24"/>
        </w:rPr>
        <w:t xml:space="preserve">Место поставки товара: </w:t>
      </w:r>
    </w:p>
    <w:p>
      <w:pPr>
        <w:pStyle w:val="ListParagraph"/>
        <w:ind w:left="0" w:firstLine="425"/>
        <w:jc w:val="both"/>
        <w:rPr>
          <w:rFonts w:eastAsia="Calibri"/>
          <w:sz w:val="24"/>
          <w:szCs w:val="24"/>
          <w:lang w:eastAsia="x-none"/>
        </w:rPr>
      </w:pPr>
      <w:r>
        <w:rPr>
          <w:rFonts w:eastAsia="Calibri"/>
          <w:color w:val="000000"/>
          <w:sz w:val="24"/>
          <w:szCs w:val="24"/>
          <w:lang w:eastAsia="x-none"/>
        </w:rPr>
        <w:t>- 630056, Российская Федерация, г. Новосибирск, ул. Новоморская, д.4</w:t>
      </w:r>
    </w:p>
    <w:p>
      <w:pPr>
        <w:pStyle w:val="ListParagraph"/>
        <w:ind w:left="0" w:firstLine="425"/>
        <w:jc w:val="both"/>
        <w:rPr>
          <w:b/>
          <w:bCs/>
        </w:rPr>
      </w:pPr>
      <w:r>
        <w:rPr>
          <w:rFonts w:eastAsia="Calibri"/>
          <w:b/>
          <w:bCs/>
          <w:sz w:val="24"/>
          <w:szCs w:val="24"/>
          <w:lang w:eastAsia="x-none"/>
        </w:rPr>
        <w:t>Условия поставки товара:</w:t>
      </w:r>
    </w:p>
    <w:p>
      <w:pPr>
        <w:pStyle w:val="ListParagraph"/>
        <w:ind w:left="0" w:firstLine="425"/>
        <w:jc w:val="both"/>
        <w:rPr>
          <w:rFonts w:eastAsia="Calibri"/>
          <w:sz w:val="24"/>
          <w:szCs w:val="24"/>
          <w:lang w:eastAsia="x-none"/>
        </w:rPr>
      </w:pPr>
      <w:r>
        <w:rPr>
          <w:rFonts w:eastAsia="Calibri"/>
          <w:sz w:val="24"/>
          <w:szCs w:val="24"/>
          <w:lang w:eastAsia="x-none"/>
        </w:rPr>
        <w:t xml:space="preserve"> </w:t>
      </w:r>
      <w:r>
        <w:rPr>
          <w:rFonts w:eastAsia="Calibri"/>
          <w:sz w:val="24"/>
          <w:szCs w:val="24"/>
          <w:lang w:eastAsia="x-none"/>
        </w:rPr>
        <w:t>Поставка товара осуществляется в рабочие дни с 9:00 до 17:00, перерыв на обед с 12:00 до 13:00, по предварительной согласованности с Заказчиком любым, оговоренным между сторонами способом (телефонная, электронная связь), не менее чем за 1 (один) рабочий день до дня поставки товара. Погрузка, разгрузка, перенос товара, подъем на этаж, осуществляются силами Поставщика.</w:t>
      </w:r>
    </w:p>
    <w:p>
      <w:pPr>
        <w:pStyle w:val="Normal"/>
        <w:widowControl/>
        <w:spacing w:before="0" w:after="0"/>
        <w:ind w:left="360" w:hanging="0"/>
        <w:contextualSpacing/>
        <w:jc w:val="both"/>
        <w:rPr>
          <w:sz w:val="24"/>
          <w:szCs w:val="24"/>
        </w:rPr>
      </w:pPr>
      <w:r>
        <w:rPr>
          <w:sz w:val="24"/>
          <w:szCs w:val="24"/>
        </w:rPr>
      </w:r>
    </w:p>
    <w:p>
      <w:pPr>
        <w:pStyle w:val="ListParagraph"/>
        <w:widowControl/>
        <w:numPr>
          <w:ilvl w:val="0"/>
          <w:numId w:val="16"/>
        </w:numPr>
        <w:jc w:val="both"/>
        <w:rPr>
          <w:rFonts w:eastAsia="Calibri"/>
          <w:b/>
          <w:sz w:val="24"/>
          <w:szCs w:val="24"/>
        </w:rPr>
      </w:pPr>
      <w:r>
        <w:rPr>
          <w:rFonts w:eastAsia="Calibri"/>
          <w:b/>
          <w:sz w:val="24"/>
          <w:szCs w:val="24"/>
        </w:rPr>
        <w:t xml:space="preserve">Иные требования и сведения общего характера: </w:t>
      </w:r>
    </w:p>
    <w:p>
      <w:pPr>
        <w:pStyle w:val="ListParagraph"/>
        <w:widowControl/>
        <w:jc w:val="both"/>
        <w:rPr>
          <w:rFonts w:eastAsia="Calibri"/>
          <w:b/>
          <w:sz w:val="24"/>
          <w:szCs w:val="24"/>
        </w:rPr>
      </w:pPr>
      <w:r>
        <w:rPr>
          <w:rFonts w:eastAsia="Calibri"/>
          <w:b/>
          <w:sz w:val="24"/>
          <w:szCs w:val="24"/>
        </w:rPr>
      </w:r>
    </w:p>
    <w:p>
      <w:pPr>
        <w:pStyle w:val="Normal"/>
        <w:tabs>
          <w:tab w:val="clear" w:pos="708"/>
          <w:tab w:val="left" w:pos="426" w:leader="none"/>
        </w:tabs>
        <w:ind w:firstLine="425"/>
        <w:jc w:val="both"/>
        <w:rPr/>
      </w:pPr>
      <w:r>
        <w:rPr>
          <w:iCs/>
          <w:sz w:val="24"/>
        </w:rPr>
        <w:t>Поставщик обязан поставить товар надлежащего качества.</w:t>
      </w:r>
    </w:p>
    <w:p>
      <w:pPr>
        <w:pStyle w:val="Normal"/>
        <w:tabs>
          <w:tab w:val="clear" w:pos="708"/>
          <w:tab w:val="left" w:pos="426" w:leader="none"/>
        </w:tabs>
        <w:ind w:firstLine="425"/>
        <w:jc w:val="both"/>
        <w:rPr/>
      </w:pPr>
      <w:r>
        <w:rPr>
          <w:rFonts w:eastAsia="Calibri"/>
          <w:sz w:val="24"/>
          <w:szCs w:val="24"/>
          <w:lang w:eastAsia="x-none"/>
        </w:rPr>
        <w:t>Срок поставки товара определяется в Заявках, но не может превышать 30 (тридцать) календарных дней с момента предоставленной письменной заявки Заказчика, которая подается на каждый адрес отдельно. В Заявке указываются данные по наименованию количеству необходимого Товара</w:t>
      </w:r>
      <w:r>
        <w:rPr>
          <w:rFonts w:eastAsia="Calibri"/>
          <w:b/>
          <w:bCs/>
          <w:sz w:val="24"/>
          <w:szCs w:val="24"/>
          <w:lang w:eastAsia="x-none"/>
        </w:rPr>
        <w:t>.</w:t>
      </w:r>
    </w:p>
    <w:p>
      <w:pPr>
        <w:pStyle w:val="ListParagraph"/>
        <w:ind w:left="0" w:firstLine="425"/>
        <w:jc w:val="both"/>
        <w:rPr>
          <w:b/>
          <w:i/>
          <w:i/>
          <w:shd w:fill="FFFF99" w:val="clear"/>
        </w:rPr>
      </w:pPr>
      <w:r>
        <w:rPr>
          <w:rFonts w:eastAsia="Calibri"/>
          <w:color w:val="000000"/>
          <w:sz w:val="24"/>
          <w:szCs w:val="24"/>
          <w:lang w:eastAsia="x-none"/>
        </w:rPr>
        <w:t>На территории объектов Заказчика действует контрольно-пропускной режим, в связи с чем Поставщик не менее чем за 1 (один) рабочий день до предполагаемой даты поставки Товара должен сообщить представителю Заказчика номер автотранспортного средства и Ф.И.О. водителя, грузчиков-экспедиторов и других лиц, задействованных в транспортировке и погрузочно-разгрузочных работах, для оформления пропуска в соответствии с порядком пропускного режима объекта Заказчика</w:t>
      </w:r>
      <w:r>
        <w:rPr>
          <w:rFonts w:eastAsia="Calibri"/>
          <w:b/>
          <w:bCs/>
          <w:color w:val="000000"/>
          <w:sz w:val="24"/>
          <w:szCs w:val="24"/>
          <w:lang w:eastAsia="x-none"/>
        </w:rPr>
        <w:t>.</w:t>
      </w:r>
    </w:p>
    <w:p>
      <w:pPr>
        <w:pStyle w:val="Normal"/>
        <w:widowControl/>
        <w:rPr>
          <w:b/>
          <w:bCs/>
          <w:sz w:val="28"/>
          <w:szCs w:val="28"/>
        </w:rPr>
      </w:pPr>
      <w:r>
        <w:rPr>
          <w:b/>
          <w:bCs/>
          <w:sz w:val="28"/>
          <w:szCs w:val="28"/>
        </w:rPr>
      </w:r>
    </w:p>
    <w:p>
      <w:pPr>
        <w:pStyle w:val="ListParagraph"/>
        <w:widowControl/>
        <w:numPr>
          <w:ilvl w:val="0"/>
          <w:numId w:val="16"/>
        </w:numPr>
        <w:rPr>
          <w:b/>
          <w:bCs/>
          <w:sz w:val="24"/>
          <w:szCs w:val="24"/>
        </w:rPr>
      </w:pPr>
      <w:r>
        <w:rPr>
          <w:b/>
          <w:bCs/>
          <w:sz w:val="24"/>
          <w:szCs w:val="24"/>
        </w:rPr>
        <w:t>Требования к гарантиям, гарантийному и послегарантийному обслуживанию</w:t>
      </w:r>
    </w:p>
    <w:p>
      <w:pPr>
        <w:pStyle w:val="Normal"/>
        <w:widowControl/>
        <w:ind w:left="360" w:hanging="0"/>
        <w:rPr>
          <w:b/>
          <w:bCs/>
          <w:sz w:val="24"/>
          <w:szCs w:val="24"/>
        </w:rPr>
      </w:pPr>
      <w:r>
        <w:rPr>
          <w:b/>
          <w:bCs/>
          <w:sz w:val="24"/>
          <w:szCs w:val="24"/>
        </w:rPr>
      </w:r>
    </w:p>
    <w:p>
      <w:pPr>
        <w:pStyle w:val="Normal"/>
        <w:ind w:firstLine="709"/>
        <w:jc w:val="both"/>
        <w:rPr>
          <w:sz w:val="24"/>
          <w:szCs w:val="24"/>
        </w:rPr>
      </w:pPr>
      <w:r>
        <w:rPr>
          <w:sz w:val="24"/>
          <w:szCs w:val="24"/>
        </w:rPr>
        <w:t>Гарантийный срок на продукцию должен составлять не менее 12 месяцев с даты подписания сторонами Товарной накладной по форме ТОРГ-12/УПД, но не менее гарантийного срока, установленного производителем. 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10 (десяти) дней со дня подписания двустороннего акта, оформленного по факту приемки товара. Все транспортные и другие расходы, связанные с заменой поставленного товара товаром надлежащего качества, допоставкой и/или доукомплектованием поставленного товара, а также представлением надлежащим образом оформленного пакета первичной документации осуществляются за счет Поставщика и его силами.</w:t>
      </w:r>
    </w:p>
    <w:p>
      <w:pPr>
        <w:pStyle w:val="Normal"/>
        <w:spacing w:before="0" w:after="0"/>
        <w:contextualSpacing/>
        <w:jc w:val="both"/>
        <w:rPr>
          <w:sz w:val="24"/>
          <w:szCs w:val="24"/>
        </w:rPr>
      </w:pPr>
      <w:r>
        <w:rPr>
          <w:sz w:val="24"/>
          <w:szCs w:val="24"/>
        </w:rPr>
        <w:t xml:space="preserve">Продукция должна быть новой, не находившейся в эксплуатации. </w:t>
      </w:r>
      <w:r>
        <w:rPr>
          <w:sz w:val="24"/>
        </w:rPr>
        <w:t>Под новой следует понимать продукцию, которая не была в употреблении, не проходила ремонт, в том числе восстановление потребительских свойств.</w:t>
      </w:r>
    </w:p>
    <w:p>
      <w:pPr>
        <w:pStyle w:val="Normal"/>
        <w:spacing w:before="0" w:after="0"/>
        <w:contextualSpacing/>
        <w:jc w:val="both"/>
        <w:rPr>
          <w:sz w:val="24"/>
          <w:szCs w:val="24"/>
        </w:rPr>
      </w:pPr>
      <w:r>
        <w:rPr>
          <w:sz w:val="24"/>
          <w:szCs w:val="24"/>
        </w:rPr>
      </w:r>
    </w:p>
    <w:p>
      <w:pPr>
        <w:pStyle w:val="ListParagraph"/>
        <w:widowControl/>
        <w:numPr>
          <w:ilvl w:val="0"/>
          <w:numId w:val="16"/>
        </w:numPr>
        <w:rPr>
          <w:b/>
          <w:bCs/>
          <w:sz w:val="32"/>
          <w:szCs w:val="24"/>
        </w:rPr>
      </w:pPr>
      <w:r>
        <w:rPr>
          <w:b/>
          <w:sz w:val="24"/>
        </w:rPr>
        <w:t>Требования к комплектации и документам, поставляемым вместе с продукцией</w:t>
      </w:r>
    </w:p>
    <w:p>
      <w:pPr>
        <w:pStyle w:val="Normal"/>
        <w:widowControl/>
        <w:ind w:firstLine="709"/>
        <w:jc w:val="both"/>
        <w:rPr>
          <w:sz w:val="24"/>
          <w:szCs w:val="24"/>
        </w:rPr>
      </w:pPr>
      <w:r>
        <w:rPr>
          <w:sz w:val="24"/>
          <w:szCs w:val="24"/>
        </w:rPr>
      </w:r>
    </w:p>
    <w:p>
      <w:pPr>
        <w:pStyle w:val="Normal"/>
        <w:widowControl/>
        <w:ind w:firstLine="709"/>
        <w:jc w:val="both"/>
        <w:rPr/>
      </w:pPr>
      <w:r>
        <w:rPr>
          <w:sz w:val="24"/>
          <w:szCs w:val="24"/>
        </w:rPr>
        <w:t>Одновременно с передачей Товара Поставщик обязан передать Покупателю его принадлежности и относящиеся к нему документы (технические паспорта, инструкции по эксплуатации, сертификаты качества, сертификаты соответствия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pPr>
        <w:pStyle w:val="ListParagraph"/>
        <w:widowControl/>
        <w:rPr>
          <w:b/>
          <w:bCs/>
          <w:sz w:val="32"/>
          <w:szCs w:val="24"/>
        </w:rPr>
      </w:pPr>
      <w:r>
        <w:rPr>
          <w:b/>
          <w:bCs/>
          <w:sz w:val="32"/>
          <w:szCs w:val="24"/>
        </w:rPr>
      </w:r>
    </w:p>
    <w:p>
      <w:pPr>
        <w:pStyle w:val="Normal"/>
        <w:numPr>
          <w:ilvl w:val="0"/>
          <w:numId w:val="16"/>
        </w:numPr>
        <w:rPr>
          <w:b/>
          <w:bCs/>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p>
      <w:pPr>
        <w:pStyle w:val="Normal"/>
        <w:widowControl/>
        <w:ind w:left="357" w:firstLine="709"/>
        <w:rPr>
          <w:b/>
          <w:bCs/>
          <w:sz w:val="24"/>
          <w:szCs w:val="24"/>
        </w:rPr>
      </w:pPr>
      <w:r>
        <w:rPr>
          <w:b/>
          <w:bCs/>
          <w:sz w:val="24"/>
          <w:szCs w:val="24"/>
        </w:rPr>
      </w:r>
    </w:p>
    <w:p>
      <w:pPr>
        <w:pStyle w:val="Normal"/>
        <w:widowControl/>
        <w:ind w:firstLine="709"/>
        <w:jc w:val="both"/>
        <w:rPr>
          <w:b/>
          <w:bCs/>
          <w:sz w:val="24"/>
          <w:szCs w:val="24"/>
        </w:rPr>
      </w:pPr>
      <w:r>
        <w:rPr>
          <w:sz w:val="24"/>
          <w:szCs w:val="24"/>
        </w:rPr>
        <w:t>Поставщик несет ответственность, предусмотренную законодательством РФ, за качество поставляемой продукции и предоставление всей необходимой товарно-транспортной документации. Поставщик должен обеспечить упаковку товара, способную предотвратить его повреждение или порчу во время перевозки. Упаковка и маркировка товара должна соответствовать требованиям ГОСТа, импортный товар – международным стандартам упаковки</w:t>
      </w:r>
    </w:p>
    <w:p>
      <w:pPr>
        <w:pStyle w:val="Normal"/>
        <w:widowControl/>
        <w:rPr>
          <w:rFonts w:eastAsia="Calibri"/>
          <w:b/>
          <w:sz w:val="24"/>
          <w:szCs w:val="24"/>
          <w:lang w:eastAsia="en-US"/>
        </w:rPr>
      </w:pPr>
      <w:r>
        <w:rPr>
          <w:rFonts w:eastAsia="Calibri"/>
          <w:b/>
          <w:sz w:val="24"/>
          <w:szCs w:val="24"/>
          <w:lang w:eastAsia="en-US"/>
        </w:rPr>
      </w:r>
    </w:p>
    <w:p>
      <w:pPr>
        <w:pStyle w:val="Normal"/>
        <w:widowControl/>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w:t>
            </w:r>
          </w:p>
          <w:p>
            <w:pPr>
              <w:pStyle w:val="Normal"/>
              <w:widowControl w:val="false"/>
              <w:rPr>
                <w:sz w:val="24"/>
                <w:szCs w:val="24"/>
              </w:rPr>
            </w:pPr>
            <w:r>
              <w:rPr>
                <w:sz w:val="24"/>
                <w:szCs w:val="24"/>
              </w:rPr>
              <w:t>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Н.Н. Клочков</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ind w:firstLine="709"/>
        <w:rPr>
          <w:rFonts w:eastAsia="Calibri"/>
          <w:b/>
          <w:sz w:val="24"/>
          <w:szCs w:val="24"/>
          <w:lang w:eastAsia="en-US"/>
        </w:rPr>
      </w:pPr>
      <w:r>
        <w:rPr>
          <w:rFonts w:eastAsia="Calibri"/>
          <w:b/>
          <w:sz w:val="24"/>
          <w:szCs w:val="24"/>
          <w:lang w:eastAsia="en-US"/>
        </w:rPr>
      </w:r>
    </w:p>
    <w:p>
      <w:pPr>
        <w:pStyle w:val="Normal"/>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jc w:val="right"/>
        <w:rPr>
          <w:sz w:val="22"/>
          <w:szCs w:val="22"/>
        </w:rPr>
      </w:pP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1"/>
                    <a:stretch>
                      <a:fillRect/>
                    </a:stretch>
                  </pic:blipFill>
                  <pic:spPr bwMode="auto">
                    <a:xfrm>
                      <a:off x="0" y="0"/>
                      <a:ext cx="2131060" cy="453390"/>
                    </a:xfrm>
                    <a:prstGeom prst="rect">
                      <a:avLst/>
                    </a:prstGeom>
                  </pic:spPr>
                </pic:pic>
              </a:graphicData>
            </a:graphic>
          </wp:anchor>
        </w:drawing>
      </w:r>
      <w:r>
        <w:rPr>
          <w:sz w:val="22"/>
          <w:szCs w:val="22"/>
        </w:rPr>
        <w:t>Приложение № 2</w:t>
      </w:r>
    </w:p>
    <w:p>
      <w:pPr>
        <w:pStyle w:val="Normal"/>
        <w:jc w:val="right"/>
        <w:rPr>
          <w:sz w:val="22"/>
          <w:szCs w:val="22"/>
        </w:rPr>
      </w:pPr>
      <w:r>
        <w:rPr>
          <w:sz w:val="22"/>
          <w:szCs w:val="22"/>
        </w:rPr>
        <w:t>к Договору поставки</w:t>
      </w:r>
    </w:p>
    <w:p>
      <w:pPr>
        <w:pStyle w:val="Normal"/>
        <w:jc w:val="right"/>
        <w:rPr>
          <w:sz w:val="22"/>
          <w:szCs w:val="22"/>
        </w:rPr>
      </w:pPr>
      <w:r>
        <w:rPr>
          <w:sz w:val="22"/>
          <w:szCs w:val="22"/>
        </w:rPr>
        <w:t>от «____» __________ 20 _ г. № 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_____202_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61"/>
        <w:gridCol w:w="1038"/>
        <w:gridCol w:w="1177"/>
        <w:gridCol w:w="750"/>
        <w:gridCol w:w="1131"/>
        <w:gridCol w:w="1243"/>
        <w:gridCol w:w="1040"/>
        <w:gridCol w:w="1490"/>
        <w:gridCol w:w="899"/>
        <w:gridCol w:w="875"/>
      </w:tblGrid>
      <w:tr>
        <w:trPr>
          <w:trHeight w:val="543"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5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5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9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10204"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8"/>
        <w:gridCol w:w="5104"/>
      </w:tblGrid>
      <w:tr>
        <w:trPr/>
        <w:tc>
          <w:tcPr>
            <w:tcW w:w="4818"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sz w:val="24"/>
                <w:szCs w:val="24"/>
              </w:rPr>
            </w:pPr>
            <w:r>
              <w:rPr>
                <w:sz w:val="24"/>
                <w:szCs w:val="24"/>
              </w:rPr>
            </w:r>
          </w:p>
        </w:tc>
        <w:tc>
          <w:tcPr>
            <w:tcW w:w="5104"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8"/>
        <w:gridCol w:w="5104"/>
      </w:tblGrid>
      <w:tr>
        <w:trPr/>
        <w:tc>
          <w:tcPr>
            <w:tcW w:w="4818"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w:t>
            </w:r>
          </w:p>
          <w:p>
            <w:pPr>
              <w:pStyle w:val="Normal"/>
              <w:widowControl w:val="false"/>
              <w:rPr>
                <w:sz w:val="24"/>
                <w:szCs w:val="24"/>
              </w:rPr>
            </w:pPr>
            <w:r>
              <w:rPr>
                <w:sz w:val="24"/>
                <w:szCs w:val="24"/>
              </w:rPr>
              <w:t>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Н.Н. Клочков</w:t>
            </w:r>
          </w:p>
          <w:p>
            <w:pPr>
              <w:pStyle w:val="Normal"/>
              <w:widowControl w:val="false"/>
              <w:ind w:firstLine="709"/>
              <w:rPr>
                <w:sz w:val="24"/>
                <w:szCs w:val="24"/>
              </w:rPr>
            </w:pPr>
            <w:r>
              <w:rPr>
                <w:sz w:val="24"/>
                <w:szCs w:val="24"/>
              </w:rPr>
            </w:r>
          </w:p>
        </w:tc>
        <w:tc>
          <w:tcPr>
            <w:tcW w:w="5104"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sz w:val="24"/>
          <w:szCs w:val="24"/>
        </w:rPr>
      </w:r>
    </w:p>
    <w:p>
      <w:pPr>
        <w:pStyle w:val="Normal"/>
        <w:widowControl/>
        <w:rPr>
          <w:sz w:val="24"/>
          <w:szCs w:val="24"/>
        </w:rPr>
      </w:pPr>
      <w:r>
        <w:rPr>
          <w:sz w:val="24"/>
          <w:szCs w:val="24"/>
        </w:rPr>
      </w:r>
      <w:r>
        <w:br w:type="page"/>
      </w:r>
    </w:p>
    <w:p>
      <w:pPr>
        <w:pStyle w:val="Normal"/>
        <w:jc w:val="right"/>
        <w:rPr>
          <w:sz w:val="22"/>
          <w:szCs w:val="22"/>
        </w:rPr>
      </w:pPr>
      <w:r>
        <w:rPr>
          <w:sz w:val="22"/>
          <w:szCs w:val="22"/>
        </w:rPr>
        <w:t>Приложение № 3</w:t>
      </w:r>
    </w:p>
    <w:p>
      <w:pPr>
        <w:pStyle w:val="Normal"/>
        <w:jc w:val="right"/>
        <w:rPr>
          <w:sz w:val="22"/>
          <w:szCs w:val="22"/>
        </w:rPr>
      </w:pPr>
      <w:r>
        <w:rPr>
          <w:sz w:val="22"/>
          <w:szCs w:val="22"/>
        </w:rPr>
        <w:t>к Договору поставки</w:t>
      </w:r>
    </w:p>
    <w:p>
      <w:pPr>
        <w:pStyle w:val="Normal"/>
        <w:jc w:val="right"/>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4055"/>
        <w:gridCol w:w="6149"/>
      </w:tblGrid>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Заместитель генерального директора</w:t>
            </w:r>
          </w:p>
          <w:p>
            <w:pPr>
              <w:pStyle w:val="Normal"/>
              <w:widowControl w:val="false"/>
              <w:rPr>
                <w:sz w:val="24"/>
                <w:szCs w:val="24"/>
              </w:rPr>
            </w:pPr>
            <w:r>
              <w:rPr>
                <w:sz w:val="24"/>
                <w:szCs w:val="24"/>
              </w:rPr>
              <w:t>по управлению ресурсами</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Н.Н. Клочков</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r>
    </w:p>
    <w:sectPr>
      <w:headerReference w:type="default" r:id="rId12"/>
      <w:footerReference w:type="default" r:id="rId13"/>
      <w:type w:val="nextPage"/>
      <w:pgSz w:w="11906" w:h="16838"/>
      <w:pgMar w:left="1134" w:right="567" w:gutter="0" w:header="567" w:top="1134" w:footer="709"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75524296"/>
    </w:sdtPr>
    <w:sdtContent>
      <w:p>
        <w:pPr>
          <w:pStyle w:val="Footer"/>
          <w:jc w:val="center"/>
          <w:rPr/>
        </w:pPr>
        <w:r>
          <w:rPr/>
          <w:fldChar w:fldCharType="begin"/>
        </w:r>
        <w:r>
          <w:rPr/>
          <w:instrText xml:space="preserve"> PAGE </w:instrText>
        </w:r>
        <w:r>
          <w:rPr/>
          <w:fldChar w:fldCharType="separate"/>
        </w:r>
        <w:r>
          <w:rPr/>
          <w:t>20</w:t>
        </w:r>
        <w:r>
          <w:rPr/>
          <w:fldChar w:fldCharType="end"/>
        </w:r>
      </w:p>
    </w:sdtContent>
  </w:sdt>
  <w:p>
    <w:pPr>
      <w:pStyle w:val="Footer"/>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rPr>
    </w:pPr>
    <w:r>
      <w:rPr>
        <w:color w:val="A6A6A6" w:themeColor="background1" w:themeShade="a6"/>
      </w:rPr>
      <w:t>Договор № ___ от __.__.202_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6">
    <w:lvl w:ilvl="0">
      <w:start w:val="1"/>
      <w:numFmt w:val="decimal"/>
      <w:lvlText w:val="%1."/>
      <w:lvlJc w:val="left"/>
      <w:pPr>
        <w:tabs>
          <w:tab w:val="num" w:pos="0"/>
        </w:tabs>
        <w:ind w:left="720" w:hanging="360"/>
      </w:pPr>
      <w:rPr>
        <w:sz w:val="24"/>
        <w:i w:val="false"/>
        <w:szCs w:val="24"/>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1" w:customStyle="1">
    <w:name w:val="Неразрешенное упоминание1"/>
    <w:basedOn w:val="DefaultParagraphFont"/>
    <w:uiPriority w:val="99"/>
    <w:semiHidden/>
    <w:unhideWhenUsed/>
    <w:qFormat/>
    <w:rsid w:val="00231bfe"/>
    <w:rPr>
      <w:color w:val="605E5C"/>
      <w:shd w:fill="E1DFDD" w:val="clear"/>
    </w:rPr>
  </w:style>
  <w:style w:type="character" w:styleId="Style19" w:customStyle="1">
    <w:name w:val="Символ нумерации"/>
    <w:qFormat/>
    <w:rPr/>
  </w:style>
  <w:style w:type="character" w:styleId="FollowedHyperlink">
    <w:name w:val="FollowedHyperlink"/>
    <w:rPr>
      <w:color w:val="800000"/>
      <w:u w:val="single"/>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2"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Раздел положения"/>
    <w:basedOn w:val="Normal"/>
    <w:autoRedefine/>
    <w:qFormat/>
    <w:rsid w:val="00d507c7"/>
    <w:pPr>
      <w:widowControl/>
      <w:numPr>
        <w:ilvl w:val="0"/>
        <w:numId w:val="15"/>
      </w:numPr>
      <w:spacing w:before="80" w:after="80"/>
      <w:jc w:val="center"/>
    </w:pPr>
    <w:rPr>
      <w:b/>
      <w:sz w:val="32"/>
      <w:szCs w:val="32"/>
    </w:rPr>
  </w:style>
  <w:style w:type="paragraph" w:styleId="Style29" w:customStyle="1">
    <w:name w:val="Подраздел раздела положения"/>
    <w:basedOn w:val="Normal"/>
    <w:autoRedefine/>
    <w:qFormat/>
    <w:rsid w:val="00d507c7"/>
    <w:pPr>
      <w:widowControl/>
      <w:numPr>
        <w:ilvl w:val="1"/>
        <w:numId w:val="15"/>
      </w:numPr>
      <w:spacing w:before="80" w:after="80"/>
      <w:jc w:val="both"/>
    </w:pPr>
    <w:rPr>
      <w:sz w:val="28"/>
      <w:szCs w:val="28"/>
    </w:rPr>
  </w:style>
  <w:style w:type="paragraph" w:styleId="Style30" w:customStyle="1">
    <w:name w:val="Содержимое таблицы"/>
    <w:basedOn w:val="Normal"/>
    <w:qFormat/>
    <w:pPr>
      <w:suppressLineNumbers/>
    </w:pPr>
    <w:rPr/>
  </w:style>
  <w:style w:type="paragraph" w:styleId="Style31">
    <w:name w:val="Заголовок таблицы"/>
    <w:basedOn w:val="Style30"/>
    <w:qFormat/>
    <w:pPr>
      <w:suppressLineNumbers/>
      <w:jc w:val="center"/>
    </w:pPr>
    <w:rPr>
      <w:b/>
      <w:bCs/>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e">
    <w:name w:val="Table Grid"/>
    <w:basedOn w:val="a3"/>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ubinVYu@rushydro.ru" TargetMode="External"/><Relationship Id="rId3" Type="http://schemas.openxmlformats.org/officeDocument/2006/relationships/hyperlink" Target="mailto:AntonovPE@rushydro.ru" TargetMode="External"/><Relationship Id="rId4" Type="http://schemas.openxmlformats.org/officeDocument/2006/relationships/hyperlink" Target="mailto:BaevaVV@rushydro.ru" TargetMode="External"/><Relationship Id="rId5" Type="http://schemas.openxmlformats.org/officeDocument/2006/relationships/hyperlink" Target="mailto:BagryantsevEE@rushydro.ru" TargetMode="External"/><Relationship Id="rId6" Type="http://schemas.openxmlformats.org/officeDocument/2006/relationships/hyperlink" Target="mailto:ShistopalIV@rushydro.ru" TargetMode="External"/><Relationship Id="rId7" Type="http://schemas.openxmlformats.org/officeDocument/2006/relationships/hyperlink" Target="mailto:ld@rushydro.ru" TargetMode="External"/><Relationship Id="rId8" Type="http://schemas.openxmlformats.org/officeDocument/2006/relationships/hyperlink" Target="consultantplus://offline/ref=94D5CE8889791A29DE57299515463A9D6134D8237B999C803E6F853513x2A2P" TargetMode="External"/><Relationship Id="rId9" Type="http://schemas.openxmlformats.org/officeDocument/2006/relationships/hyperlink" Target="consultantplus://offline/ref=94D5CE8889791A29DE57299515463A9D6135D2287D929C803E6F853513x2A2P" TargetMode="External"/><Relationship Id="rId10" Type="http://schemas.openxmlformats.org/officeDocument/2006/relationships/hyperlink" Target="consultantplus://offline/ref=79440D5123ABA6A25F43346AB59DBAAC7032C8E1556DA64FAED62E167F76889C2B7C475C32EFC59BJ8rDH" TargetMode="External"/><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8AB74-C949-4159-B82A-FD040E965A34}">
  <ds:schemaRefs>
    <ds:schemaRef ds:uri="http://schemas.openxmlformats.org/officeDocument/2006/bibliography"/>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Application>AlterOffice/3.4.0.9$Linux_X86_64 LibreOffice_project/b8daf9e823b1a5463a2f48435ddc2e8696e7d4fc</Application>
  <AppVersion>15.0000</AppVersion>
  <Pages>20</Pages>
  <Words>7181</Words>
  <Characters>51403</Characters>
  <CharactersWithSpaces>58284</CharactersWithSpaces>
  <Paragraphs>375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2024-10-31T23:53:00Z</dcterms:created>
  <dc:creator>tsypilev_ag</dc:creator>
  <dc:description/>
  <dc:language>ru-RU</dc:language>
  <cp:lastModifiedBy>shistopaliv@corp.gidroogk.com</cp:lastModifiedBy>
  <cp:lastPrinted>2018-05-22T09:46:00Z</cp:lastPrinted>
  <dcterms:modified xsi:type="dcterms:W3CDTF">2026-05-07T15:28:09Z</dcterms:modified>
  <cp:revision>51</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