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b/>
          <w:bCs/>
          <w:sz w:val="26"/>
          <w:szCs w:val="26"/>
        </w:rPr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>ОКПД2 71.12.40.120. Поверка виброанализатора КНК-32 филиала ПАО «РусГидро» - «Бурейская ГЭС»</w:t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>Лот17-ЭКСП-БПД-2026-БурГЭС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130198582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0198583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0198584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0198585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0198586">
            <w:r>
              <w:rPr>
                <w:webHidden/>
                <w:rStyle w:val="Style14"/>
                <w:rFonts w:eastAsia="Calibri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0198587">
            <w:r>
              <w:rPr>
                <w:webHidden/>
                <w:rStyle w:val="Style14"/>
                <w:rFonts w:eastAsia="Calibri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0198588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0198589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_Toc130198589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0198590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0198591">
            <w:r>
              <w:rPr>
                <w:webHidden/>
                <w:rStyle w:val="Style14"/>
                <w:rFonts w:eastAsia="Calibri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0198592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0198593">
            <w:r>
              <w:rPr>
                <w:webHidden/>
                <w:rStyle w:val="Style14"/>
                <w:rFonts w:eastAsia="Calibri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30198594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0198595">
            <w:r>
              <w:rPr>
                <w:webHidden/>
                <w:rStyle w:val="Style14"/>
                <w:rFonts w:eastAsia="Calibri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/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0198597">
            <w:r>
              <w:rPr>
                <w:webHidden/>
                <w:rStyle w:val="Style14"/>
                <w:rFonts w:eastAsia="Calibri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_Toc130198597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30198582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130198583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shd w:val="clear" w:color="auto" w:fill="FFFFFF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tbl>
      <w:tblPr>
        <w:tblW w:w="9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91"/>
        <w:gridCol w:w="7688"/>
      </w:tblGrid>
      <w:tr>
        <w:trPr>
          <w:cantSplit w:val="true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измерения</w:t>
            </w:r>
          </w:p>
        </w:tc>
      </w:tr>
      <w:tr>
        <w:trPr>
          <w:cantSplit w:val="true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7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«Бурейская ГЭС»</w:t>
            </w:r>
          </w:p>
        </w:tc>
      </w:tr>
      <w:tr>
        <w:trPr>
          <w:cantSplit w:val="true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7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или физическое лицо, ставшее победителем конкурентной процедуры, с которым заключён договор на оказание услуг в соответствии с настоящими техническими требованиями</w:t>
            </w:r>
          </w:p>
        </w:tc>
      </w:tr>
      <w:tr>
        <w:trPr>
          <w:cantSplit w:val="true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или физическое лицо, заключившее с Исполнителем договор об оказании услуг в соответствии с настоящими техническими требованиями</w:t>
            </w:r>
          </w:p>
        </w:tc>
      </w:tr>
      <w:tr>
        <w:trPr>
          <w:cantSplit w:val="true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7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явным образом принявший участие в закупке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130198584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rFonts w:eastAsia="Calibri"/>
          <w:sz w:val="24"/>
          <w:szCs w:val="24"/>
          <w:lang w:eastAsia="x-none"/>
        </w:rPr>
        <w:t>Поверка виброанализатора КНК-32»</w:t>
      </w:r>
      <w:bookmarkStart w:id="5" w:name="_Toc46743507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Toc130198585"/>
      <w:r>
        <w:rPr/>
        <w:t xml:space="preserve">Цель </w:t>
      </w:r>
      <w:bookmarkEnd w:id="5"/>
      <w:r>
        <w:rPr>
          <w:lang w:val="ru-RU"/>
        </w:rPr>
        <w:t>оказания услуг</w:t>
      </w:r>
      <w:bookmarkEnd w:id="6"/>
    </w:p>
    <w:p>
      <w:pPr>
        <w:pStyle w:val="Normal"/>
        <w:rPr>
          <w:rFonts w:eastAsia="TimesNewRoman"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>
        <w:rPr>
          <w:bCs/>
          <w:sz w:val="24"/>
          <w:szCs w:val="24"/>
        </w:rPr>
        <w:t>Ц</w:t>
      </w:r>
      <w:r>
        <w:rPr>
          <w:bCs/>
          <w:sz w:val="24"/>
          <w:szCs w:val="24"/>
          <w:shd w:fill="FFFFFF" w:val="clear"/>
        </w:rPr>
        <w:t>елью оказания услуг является очередная</w:t>
      </w: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 xml:space="preserve"> поверка </w:t>
      </w:r>
      <w:r>
        <w:rPr>
          <w:rFonts w:eastAsia="TimesNewRoman"/>
          <w:sz w:val="24"/>
          <w:szCs w:val="24"/>
        </w:rPr>
        <w:t>Виброанализатора КНК-32 предназначенного для измерения, обработки и регистрации информации о</w:t>
      </w:r>
    </w:p>
    <w:p>
      <w:pPr>
        <w:pStyle w:val="BodyText"/>
        <w:tabs>
          <w:tab w:val="clear" w:pos="708"/>
          <w:tab w:val="left" w:pos="-142" w:leader="none"/>
          <w:tab w:val="left" w:pos="0" w:leader="none"/>
          <w:tab w:val="left" w:pos="284" w:leader="none"/>
        </w:tabs>
        <w:spacing w:before="0" w:after="0"/>
        <w:ind w:left="-142" w:hanging="0"/>
        <w:rPr/>
      </w:pPr>
      <w:r>
        <w:rPr>
          <w:rFonts w:eastAsia="TimesNewRoman"/>
          <w:sz w:val="24"/>
          <w:szCs w:val="24"/>
        </w:rPr>
        <w:t xml:space="preserve">  </w:t>
      </w:r>
      <w:r>
        <w:rPr>
          <w:rFonts w:eastAsia="TimesNewRoman"/>
          <w:sz w:val="24"/>
          <w:szCs w:val="24"/>
        </w:rPr>
        <w:t xml:space="preserve">параметрах абсолютной и относительной вибрации в соответствии с Приложением №1.     </w:t>
      </w:r>
    </w:p>
    <w:p>
      <w:pPr>
        <w:pStyle w:val="Normal"/>
        <w:suppressAutoHyphens w:val="false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7" w:name="_Toc46743508"/>
      <w:bookmarkStart w:id="8" w:name="_Toc130198586"/>
      <w:r>
        <w:rPr/>
        <w:t>Существующее положение</w:t>
      </w:r>
      <w:bookmarkEnd w:id="7"/>
      <w:bookmarkEnd w:id="8"/>
      <w:r>
        <w:rPr>
          <w:lang w:val="ru-RU"/>
        </w:rPr>
        <w:t xml:space="preserve"> </w:t>
      </w:r>
    </w:p>
    <w:p>
      <w:pPr>
        <w:pStyle w:val="BodyText"/>
        <w:widowControl w:val="false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firstLine="851"/>
        <w:jc w:val="both"/>
        <w:rPr/>
      </w:pPr>
      <w:r>
        <w:rPr>
          <w:rStyle w:val="Style8"/>
          <w:b w:val="false"/>
          <w:i w:val="false"/>
          <w:sz w:val="24"/>
          <w:szCs w:val="24"/>
          <w:shd w:fill="FFFFFF" w:val="clear"/>
        </w:rPr>
        <w:t>В настоящее время все СИ проходят периодическую поверку и калибровку, осуществляется метрологический контроль и надзор за СИ Филиала ПАО «РусГидро» - «Бурейская ГЭС», применяемыми в сфере государственного регулирования обеспечения единства измерений. Поверку СИ осуществляют аккредитованные в установленном порядке в области обеспечения единства измерений юридические лица и индивидуальные предприниматели,</w:t>
      </w:r>
      <w:r>
        <w:rPr/>
        <w:t xml:space="preserve"> </w:t>
      </w:r>
      <w:r>
        <w:rPr>
          <w:rStyle w:val="Style8"/>
          <w:b w:val="false"/>
          <w:i w:val="false"/>
          <w:sz w:val="24"/>
          <w:szCs w:val="24"/>
          <w:shd w:fill="FFFFFF" w:val="clear"/>
        </w:rPr>
        <w:t>для возможного дальнейшего использования в сфере государственного регулирования обеспечения единства измерений.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9" w:name="_Toc130198587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3147"/>
        <w:gridCol w:w="1841"/>
        <w:gridCol w:w="4113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Поверка средств измерений Филиала ПАО «РусГидро» - «Бурейская ГЭС»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Филиал ПАО «РусГидро» - «Бурейская ГЭС,  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Амурская область, пгт. Талакан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Средства измерения Филиала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0" w:name="_Toc130198588"/>
      <w:bookmarkStart w:id="11" w:name="_Toc51339693"/>
      <w:bookmarkStart w:id="12" w:name="_Hlk48209761"/>
      <w:bookmarkEnd w:id="1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3" w:name="_Toc13019858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3"/>
    </w:p>
    <w:p>
      <w:pPr>
        <w:pStyle w:val="Heading3"/>
        <w:numPr>
          <w:ilvl w:val="2"/>
          <w:numId w:val="3"/>
        </w:numPr>
        <w:rPr/>
      </w:pPr>
      <w:bookmarkStart w:id="14" w:name="_Toc130198590"/>
      <w:r>
        <w:rPr>
          <w:lang w:val="ru-RU"/>
        </w:rPr>
        <w:t>Требования к перечню и объему услуг</w:t>
      </w:r>
      <w:bookmarkEnd w:id="1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130198591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оказываемых услуг</w:t>
      </w:r>
      <w:bookmarkEnd w:id="15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FFFFFF" w:val="clear"/>
              </w:rPr>
              <w:t>Поверка виброанализатора КНК-32.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осуществляется согласно Приложению №1 к техническим требованиям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Toc130198592"/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оказания услуг</w:t>
      </w:r>
      <w:bookmarkEnd w:id="1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130198593"/>
      <w:bookmarkStart w:id="20" w:name="_Toc50125127"/>
      <w:bookmarkStart w:id="21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2"/>
      <w:r>
        <w:rPr>
          <w:sz w:val="24"/>
          <w:szCs w:val="24"/>
          <w:lang w:val="ru-RU"/>
        </w:rPr>
        <w:t>оказания услуг</w:t>
      </w:r>
      <w:bookmarkEnd w:id="19"/>
    </w:p>
    <w:tbl>
      <w:tblPr>
        <w:tblW w:w="98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1"/>
        <w:gridCol w:w="2548"/>
        <w:gridCol w:w="2981"/>
        <w:gridCol w:w="3149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 виброанализатора КНК-32.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Следующий день с даты подписания договора.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</w:t>
            </w:r>
            <w:bookmarkStart w:id="23" w:name="_GoBack"/>
            <w:bookmarkEnd w:id="23"/>
            <w:r>
              <w:rPr>
                <w:sz w:val="24"/>
                <w:szCs w:val="24"/>
              </w:rPr>
              <w:t>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51339698"/>
      <w:bookmarkStart w:id="25" w:name="_Toc130198594"/>
      <w:bookmarkStart w:id="26" w:name="_Toc46743511"/>
      <w:r>
        <w:rPr/>
        <w:t xml:space="preserve">Требования к </w:t>
      </w:r>
      <w:bookmarkEnd w:id="26"/>
      <w:r>
        <w:rPr>
          <w:lang w:val="ru-RU"/>
        </w:rPr>
        <w:t>качеству услуг</w:t>
      </w:r>
      <w:bookmarkEnd w:id="2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7" w:name="_Toc13019859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4"/>
      <w:r>
        <w:rPr>
          <w:sz w:val="24"/>
          <w:szCs w:val="24"/>
          <w:lang w:val="ru-RU"/>
        </w:rPr>
        <w:t>качеству услуг</w:t>
      </w:r>
      <w:bookmarkEnd w:id="27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(позиции №1</w:t>
      </w:r>
      <w:r>
        <w:rPr>
          <w:rStyle w:val="Style8"/>
          <w:b w:val="false"/>
          <w:bCs/>
          <w:sz w:val="24"/>
          <w:szCs w:val="24"/>
          <w:shd w:fill="FFFFFF" w:val="clear"/>
        </w:rPr>
        <w:t xml:space="preserve"> </w:t>
      </w:r>
      <w:r>
        <w:rPr>
          <w:b/>
          <w:bCs/>
          <w:sz w:val="24"/>
          <w:szCs w:val="24"/>
          <w:shd w:fill="FFFFFF" w:val="clear"/>
        </w:rPr>
        <w:t>Т</w:t>
      </w:r>
      <w:r>
        <w:rPr>
          <w:b/>
          <w:bCs/>
          <w:sz w:val="24"/>
          <w:szCs w:val="24"/>
        </w:rPr>
        <w:t xml:space="preserve">аблицы 2): </w:t>
      </w: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>Поверка виброанализатора КНК-32.</w:t>
      </w:r>
    </w:p>
    <w:tbl>
      <w:tblPr>
        <w:tblStyle w:val="affff7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2267"/>
        <w:gridCol w:w="7585"/>
      </w:tblGrid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5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5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8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8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Соблюдение при выполнении работ норм и правил нормативно-технических документов 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нормативно-техническими документами: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3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Федеральный Закон Российской Федерации от 26.06.2008 № 102-ФЗ «Об обеспечении единства измерений»;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4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ГОСТ Р 8.596-2002. ГСИ. Метрологическое обеспечение измерительных систем;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4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Правила по охране труда при эксплуатации электроустановок от 15.12.2020 N 903н;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Порядок проведения поверки средств измерений, требования к знаку поверки и содержанию свидетельства о поверке (утвержден Приказом Минпромторга России 31.07.2020г. №2510).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4" w:hanging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Правила противопожарного режима в Российской Федерации от 16.09.2020 N 1479;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85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проведения поверки</w:t>
            </w:r>
          </w:p>
        </w:tc>
        <w:tc>
          <w:tcPr>
            <w:tcW w:w="758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Поверка осуществляется по документу МП 55466-13 «Виброанализаторы КНК-32. Методика поверки», утвержденному ФГУП «ВНИИМС» в 2013 г.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8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эталонам и средствам измерения, применяемых при поверке</w:t>
            </w:r>
          </w:p>
        </w:tc>
        <w:tc>
          <w:tcPr>
            <w:tcW w:w="75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Эталоны единиц величин, используемые при поверке, должны соответствовать требованиям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Положения об эталонах единиц величин, используемых в сфере государственного регулирования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обеспечения единства измерений, средства измерений, используемые при поверке, должны быть утвержденного типа, поверены и соответствовать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требованиям методик поверки.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8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758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32" w:hanging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должны оказываться квалифицированным, обученным, персоналом, имеющим опыт производства аналогичных работ, квалификации персонала, привлекаемого к оказанию услуг (образование, опыт работы и т.д.). Привлекаемые к работе специалисты должны иметь квалификацию инженера метролога.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Наличие аккредитации</w:t>
            </w:r>
          </w:p>
        </w:tc>
        <w:tc>
          <w:tcPr>
            <w:tcW w:w="758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предоставить копию действующего Аттестата аккредитации на право проведения поверки СИ с приложением соответствующей области аккредитации.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8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8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758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Результатом оказания услуг является: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Поверка и калибровка СИ в соответствии с Приложением №1 к техническим требованиям;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Внесение результатов поверки в федеральный информационный фонд по обеспечению единства измерений;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отчетных документов по результатам проведенных работ (свидетельства о поверке СИ в печатном виде, поверительные клейма, нанесенные на СИ и на соответствующие страницы в паспорте на СИ, на свидетельства о поверке;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33" w:hanging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извещение о непригодности к применению СИ при отрицательных результатах поверки).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8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Внесение результатов поверки СИ в ФИФ</w:t>
            </w:r>
          </w:p>
        </w:tc>
        <w:tc>
          <w:tcPr>
            <w:tcW w:w="75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оказанных услуг производится после внесения результатов поверки СИ в Федеральный информационный фонд по обеспечению единства измерений.</w:t>
            </w:r>
          </w:p>
        </w:tc>
      </w:tr>
      <w:tr>
        <w:trPr>
          <w:trHeight w:val="813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98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758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Передать Заказчику с актами выполненных работ свидетельства о поверке СИ, голографические наклейки, нанесенные на СИ и на соответствующие страницы в паспорте на СИ, на свидетельства о поверке;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" w:hanging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Извещение о непригодности к применению СИ при отрицательных результатах поверки.</w:t>
            </w:r>
          </w:p>
        </w:tc>
      </w:tr>
    </w:tbl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29" w:name="_Toc130198597"/>
      <w:bookmarkStart w:id="30" w:name="_Toc54281228"/>
      <w:bookmarkStart w:id="31" w:name="_Toc54643711"/>
      <w:bookmarkStart w:id="32" w:name="_Toc467435191"/>
      <w:bookmarkStart w:id="33" w:name="_Toc513396991"/>
      <w:bookmarkEnd w:id="30"/>
      <w:bookmarkEnd w:id="31"/>
      <w:bookmarkEnd w:id="32"/>
      <w:bookmarkEnd w:id="33"/>
      <w:r>
        <w:rPr>
          <w:iCs/>
          <w:lang w:val="ru-RU"/>
        </w:rPr>
        <w:t>Приложения</w:t>
      </w:r>
      <w:bookmarkEnd w:id="2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>Приложение №1: Перечень комплекта виброанализатора.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i w:val="false"/>
          <w:i w:val="false"/>
          <w:iCs/>
          <w:sz w:val="24"/>
          <w:szCs w:val="24"/>
        </w:rPr>
      </w:pPr>
      <w:r>
        <w:rPr>
          <w:b w:val="false"/>
          <w:bCs/>
          <w:i w:val="false"/>
          <w:i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Start w:id="34" w:name="_Ref40301253"/>
      <w:bookmarkStart w:id="35" w:name="_Ref40301253"/>
      <w:bookmarkEnd w:id="35"/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uppressAutoHyphens w:val="false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Приложение №1 к Техническим требованиям</w:t>
      </w:r>
    </w:p>
    <w:p>
      <w:pPr>
        <w:pStyle w:val="Normal"/>
        <w:suppressAutoHyphens w:val="false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uppressAutoHyphens w:val="false"/>
        <w:jc w:val="center"/>
        <w:rPr>
          <w:spacing w:val="30"/>
          <w:sz w:val="24"/>
          <w:szCs w:val="24"/>
        </w:rPr>
      </w:pPr>
      <w:r>
        <w:rPr>
          <w:spacing w:val="30"/>
          <w:sz w:val="24"/>
          <w:szCs w:val="24"/>
        </w:rPr>
      </w:r>
    </w:p>
    <w:p>
      <w:pPr>
        <w:pStyle w:val="Normal"/>
        <w:suppressAutoHyphens w:val="false"/>
        <w:jc w:val="center"/>
        <w:rPr>
          <w:spacing w:val="30"/>
          <w:sz w:val="24"/>
          <w:szCs w:val="24"/>
        </w:rPr>
      </w:pPr>
      <w:r>
        <w:rPr>
          <w:spacing w:val="30"/>
          <w:sz w:val="24"/>
          <w:szCs w:val="24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sz w:val="24"/>
          <w:szCs w:val="24"/>
        </w:rPr>
      </w:pPr>
      <w:r>
        <w:rPr>
          <w:spacing w:val="30"/>
          <w:sz w:val="24"/>
          <w:szCs w:val="24"/>
        </w:rPr>
        <w:t>Перечень комплекта виброанализатора.</w:t>
      </w:r>
    </w:p>
    <w:p>
      <w:pPr>
        <w:pStyle w:val="Normal"/>
        <w:suppressAutoHyphens w:val="false"/>
        <w:ind w:left="7080" w:firstLine="708"/>
        <w:jc w:val="center"/>
        <w:rPr>
          <w:spacing w:val="20"/>
          <w:sz w:val="8"/>
          <w:szCs w:val="8"/>
        </w:rPr>
      </w:pPr>
      <w:r>
        <w:rPr>
          <w:spacing w:val="20"/>
          <w:sz w:val="24"/>
          <w:szCs w:val="24"/>
        </w:rPr>
        <w:t xml:space="preserve">     </w:t>
      </w:r>
    </w:p>
    <w:tbl>
      <w:tblPr>
        <w:tblpPr w:vertAnchor="text" w:horzAnchor="text" w:leftFromText="180" w:rightFromText="180" w:tblpX="0" w:tblpY="1"/>
        <w:tblW w:w="79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4"/>
        <w:gridCol w:w="5414"/>
        <w:gridCol w:w="1833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п/п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Наименование приборов комплекта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Кол-во, шт.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Виброанализатор КНК-32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Преобразователь относительных перемещений </w:t>
            </w:r>
            <w:r>
              <w:rPr>
                <w:sz w:val="24"/>
                <w:szCs w:val="24"/>
                <w:lang w:val="en-US"/>
              </w:rPr>
              <w:t xml:space="preserve">DB-3500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Преобразователь относительных перемещений </w:t>
            </w:r>
            <w:r>
              <w:rPr>
                <w:sz w:val="24"/>
                <w:szCs w:val="24"/>
                <w:lang w:val="en-US"/>
              </w:rPr>
              <w:t>DB-5900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Отметчик оборотов </w:t>
            </w:r>
            <w:r>
              <w:rPr>
                <w:sz w:val="24"/>
                <w:szCs w:val="24"/>
                <w:lang w:val="en-US"/>
              </w:rPr>
              <w:t>OL-5000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Отметчик оборотов </w:t>
            </w:r>
            <w:r>
              <w:rPr>
                <w:sz w:val="24"/>
                <w:szCs w:val="24"/>
                <w:lang w:val="en-US"/>
              </w:rPr>
              <w:t>OL-5900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Преобразователь виброперемещений ИВП-05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900" w:leader="none"/>
        </w:tabs>
        <w:spacing w:before="0" w:after="120"/>
        <w:rPr>
          <w:bCs/>
          <w:sz w:val="24"/>
          <w:szCs w:val="24"/>
        </w:rPr>
      </w:pPr>
      <w:r>
        <w:rPr/>
        <w:br w:type="textWrapping" w:clear="all"/>
      </w:r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574C1B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574C1B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6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4d259e"/>
    <w:rPr>
      <w:color w:val="0563C1" w:themeColor="hyperlink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10z0" w:customStyle="1">
    <w:name w:val="WW8Num10z0"/>
    <w:qFormat/>
    <w:rPr/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LineNumber" w:customStyle="1">
    <w:name w:val="Line Number"/>
    <w:rPr/>
  </w:style>
  <w:style w:type="character" w:styleId="23">
    <w:name w:val="Основной шрифт абзаца2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WW8Num10" w:customStyle="1">
    <w:name w:val="WW8Num10"/>
    <w:qFormat/>
  </w:style>
  <w:style w:type="numbering" w:styleId="WW8Num12" w:customStyle="1">
    <w:name w:val="WW8Num12"/>
    <w:qFormat/>
  </w:style>
  <w:style w:type="numbering" w:styleId="WW8Num15" w:customStyle="1">
    <w:name w:val="WW8Num15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B58F-DEB4-470E-8A7A-69D59E86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AlterOffice/3.4.0.9$Linux_X86_64 LibreOffice_project/b8daf9e823b1a5463a2f48435ddc2e8696e7d4fc</Application>
  <AppVersion>15.0000</AppVersion>
  <Pages>9</Pages>
  <Words>934</Words>
  <Characters>6316</Characters>
  <CharactersWithSpaces>7095</CharactersWithSpaces>
  <Paragraphs>187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2023-04-12T23:14:00Z</dcterms:created>
  <dc:creator>Быстров Олег Геннадьевич</dc:creator>
  <dc:description/>
  <dc:language>ru-RU</dc:language>
  <cp:lastModifiedBy>lysenkoea@corp.gidroogk.com</cp:lastModifiedBy>
  <cp:lastPrinted>2023-01-24T13:19:00Z</cp:lastPrinted>
  <dcterms:modified xsi:type="dcterms:W3CDTF">2026-05-10T11:00:29Z</dcterms:modified>
  <cp:revision>10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