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3.xlsx" ContentType="application/vnd.openxmlformats-officedocument.spreadsheetml.sheet"/>
  <Override PartName="/word/embeddings/oleObject1.docx" ContentType="application/vnd.openxmlformats-officedocument.wordprocessingml.documen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2.wmf" ContentType="image/x-wmf"/>
  <Override PartName="/word/media/image1.wmf" ContentType="image/x-wmf"/>
  <Override PartName="/word/media/image3.png" ContentType="image/png"/>
  <Override PartName="/word/media/image5.wmf" ContentType="image/x-wmf"/>
  <Override PartName="/word/media/image4.png" ContentType="image/png"/>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keepNext w:val="true"/>
        <w:spacing w:before="120" w:after="0"/>
        <w:ind w:left="4536" w:hanging="0"/>
        <w:rPr/>
      </w:pPr>
      <w:r>
        <w:rPr/>
      </w:r>
    </w:p>
    <w:p>
      <w:pPr>
        <w:pStyle w:val="Style30"/>
        <w:rPr/>
      </w:pPr>
      <w:r>
        <w:rPr/>
      </w:r>
    </w:p>
    <w:p>
      <w:pPr>
        <w:pStyle w:val="Style30"/>
        <w:rPr/>
      </w:pPr>
      <w:r>
        <w:rPr/>
      </w:r>
    </w:p>
    <w:p>
      <w:pPr>
        <w:pStyle w:val="Style30"/>
        <w:rPr/>
      </w:pPr>
      <w:r>
        <w:rPr/>
      </w:r>
    </w:p>
    <w:p>
      <w:pPr>
        <w:pStyle w:val="Style30"/>
        <w:rPr/>
      </w:pPr>
      <w:r>
        <w:rPr/>
      </w:r>
    </w:p>
    <w:p>
      <w:pPr>
        <w:pStyle w:val="Style30"/>
        <w:rPr/>
      </w:pPr>
      <w:r>
        <w:rPr/>
      </w:r>
    </w:p>
    <w:p>
      <w:pPr>
        <w:pStyle w:val="Style30"/>
        <w:keepNext w:val="true"/>
        <w:numPr>
          <w:ilvl w:val="0"/>
          <w:numId w:val="0"/>
        </w:numPr>
        <w:ind w:left="0" w:hanging="0"/>
        <w:jc w:val="center"/>
        <w:outlineLvl w:val="2"/>
        <w:rPr>
          <w:b/>
          <w:bCs/>
          <w:caps/>
        </w:rPr>
      </w:pPr>
      <w:r>
        <w:rPr>
          <w:b/>
          <w:bCs/>
          <w:caps/>
        </w:rPr>
        <w:t>Документация о закупке</w:t>
      </w:r>
    </w:p>
    <w:p>
      <w:pPr>
        <w:pStyle w:val="Style30"/>
        <w:keepNext w:val="true"/>
        <w:spacing w:before="240" w:after="0"/>
        <w:jc w:val="center"/>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Состязательный отбор в электронной форме,</w:t>
        <w:br/>
        <w:t>участниками которого могут быть только субъекты МСП,</w:t>
        <w:br/>
        <w:t>на право заключения договора на «ОКПД2 14.12.3 Поставка средств индивидуальной защиты от общепроизводственных загрязнений в корпоративном стиле Группы РусГидро для нужд Филиала ПАО «РусГидро» - «Саяно-Шушенская ГЭС имени П.С. Непорожнего»</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Style30"/>
        <w:keepNext w:val="true"/>
        <w:spacing w:before="240" w:after="0"/>
        <w:jc w:val="center"/>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(Лот № 1-ЭКСППРОД-2026-СШГЭС)</w:t>
      </w:r>
    </w:p>
    <w:p>
      <w:pPr>
        <w:pStyle w:val="Style29"/>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20"/>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20"/>
              <w:vanish w:val="false"/>
            </w:rPr>
            <w:fldChar w:fldCharType="separate"/>
          </w:r>
          <w:hyperlink w:anchor="_Toc186224270">
            <w:r>
              <w:rPr>
                <w:webHidden/>
                <w:rStyle w:val="Style20"/>
                <w:vanish w:val="false"/>
              </w:rPr>
              <w:t>Сокращения</w:t>
            </w:r>
            <w:r>
              <w:rPr>
                <w:webHidden/>
              </w:rPr>
              <w:fldChar w:fldCharType="begin"/>
            </w:r>
            <w:r>
              <w:rPr>
                <w:webHidden/>
              </w:rPr>
              <w:instrText xml:space="preserve">PAGEREF _Toc186224270 \h</w:instrText>
            </w:r>
            <w:r>
              <w:rPr>
                <w:webHidden/>
              </w:rPr>
              <w:fldChar w:fldCharType="separate"/>
            </w:r>
            <w:r>
              <w:rPr>
                <w:rStyle w:val="Style20"/>
              </w:rPr>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Style w:val="Style20"/>
                <w:vanish w:val="false"/>
              </w:rPr>
              <w:t>Термины и определения</w:t>
            </w:r>
            <w:r>
              <w:rPr>
                <w:webHidden/>
              </w:rPr>
              <w:fldChar w:fldCharType="begin"/>
            </w:r>
            <w:r>
              <w:rPr>
                <w:webHidden/>
              </w:rPr>
              <w:instrText xml:space="preserve">PAGEREF _Toc186224271 \h</w:instrText>
            </w:r>
            <w:r>
              <w:rPr>
                <w:webHidden/>
              </w:rPr>
              <w:fldChar w:fldCharType="separate"/>
            </w:r>
            <w:r>
              <w:rPr>
                <w:rStyle w:val="Style20"/>
              </w:rPr>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20"/>
                <w:vanish w:val="false"/>
              </w:rPr>
              <w:t>1.</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_Toc186224272 \h</w:instrText>
            </w:r>
            <w:r>
              <w:rPr>
                <w:webHidden/>
              </w:rPr>
              <w:fldChar w:fldCharType="separate"/>
            </w:r>
            <w:r>
              <w:rPr>
                <w:rStyle w:val="Style20"/>
              </w:rPr>
              <w:t>Основные сведения о закупке</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20"/>
                <w:vanish w:val="false"/>
              </w:rPr>
              <w:t>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_Toc186224273 \h</w:instrText>
            </w:r>
            <w:r>
              <w:rPr>
                <w:webHidden/>
              </w:rPr>
              <w:fldChar w:fldCharType="separate"/>
            </w:r>
            <w:r>
              <w:rPr>
                <w:rStyle w:val="Style20"/>
              </w:rPr>
              <w:t>Статус настоящего раздела</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20"/>
                <w:vanish w:val="false"/>
              </w:rPr>
              <w:t>1.2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_Toc186224274 \h</w:instrText>
            </w:r>
            <w:r>
              <w:rPr>
                <w:webHidden/>
              </w:rPr>
              <w:fldChar w:fldCharType="separate"/>
            </w:r>
            <w:r>
              <w:rPr>
                <w:rStyle w:val="Style20"/>
              </w:rPr>
              <w:t>Информация о проводимой закупке</w:t>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20"/>
                <w:vanish w:val="false"/>
              </w:rPr>
              <w:t>2.</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_Toc186224275 \h</w:instrText>
            </w:r>
            <w:r>
              <w:rPr>
                <w:webHidden/>
              </w:rPr>
              <w:fldChar w:fldCharType="separate"/>
            </w:r>
            <w:r>
              <w:rPr>
                <w:rStyle w:val="Style20"/>
              </w:rPr>
              <w:t>Общие положения</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20"/>
                <w:vanish w:val="false"/>
              </w:rPr>
              <w:t>2.1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_Toc186224276 \h</w:instrText>
            </w:r>
            <w:r>
              <w:rPr>
                <w:webHidden/>
              </w:rPr>
              <w:fldChar w:fldCharType="separate"/>
            </w:r>
            <w:r>
              <w:rPr>
                <w:rStyle w:val="Style20"/>
              </w:rPr>
              <w:t>Общие сведения о закупке</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20"/>
                <w:vanish w:val="false"/>
              </w:rPr>
              <w:t>2.2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_Toc186224277 \h</w:instrText>
            </w:r>
            <w:r>
              <w:rPr>
                <w:webHidden/>
              </w:rPr>
              <w:fldChar w:fldCharType="separate"/>
            </w:r>
            <w:r>
              <w:rPr>
                <w:rStyle w:val="Style20"/>
              </w:rPr>
              <w:t>Правовой статус документов</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20"/>
                <w:vanish w:val="false"/>
              </w:rPr>
              <w:t>2.3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_Toc186224278 \h</w:instrText>
            </w:r>
            <w:r>
              <w:rPr>
                <w:webHidden/>
              </w:rPr>
              <w:fldChar w:fldCharType="separate"/>
            </w:r>
            <w:r>
              <w:rPr>
                <w:rStyle w:val="Style20"/>
              </w:rPr>
              <w:t>Обжалование</w:t>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20"/>
                <w:vanish w:val="false"/>
              </w:rPr>
              <w:t>2.4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_Toc186224279 \h</w:instrText>
            </w:r>
            <w:r>
              <w:rPr>
                <w:webHidden/>
              </w:rPr>
              <w:fldChar w:fldCharType="separate"/>
            </w:r>
            <w:r>
              <w:rPr>
                <w:rStyle w:val="Style20"/>
              </w:rPr>
              <w:t>Особые положения при проведении закупки с использованием ЭП</w:t>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20"/>
                <w:vanish w:val="false"/>
              </w:rPr>
              <w:t>2.5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_Toc186224280 \h</w:instrText>
            </w:r>
            <w:r>
              <w:rPr>
                <w:webHidden/>
              </w:rPr>
              <w:fldChar w:fldCharType="separate"/>
            </w:r>
            <w:r>
              <w:rPr>
                <w:rStyle w:val="Style20"/>
              </w:rPr>
              <w:t>Прочие положения</w:t>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20"/>
                <w:vanish w:val="false"/>
              </w:rPr>
              <w:t>3.</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_Toc186224281 \h</w:instrText>
            </w:r>
            <w:r>
              <w:rPr>
                <w:webHidden/>
              </w:rPr>
              <w:fldChar w:fldCharType="separate"/>
            </w:r>
            <w:r>
              <w:rPr>
                <w:rStyle w:val="Style20"/>
              </w:rPr>
              <w:t>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20"/>
                <w:vanish w:val="false"/>
              </w:rPr>
              <w:t>3.1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_Toc186224282 \h</w:instrText>
            </w:r>
            <w:r>
              <w:rPr>
                <w:webHidden/>
              </w:rPr>
              <w:fldChar w:fldCharType="separate"/>
            </w:r>
            <w:r>
              <w:rPr>
                <w:rStyle w:val="Style20"/>
              </w:rPr>
              <w:t>Общие 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20"/>
                <w:vanish w:val="false"/>
              </w:rPr>
              <w:t>3.2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_Toc186224283 \h</w:instrText>
            </w:r>
            <w:r>
              <w:rPr>
                <w:webHidden/>
              </w:rPr>
              <w:fldChar w:fldCharType="separate"/>
            </w:r>
            <w:r>
              <w:rPr>
                <w:rStyle w:val="Style20"/>
              </w:rPr>
              <w:t>Коллективные участники</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20"/>
                <w:vanish w:val="false"/>
              </w:rPr>
              <w:t>3.3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_Toc186224284 \h</w:instrText>
            </w:r>
            <w:r>
              <w:rPr>
                <w:webHidden/>
              </w:rPr>
              <w:fldChar w:fldCharType="separate"/>
            </w:r>
            <w:r>
              <w:rPr>
                <w:rStyle w:val="Style20"/>
              </w:rPr>
              <w:t>Генеральные подрядчики</w:t>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20"/>
                <w:vanish w:val="false"/>
              </w:rPr>
              <w:t>4.</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_Toc186224285 \h</w:instrText>
            </w:r>
            <w:r>
              <w:rPr>
                <w:webHidden/>
              </w:rPr>
              <w:fldChar w:fldCharType="separate"/>
            </w:r>
            <w:r>
              <w:rPr>
                <w:rStyle w:val="Style20"/>
              </w:rPr>
              <w:t>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20"/>
                <w:vanish w:val="false"/>
              </w:rPr>
              <w:t>4.1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_Toc186224286 \h</w:instrText>
            </w:r>
            <w:r>
              <w:rPr>
                <w:webHidden/>
              </w:rPr>
              <w:fldChar w:fldCharType="separate"/>
            </w:r>
            <w:r>
              <w:rPr>
                <w:rStyle w:val="Style20"/>
              </w:rPr>
              <w:t>Общий 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20"/>
                <w:vanish w:val="false"/>
              </w:rPr>
              <w:t>4.2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_Toc186224287 \h</w:instrText>
            </w:r>
            <w:r>
              <w:rPr>
                <w:webHidden/>
              </w:rPr>
              <w:fldChar w:fldCharType="separate"/>
            </w:r>
            <w:r>
              <w:rPr>
                <w:rStyle w:val="Style20"/>
              </w:rPr>
              <w:t>Официальное размещение Извещения и Документации о закупке</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20"/>
                <w:vanish w:val="false"/>
              </w:rPr>
              <w:t>4.3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_Toc186224288 \h</w:instrText>
            </w:r>
            <w:r>
              <w:rPr>
                <w:webHidden/>
              </w:rPr>
              <w:fldChar w:fldCharType="separate"/>
            </w:r>
            <w:r>
              <w:rPr>
                <w:rStyle w:val="Style20"/>
              </w:rPr>
              <w:t>Подготовка заявки</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20"/>
                <w:vanish w:val="false"/>
              </w:rPr>
              <w:t>4.4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_Toc186224289 \h</w:instrText>
            </w:r>
            <w:r>
              <w:rPr>
                <w:webHidden/>
              </w:rPr>
              <w:fldChar w:fldCharType="separate"/>
            </w:r>
            <w:r>
              <w:rPr>
                <w:rStyle w:val="Style20"/>
              </w:rPr>
              <w:t>Разъяснение Документации о закупке</w:t>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20"/>
                <w:vanish w:val="false"/>
              </w:rPr>
              <w:t>4.5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_Toc186224290 \h</w:instrText>
            </w:r>
            <w:r>
              <w:rPr>
                <w:webHidden/>
              </w:rPr>
              <w:fldChar w:fldCharType="separate"/>
            </w:r>
            <w:r>
              <w:rPr>
                <w:rStyle w:val="Style20"/>
              </w:rPr>
              <w:t>Изменения Извещения и (или) Документации о закупке</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20"/>
                <w:vanish w:val="false"/>
              </w:rPr>
              <w:t>4.6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_Toc186224291 \h</w:instrText>
            </w:r>
            <w:r>
              <w:rPr>
                <w:webHidden/>
              </w:rPr>
              <w:fldChar w:fldCharType="separate"/>
            </w:r>
            <w:r>
              <w:rPr>
                <w:rStyle w:val="Style20"/>
              </w:rPr>
              <w:t>Подача заявок и их прием</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20"/>
                <w:vanish w:val="false"/>
              </w:rPr>
              <w:t>4.7</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_Toc186224292 \h</w:instrText>
            </w:r>
            <w:r>
              <w:rPr>
                <w:webHidden/>
              </w:rPr>
              <w:fldChar w:fldCharType="separate"/>
            </w:r>
            <w:r>
              <w:rPr>
                <w:rStyle w:val="Style20"/>
              </w:rPr>
              <w:t>Изменение и отзыв заявок</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20"/>
                <w:vanish w:val="false"/>
              </w:rPr>
              <w:t>4.8</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_Toc186224293 \h</w:instrText>
            </w:r>
            <w:r>
              <w:rPr>
                <w:webHidden/>
              </w:rPr>
              <w:fldChar w:fldCharType="separate"/>
            </w:r>
            <w:r>
              <w:rPr>
                <w:rStyle w:val="Style20"/>
              </w:rPr>
              <w:t>Открытие доступа к заявкам</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20"/>
                <w:vanish w:val="false"/>
              </w:rPr>
              <w:t>4.9</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_Toc186224294 \h</w:instrText>
            </w:r>
            <w:r>
              <w:rPr>
                <w:webHidden/>
              </w:rPr>
              <w:fldChar w:fldCharType="separate"/>
            </w:r>
            <w:r>
              <w:rPr>
                <w:rStyle w:val="Style20"/>
              </w:rPr>
              <w:t>Рассмотрение заявок (отборочная стадия), в том числе (при необходимости) проведение аккредитации</w:t>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20"/>
                <w:vanish w:val="false"/>
              </w:rPr>
              <w:t>4.10</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_Toc186224295 \h</w:instrText>
            </w:r>
            <w:r>
              <w:rPr>
                <w:webHidden/>
              </w:rPr>
              <w:fldChar w:fldCharType="separate"/>
            </w:r>
            <w:r>
              <w:rPr>
                <w:rStyle w:val="Style20"/>
              </w:rPr>
              <w:t>Дополнительные запросы разъяснений заявок</w:t>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20"/>
                <w:vanish w:val="false"/>
              </w:rPr>
              <w:t>4.11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_Toc186224296 \h</w:instrText>
            </w:r>
            <w:r>
              <w:rPr>
                <w:webHidden/>
              </w:rPr>
              <w:fldChar w:fldCharType="separate"/>
            </w:r>
            <w:r>
              <w:rPr>
                <w:rStyle w:val="Style20"/>
              </w:rPr>
              <w:t>Переторжка</w:t>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20"/>
                <w:vanish w:val="false"/>
              </w:rPr>
              <w:t>4.12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_Toc186224297 \h</w:instrText>
            </w:r>
            <w:r>
              <w:rPr>
                <w:webHidden/>
              </w:rPr>
              <w:fldChar w:fldCharType="separate"/>
            </w:r>
            <w:r>
              <w:rPr>
                <w:rStyle w:val="Style20"/>
              </w:rPr>
              <w:t>Оценка и сопоставление заявок</w:t>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20"/>
                <w:vanish w:val="false"/>
              </w:rPr>
              <w:t>4.13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_Toc186224298 \h</w:instrText>
            </w:r>
            <w:r>
              <w:rPr>
                <w:webHidden/>
              </w:rPr>
              <w:fldChar w:fldCharType="separate"/>
            </w:r>
            <w:r>
              <w:rPr>
                <w:rStyle w:val="Style20"/>
              </w:rPr>
              <w:t>Применение законодательства о национальном режиме</w:t>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20"/>
                <w:vanish w:val="false"/>
              </w:rPr>
              <w:t>4.14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_Toc186224299 \h</w:instrText>
            </w:r>
            <w:r>
              <w:rPr>
                <w:webHidden/>
              </w:rPr>
              <w:fldChar w:fldCharType="separate"/>
            </w:r>
            <w:r>
              <w:rPr>
                <w:rStyle w:val="Style20"/>
              </w:rPr>
              <w:t>Подведение итогов закупки (определение Победителя)</w:t>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20"/>
                <w:vanish w:val="false"/>
              </w:rPr>
              <w:t>4.15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_Toc186224300 \h</w:instrText>
            </w:r>
            <w:r>
              <w:rPr>
                <w:webHidden/>
              </w:rPr>
              <w:fldChar w:fldCharType="separate"/>
            </w:r>
            <w:r>
              <w:rPr>
                <w:rStyle w:val="Style20"/>
              </w:rPr>
              <w:t>Признание закупки несостоявшейся</w:t>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20"/>
                <w:vanish w:val="false"/>
              </w:rPr>
              <w:t>4.16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_Toc186224301 \h</w:instrText>
            </w:r>
            <w:r>
              <w:rPr>
                <w:webHidden/>
              </w:rPr>
              <w:fldChar w:fldCharType="separate"/>
            </w:r>
            <w:r>
              <w:rPr>
                <w:rStyle w:val="Style20"/>
              </w:rPr>
              <w:t>Отказ от проведения закупки (отмена закупки)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20"/>
                <w:vanish w:val="false"/>
              </w:rPr>
              <w:t>4.17</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_Toc186224302 \h</w:instrText>
            </w:r>
            <w:r>
              <w:rPr>
                <w:webHidden/>
              </w:rPr>
              <w:fldChar w:fldCharType="separate"/>
            </w:r>
            <w:r>
              <w:rPr>
                <w:rStyle w:val="Style20"/>
              </w:rPr>
              <w:t>Особенности проведения закупки с необходимостью обеспечения заявки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20"/>
                <w:vanish w:val="false"/>
              </w:rPr>
              <w:t>4.18</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_Toc186224303 \h</w:instrText>
            </w:r>
            <w:r>
              <w:rPr>
                <w:webHidden/>
              </w:rPr>
              <w:fldChar w:fldCharType="separate"/>
            </w:r>
            <w:r>
              <w:rPr>
                <w:rStyle w:val="Style20"/>
              </w:rPr>
              <w:t>Особенности проведения многолотовой закупки</w:t>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20"/>
                <w:vanish w:val="false"/>
              </w:rPr>
              <w:t>4.19</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_Toc186224304 \h</w:instrText>
            </w:r>
            <w:r>
              <w:rPr>
                <w:webHidden/>
              </w:rPr>
              <w:fldChar w:fldCharType="separate"/>
            </w:r>
            <w:r>
              <w:rPr>
                <w:rStyle w:val="Style20"/>
              </w:rPr>
              <w:t>Особенности проведения закупки с возможностью подачи альтернативных предложений</w:t>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20"/>
                <w:vanish w:val="false"/>
              </w:rPr>
              <w:t>4.20</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_Toc186224305 \h</w:instrText>
            </w:r>
            <w:r>
              <w:rPr>
                <w:webHidden/>
              </w:rPr>
              <w:fldChar w:fldCharType="separate"/>
            </w:r>
            <w:r>
              <w:rPr>
                <w:rStyle w:val="Style20"/>
              </w:rPr>
              <w:t>Особенности проведения закупки с выбором нескольких победителей</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20"/>
                <w:vanish w:val="false"/>
              </w:rPr>
              <w:t>5.</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_Toc186224306 \h</w:instrText>
            </w:r>
            <w:r>
              <w:rPr>
                <w:webHidden/>
              </w:rPr>
              <w:fldChar w:fldCharType="separate"/>
            </w:r>
            <w:r>
              <w:rPr>
                <w:rStyle w:val="Style20"/>
              </w:rPr>
              <w:t>Порядок заключения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20"/>
                <w:vanish w:val="false"/>
              </w:rPr>
              <w:t>5.1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_Toc186224307 \h</w:instrText>
            </w:r>
            <w:r>
              <w:rPr>
                <w:webHidden/>
              </w:rPr>
              <w:fldChar w:fldCharType="separate"/>
            </w:r>
            <w:r>
              <w:rPr>
                <w:rStyle w:val="Style20"/>
              </w:rPr>
              <w:t>Общие положения</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20"/>
                <w:vanish w:val="false"/>
              </w:rPr>
              <w:t>5.2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_Toc186224308 \h</w:instrText>
            </w:r>
            <w:r>
              <w:rPr>
                <w:webHidden/>
              </w:rPr>
              <w:fldChar w:fldCharType="separate"/>
            </w:r>
            <w:r>
              <w:rPr>
                <w:rStyle w:val="Style20"/>
              </w:rPr>
              <w:t>Заключение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20"/>
                <w:vanish w:val="false"/>
              </w:rPr>
              <w:t>5.3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_Toc186224309 \h</w:instrText>
            </w:r>
            <w:r>
              <w:rPr>
                <w:webHidden/>
              </w:rPr>
              <w:fldChar w:fldCharType="separate"/>
            </w:r>
            <w:r>
              <w:rPr>
                <w:rStyle w:val="Style20"/>
              </w:rPr>
              <w:t>Преддоговорные переговоры</w:t>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20"/>
                <w:vanish w:val="false"/>
              </w:rPr>
              <w:t>5.4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_Toc186224310 \h</w:instrText>
            </w:r>
            <w:r>
              <w:rPr>
                <w:webHidden/>
              </w:rPr>
              <w:fldChar w:fldCharType="separate"/>
            </w:r>
            <w:r>
              <w:rPr>
                <w:rStyle w:val="Style20"/>
              </w:rPr>
              <w:t>Уклонение Победителя от заключения Договора</w:t>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20"/>
                <w:vanish w:val="false"/>
              </w:rPr>
              <w:t>6.</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_Toc186224311 \h</w:instrText>
            </w:r>
            <w:r>
              <w:rPr>
                <w:webHidden/>
              </w:rPr>
              <w:fldChar w:fldCharType="separate"/>
            </w:r>
            <w:r>
              <w:rPr>
                <w:rStyle w:val="Style20"/>
              </w:rPr>
              <w:t>Приложение № 1 – Технические требования</w:t>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20"/>
                <w:vanish w:val="false"/>
              </w:rPr>
              <w:t>6.1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_Toc186224312 \h</w:instrText>
            </w:r>
            <w:r>
              <w:rPr>
                <w:webHidden/>
              </w:rPr>
              <w:fldChar w:fldCharType="separate"/>
            </w:r>
            <w:r>
              <w:rPr>
                <w:rStyle w:val="Style20"/>
              </w:rPr>
              <w:t>Пояснения к Техническим требованиям</w:t>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20"/>
                <w:vanish w:val="false"/>
              </w:rPr>
              <w:t>7.</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_Toc186224313 \h</w:instrText>
            </w:r>
            <w:r>
              <w:rPr>
                <w:webHidden/>
              </w:rPr>
              <w:fldChar w:fldCharType="separate"/>
            </w:r>
            <w:r>
              <w:rPr>
                <w:rStyle w:val="Style20"/>
              </w:rPr>
              <w:t>Приложение № 2 – Проект договора</w:t>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20"/>
                <w:vanish w:val="false"/>
              </w:rPr>
              <w:t>7.1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_Toc186224314 \h</w:instrText>
            </w:r>
            <w:r>
              <w:rPr>
                <w:webHidden/>
              </w:rPr>
              <w:fldChar w:fldCharType="separate"/>
            </w:r>
            <w:r>
              <w:rPr>
                <w:rStyle w:val="Style20"/>
              </w:rPr>
              <w:t>Пояснения к Проекту договора</w:t>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20"/>
                <w:vanish w:val="false"/>
              </w:rPr>
              <w:t>8.</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_Toc186224315 \h</w:instrText>
            </w:r>
            <w:r>
              <w:rPr>
                <w:webHidden/>
              </w:rPr>
              <w:fldChar w:fldCharType="separate"/>
            </w:r>
            <w:r>
              <w:rPr>
                <w:rStyle w:val="Style20"/>
              </w:rPr>
              <w:t>Приложение № 3 – Требования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20"/>
                <w:vanish w:val="false"/>
              </w:rPr>
              <w:t>8.1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_Toc186224316 \h</w:instrText>
            </w:r>
            <w:r>
              <w:rPr>
                <w:webHidden/>
              </w:rPr>
              <w:fldChar w:fldCharType="separate"/>
            </w:r>
            <w:r>
              <w:rPr>
                <w:rStyle w:val="Style20"/>
              </w:rPr>
              <w:t>Пояснения к требованиям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20"/>
                <w:vanish w:val="false"/>
              </w:rPr>
              <w:t>8.2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_Toc186224317 \h</w:instrText>
            </w:r>
            <w:r>
              <w:rPr>
                <w:webHidden/>
              </w:rPr>
              <w:fldChar w:fldCharType="separate"/>
            </w:r>
            <w:r>
              <w:rPr>
                <w:rStyle w:val="Style20"/>
              </w:rPr>
              <w:t>Обязательные требования</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20"/>
                <w:vanish w:val="false"/>
              </w:rPr>
              <w:t>8.3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_Toc186224318 \h</w:instrText>
            </w:r>
            <w:r>
              <w:rPr>
                <w:webHidden/>
              </w:rPr>
              <w:fldChar w:fldCharType="separate"/>
            </w:r>
            <w:r>
              <w:rPr>
                <w:rStyle w:val="Style20"/>
              </w:rPr>
              <w:t>Специальные требования</w:t>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20"/>
                <w:vanish w:val="false"/>
              </w:rPr>
              <w:t>8.4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_Toc186224319 \h</w:instrText>
            </w:r>
            <w:r>
              <w:rPr>
                <w:webHidden/>
              </w:rPr>
              <w:fldChar w:fldCharType="separate"/>
            </w:r>
            <w:r>
              <w:rPr>
                <w:rStyle w:val="Style20"/>
              </w:rPr>
              <w:t>Квалификационные требования</w:t>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20"/>
                <w:vanish w:val="false"/>
              </w:rPr>
              <w:t>8.5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_Toc186224320 \h</w:instrText>
            </w:r>
            <w:r>
              <w:rPr>
                <w:webHidden/>
              </w:rPr>
              <w:fldChar w:fldCharType="separate"/>
            </w:r>
            <w:r>
              <w:rPr>
                <w:rStyle w:val="Style20"/>
              </w:rPr>
              <w:t>Дополнительные требования к Коллективным участникам</w:t>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20"/>
                <w:vanish w:val="false"/>
              </w:rPr>
              <w:t>8.6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_Toc186224321 \h</w:instrText>
            </w:r>
            <w:r>
              <w:rPr>
                <w:webHidden/>
              </w:rPr>
              <w:fldChar w:fldCharType="separate"/>
            </w:r>
            <w:r>
              <w:rPr>
                <w:rStyle w:val="Style20"/>
              </w:rPr>
              <w:t>Дополнительные требования к Генеральным подрядчикам</w:t>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20"/>
                <w:vanish w:val="false"/>
              </w:rPr>
              <w:t>9.</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_Toc186224322 \h</w:instrText>
            </w:r>
            <w:r>
              <w:rPr>
                <w:webHidden/>
              </w:rPr>
              <w:fldChar w:fldCharType="separate"/>
            </w:r>
            <w:r>
              <w:rPr>
                <w:rStyle w:val="Style20"/>
              </w:rPr>
              <w:t>Приложение № 4 – Образцы форм документов, включаемых в состав заявки</w:t>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20"/>
                <w:vanish w:val="false"/>
              </w:rPr>
              <w:t>9.1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_Toc186224323 \h</w:instrText>
            </w:r>
            <w:r>
              <w:rPr>
                <w:webHidden/>
              </w:rPr>
              <w:fldChar w:fldCharType="separate"/>
            </w:r>
            <w:r>
              <w:rPr>
                <w:rStyle w:val="Style20"/>
              </w:rPr>
              <w:t>Пояснения к Образцам форм документов, включаемых в состав заявки</w:t>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20"/>
                <w:vanish w:val="false"/>
              </w:rPr>
              <w:t>10.</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_Toc186224324 \h</w:instrText>
            </w:r>
            <w:r>
              <w:rPr>
                <w:webHidden/>
              </w:rPr>
              <w:fldChar w:fldCharType="separate"/>
            </w:r>
            <w:r>
              <w:rPr>
                <w:rStyle w:val="Style20"/>
              </w:rPr>
              <w:t>Приложение № 5 – Образцы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20"/>
                <w:vanish w:val="false"/>
              </w:rPr>
              <w:t>10.1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_Toc186224325 \h</w:instrText>
            </w:r>
            <w:r>
              <w:rPr>
                <w:webHidden/>
              </w:rPr>
              <w:fldChar w:fldCharType="separate"/>
            </w:r>
            <w:r>
              <w:rPr>
                <w:rStyle w:val="Style20"/>
              </w:rPr>
              <w:t>Пояснения к Образцам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20"/>
                <w:vanish w:val="false"/>
              </w:rPr>
              <w:t>10.2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_Toc186224326 \h</w:instrText>
            </w:r>
            <w:r>
              <w:rPr>
                <w:webHidden/>
              </w:rPr>
              <w:fldChar w:fldCharType="separate"/>
            </w:r>
            <w:r>
              <w:rPr>
                <w:rStyle w:val="Style20"/>
              </w:rPr>
              <w:t>Форма справки «Сведения о цепочке собственников, включая бенефициаров (в том числе конечных)»</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20"/>
                <w:vanish w:val="false"/>
              </w:rPr>
              <w:t>10.3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_Toc186224327 \h</w:instrText>
            </w:r>
            <w:r>
              <w:rPr>
                <w:webHidden/>
              </w:rPr>
              <w:fldChar w:fldCharType="separate"/>
            </w:r>
            <w:r>
              <w:rPr>
                <w:rStyle w:val="Style20"/>
              </w:rPr>
              <w:t>Форма «Заверение об обстоятельствах»</w:t>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20"/>
                <w:vanish w:val="false"/>
              </w:rPr>
              <w:t>11.</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_Toc186224328 \h</w:instrText>
            </w:r>
            <w:r>
              <w:rPr>
                <w:webHidden/>
              </w:rPr>
              <w:fldChar w:fldCharType="separate"/>
            </w:r>
            <w:r>
              <w:rPr>
                <w:rStyle w:val="Style20"/>
              </w:rPr>
              <w:t>Приложение № 6 – Состав заявки</w:t>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20"/>
                <w:vanish w:val="false"/>
              </w:rPr>
              <w:t>11.1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_Toc186224329 \h</w:instrText>
            </w:r>
            <w:r>
              <w:rPr>
                <w:webHidden/>
              </w:rPr>
              <w:fldChar w:fldCharType="separate"/>
            </w:r>
            <w:r>
              <w:rPr>
                <w:rStyle w:val="Style20"/>
              </w:rPr>
              <w:t>Состав заявки</w:t>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20"/>
                <w:vanish w:val="false"/>
              </w:rPr>
              <w:t>12.</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_Toc186224330 \h</w:instrText>
            </w:r>
            <w:r>
              <w:rPr>
                <w:webHidden/>
              </w:rPr>
              <w:fldChar w:fldCharType="separate"/>
            </w:r>
            <w:r>
              <w:rPr>
                <w:rStyle w:val="Style20"/>
              </w:rPr>
              <w:t>Приложение № 7 – 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20"/>
                <w:vanish w:val="false"/>
              </w:rPr>
              <w:t>12.1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_Toc186224331 \h</w:instrText>
            </w:r>
            <w:r>
              <w:rPr>
                <w:webHidden/>
              </w:rPr>
              <w:fldChar w:fldCharType="separate"/>
            </w:r>
            <w:r>
              <w:rPr>
                <w:rStyle w:val="Style20"/>
              </w:rPr>
              <w:t>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20"/>
                <w:vanish w:val="false"/>
              </w:rPr>
              <w:t>12.2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_Toc186224332 \h</w:instrText>
            </w:r>
            <w:r>
              <w:rPr>
                <w:webHidden/>
              </w:rPr>
              <w:fldChar w:fldCharType="separate"/>
            </w:r>
            <w:r>
              <w:rPr>
                <w:rStyle w:val="Style20"/>
              </w:rPr>
              <w:t>Дополнительные критерии проверки заявок на соответствие условиям Документации о закупке</w:t>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20"/>
                <w:vanish w:val="false"/>
              </w:rPr>
              <w:t>13.</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_Toc186224333 \h</w:instrText>
            </w:r>
            <w:r>
              <w:rPr>
                <w:webHidden/>
              </w:rPr>
              <w:fldChar w:fldCharType="separate"/>
            </w:r>
            <w:r>
              <w:rPr>
                <w:rStyle w:val="Style20"/>
              </w:rPr>
              <w:t>Приложение № 8 – 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20"/>
                <w:vanish w:val="false"/>
              </w:rPr>
              <w:t>13.1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_Toc186224334 \h</w:instrText>
            </w:r>
            <w:r>
              <w:rPr>
                <w:webHidden/>
              </w:rPr>
              <w:fldChar w:fldCharType="separate"/>
            </w:r>
            <w:r>
              <w:rPr>
                <w:rStyle w:val="Style20"/>
              </w:rPr>
              <w:t>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20"/>
                <w:vanish w:val="false"/>
              </w:rPr>
              <w:t>13.2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_Toc186224335 \h</w:instrText>
            </w:r>
            <w:r>
              <w:rPr>
                <w:webHidden/>
              </w:rPr>
              <w:fldChar w:fldCharType="separate"/>
            </w:r>
            <w:r>
              <w:rPr>
                <w:rStyle w:val="Style20"/>
              </w:rPr>
              <w:t>Порядок и критерии оценки и сопоставления заявок</w:t>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20"/>
                <w:vanish w:val="false"/>
              </w:rPr>
              <w:t>14.</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_Toc186224336 \h</w:instrText>
            </w:r>
            <w:r>
              <w:rPr>
                <w:webHidden/>
              </w:rPr>
              <w:fldChar w:fldCharType="separate"/>
            </w:r>
            <w:r>
              <w:rPr>
                <w:rStyle w:val="Style20"/>
              </w:rPr>
              <w:t>Приложение № 9 – Обоснование НМЦ</w:t>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20"/>
                <w:vanish w:val="false"/>
              </w:rPr>
              <w:t>14.1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_Toc186224337 \h</w:instrText>
            </w:r>
            <w:r>
              <w:rPr>
                <w:webHidden/>
              </w:rPr>
              <w:fldChar w:fldCharType="separate"/>
            </w:r>
            <w:r>
              <w:rPr>
                <w:rStyle w:val="Style20"/>
              </w:rPr>
              <w:t>Пояснения к Обоснованию НМЦ</w:t>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20"/>
                <w:vanish w:val="false"/>
              </w:rPr>
              <w:t>15.</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_Toc186224338 \h</w:instrText>
            </w:r>
            <w:r>
              <w:rPr>
                <w:webHidden/>
              </w:rPr>
              <w:fldChar w:fldCharType="separate"/>
            </w:r>
            <w:r>
              <w:rPr>
                <w:rStyle w:val="Style20"/>
              </w:rPr>
              <w:t>Приложение № 10 – Форма Заявки на аккредитацию</w:t>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20"/>
                <w:vanish w:val="false"/>
              </w:rPr>
              <w:t>15.1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_Toc186224339 \h</w:instrText>
            </w:r>
            <w:r>
              <w:rPr>
                <w:webHidden/>
              </w:rPr>
              <w:fldChar w:fldCharType="separate"/>
            </w:r>
            <w:r>
              <w:rPr>
                <w:rStyle w:val="Style20"/>
              </w:rPr>
              <w:t>Пояснения к форме Заявки на аккредитацию</w:t>
              <w:tab/>
              <w:t>91</w:t>
            </w:r>
            <w:r>
              <w:rPr>
                <w:webHidden/>
              </w:rPr>
              <w:fldChar w:fldCharType="end"/>
            </w:r>
          </w:hyperlink>
          <w:r>
            <w:rPr>
              <w:rStyle w:val="Style20"/>
            </w:rPr>
            <w:fldChar w:fldCharType="end"/>
          </w:r>
        </w:p>
      </w:sdtContent>
    </w:sdt>
    <w:p>
      <w:pPr>
        <w:pStyle w:val="Style30"/>
        <w:rPr/>
      </w:pPr>
      <w:r>
        <w:rPr/>
      </w:r>
    </w:p>
    <w:p>
      <w:pPr>
        <w:pStyle w:val="Style29"/>
        <w:numPr>
          <w:ilvl w:val="0"/>
          <w:numId w:val="0"/>
        </w:numPr>
        <w:ind w:left="0" w:hanging="0"/>
        <w:outlineLvl w:val="0"/>
        <w:rPr/>
      </w:pPr>
      <w:bookmarkStart w:id="0" w:name="_Toc186224270"/>
      <w:r>
        <w:rPr/>
        <w:t>Сокращения</w:t>
      </w:r>
      <w:bookmarkEnd w:id="0"/>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ind w:left="0" w:hanging="0"/>
        <w:outlineLvl w:val="0"/>
        <w:rPr/>
      </w:pPr>
      <w:bookmarkStart w:id="1" w:name="_Toc186224271"/>
      <w:r>
        <w:rPr/>
        <w:t>Термины и определения</w:t>
      </w:r>
      <w:bookmarkEnd w:id="1"/>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2" w:name="_Ref125359988"/>
      <w:bookmarkStart w:id="3" w:name="_Toc186224272"/>
      <w:r>
        <w:rPr/>
        <w:t>Основные сведения о закупке</w:t>
      </w:r>
      <w:bookmarkEnd w:id="2"/>
      <w:bookmarkEnd w:id="3"/>
    </w:p>
    <w:p>
      <w:pPr>
        <w:pStyle w:val="Style25"/>
        <w:rPr/>
      </w:pPr>
      <w:bookmarkStart w:id="4" w:name="_Toc186224273"/>
      <w:r>
        <w:rPr/>
        <w:t>Статус настоящего раздела</w:t>
      </w:r>
      <w:bookmarkEnd w:id="4"/>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5"/>
        <w:spacing w:before="360" w:after="120"/>
        <w:rPr/>
      </w:pPr>
      <w:bookmarkStart w:id="6" w:name="_Ref125359973"/>
      <w:bookmarkStart w:id="7" w:name="_Ref127270076"/>
      <w:bookmarkStart w:id="8" w:name="_Toc186224274"/>
      <w:r>
        <w:rPr/>
        <w:t>Информация о проводимой закупке</w:t>
      </w:r>
      <w:bookmarkEnd w:id="6"/>
      <w:bookmarkEnd w:id="7"/>
      <w:bookmarkEnd w:id="8"/>
    </w:p>
    <w:tbl>
      <w:tblPr>
        <w:tblStyle w:val="afff8"/>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2"/>
        <w:gridCol w:w="3132"/>
        <w:gridCol w:w="5790"/>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132"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7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9" w:name="_Ref125360980"/>
            <w:bookmarkStart w:id="10" w:name="_Ref125360980"/>
            <w:bookmarkEnd w:id="1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1" w:name="_Ref125360996"/>
            <w:bookmarkStart w:id="12" w:name="_Ref125360996"/>
            <w:bookmarkEnd w:id="1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Лот № 1-ЭКСППРОД-2026-СШГЭС: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«ОКПД2 14.12.3 Поставка средств индивидуальной защиты от общепроизводственных загрязнений в корпоративном стиле Группы РусГидро для нужд Филиала ПАО «РусГидро» - «Саяно-Шушенская ГЭС имени П.С. Непорожнего».</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3" w:name="_Ref135729276"/>
            <w:bookmarkStart w:id="14" w:name="_Ref135729276"/>
            <w:bookmarkEnd w:id="1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790" w:type="dxa"/>
            <w:tcBorders/>
          </w:tcPr>
          <w:p>
            <w:pPr>
              <w:pStyle w:val="Style30"/>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5" w:name="_Ref125367124"/>
            <w:bookmarkStart w:id="16" w:name="_Ref125367124"/>
            <w:bookmarkEnd w:id="1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7" w:name="_Ref125360764"/>
            <w:bookmarkStart w:id="18" w:name="_Ref125360764"/>
            <w:bookmarkEnd w:id="1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Электронная площадка: https://tender.lot-online.ru.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Регламент ЭП, в соответствии с которым проводится закупка, размещен по адресу: https://tender.lot-online.ru/app/EtpDocList/page.</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9" w:name="_Ref125360970"/>
            <w:bookmarkStart w:id="20" w:name="_Ref125360970"/>
            <w:bookmarkEnd w:id="2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0"/>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1" w:name="_Ref125360988"/>
            <w:bookmarkStart w:id="22" w:name="_Ref125360988"/>
            <w:bookmarkEnd w:id="2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Дубровинского, д. 43.</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660017, Красноярский край, г. Красноярск, ул. Перенсона, зд. 2А, пом. 1.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office@rushydro.ru. </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8 800 333 80 00..</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3" w:name="_Ref125360954"/>
            <w:bookmarkStart w:id="24" w:name="_Ref125360954"/>
            <w:bookmarkEnd w:id="2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Перенсона, зд. 2А, пом. 1.</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p>
            <w:pPr>
              <w:pStyle w:val="Style30"/>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sges@rushydro.ru.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3-26-05.</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5" w:name="_Ref125361238"/>
            <w:bookmarkStart w:id="26" w:name="_Ref125361238"/>
            <w:bookmarkEnd w:id="2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Макаров Юрий Константинович.</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MakarovYK@rushydro.ru.</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71-289.</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7" w:name="_Ref125362694"/>
            <w:bookmarkStart w:id="28" w:name="_Ref125362694"/>
            <w:bookmarkEnd w:id="2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9" w:name="_Ref125360963"/>
            <w:bookmarkStart w:id="30" w:name="_Ref125360963"/>
            <w:bookmarkEnd w:id="3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«1</w:t>
            </w:r>
            <w:r>
              <w:rPr>
                <w:rFonts w:eastAsia="Calibri" w:cs=""/>
                <w:kern w:val="0"/>
                <w:sz w:val="26"/>
                <w:szCs w:val="22"/>
                <w:lang w:val="ru-RU" w:eastAsia="en-US" w:bidi="ar-SA"/>
              </w:rPr>
              <w:t>2</w:t>
            </w:r>
            <w:r>
              <w:rPr>
                <w:rFonts w:eastAsia="Calibri" w:cs=""/>
                <w:kern w:val="0"/>
                <w:sz w:val="26"/>
                <w:szCs w:val="22"/>
                <w:lang w:val="ru-RU" w:eastAsia="en-US" w:bidi="ar-SA"/>
              </w:rPr>
              <w:t>» мая 2026 г.</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1" w:name="_Ref125362837"/>
            <w:bookmarkStart w:id="32" w:name="_Ref125362837"/>
            <w:bookmarkEnd w:id="3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НМЦ составляет 5 520 809,20 руб., без учета НДС.</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3" w:name="_Ref125363076"/>
            <w:bookmarkStart w:id="34" w:name="_Ref125363076"/>
            <w:bookmarkEnd w:id="3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5" w:name="_Ref125362995"/>
            <w:bookmarkStart w:id="36" w:name="_Ref125362995"/>
            <w:bookmarkEnd w:id="36"/>
          </w:p>
        </w:tc>
        <w:tc>
          <w:tcPr>
            <w:tcW w:w="3132" w:type="dxa"/>
            <w:tcBorders/>
          </w:tcPr>
          <w:p>
            <w:pPr>
              <w:pStyle w:val="Style30"/>
              <w:widowControl w:val="false"/>
              <w:suppressAutoHyphens w:val="true"/>
              <w:spacing w:before="60" w:after="60"/>
              <w:jc w:val="left"/>
              <w:rPr>
                <w:rFonts w:ascii="Times New Roman" w:hAnsi="Times New Roman"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Национальный режим предоставляется (в соответствии с пп. и) п. 4 ПП РФ 1875.</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7" w:name="_Ref125533737"/>
            <w:bookmarkStart w:id="38" w:name="_Ref125533737"/>
            <w:bookmarkEnd w:id="38"/>
          </w:p>
        </w:tc>
        <w:tc>
          <w:tcPr>
            <w:tcW w:w="3132"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9" w:name="_Ref125475086"/>
            <w:bookmarkStart w:id="40" w:name="_Ref125475086"/>
            <w:bookmarkEnd w:id="4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1" w:name="_Ref125360779"/>
            <w:bookmarkStart w:id="42" w:name="_Ref125360779"/>
            <w:bookmarkEnd w:id="4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«1</w:t>
            </w:r>
            <w:r>
              <w:rPr>
                <w:rFonts w:eastAsia="Calibri" w:cs=""/>
                <w:kern w:val="0"/>
                <w:sz w:val="26"/>
                <w:szCs w:val="22"/>
                <w:lang w:val="ru-RU" w:eastAsia="en-US" w:bidi="ar-SA"/>
              </w:rPr>
              <w:t>2</w:t>
            </w:r>
            <w:r>
              <w:rPr>
                <w:rFonts w:eastAsia="Calibri" w:cs=""/>
                <w:kern w:val="0"/>
                <w:sz w:val="26"/>
                <w:szCs w:val="22"/>
                <w:lang w:val="ru-RU" w:eastAsia="en-US" w:bidi="ar-SA"/>
              </w:rPr>
              <w:t>» мая 2026 г.</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«27» мая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eastAsia="Calibri"/>
              </w:rPr>
            </w:pPr>
            <w:r>
              <w:rPr>
                <w:rFonts w:eastAsia="Calibri" w:cs=""/>
                <w:kern w:val="0"/>
                <w:sz w:val="26"/>
                <w:szCs w:val="22"/>
                <w:lang w:val="ru-RU" w:eastAsia="en-US" w:bidi="ar-SA"/>
              </w:rPr>
              <w:t>«27» мая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3" w:name="_Ref125476197"/>
            <w:bookmarkStart w:id="44" w:name="_Ref125476197"/>
            <w:bookmarkEnd w:id="4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5" w:name="_Ref125362733"/>
            <w:bookmarkStart w:id="46" w:name="_Ref125362733"/>
            <w:bookmarkEnd w:id="4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«08» июня 2026 г.</w:t>
            </w:r>
          </w:p>
        </w:tc>
      </w:tr>
      <w:tr>
        <w:trPr/>
        <w:tc>
          <w:tcPr>
            <w:tcW w:w="832" w:type="dxa"/>
            <w:tcBorders>
              <w:top w:val="nil"/>
            </w:tcBorders>
          </w:tcPr>
          <w:p>
            <w:pPr>
              <w:pStyle w:val="Style26"/>
              <w:widowControl w:val="false"/>
              <w:suppressAutoHyphens w:val="true"/>
              <w:spacing w:before="60" w:after="60"/>
              <w:rPr>
                <w:rFonts w:eastAsia="Calibri"/>
              </w:rPr>
            </w:pPr>
            <w:r>
              <w:rPr>
                <w:rFonts w:eastAsia="Calibri"/>
              </w:rPr>
            </w:r>
          </w:p>
        </w:tc>
        <w:tc>
          <w:tcPr>
            <w:tcW w:w="3132" w:type="dxa"/>
            <w:tcBorders>
              <w:top w:val="nil"/>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проведения процедуры переторжки:</w:t>
            </w:r>
          </w:p>
        </w:tc>
        <w:tc>
          <w:tcPr>
            <w:tcW w:w="5790" w:type="dxa"/>
            <w:tcBorders>
              <w:top w:val="nil"/>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eastAsia="Calibri"/>
              </w:rPr>
            </w:pPr>
            <w:r>
              <w:rPr>
                <w:rFonts w:eastAsia="Calibri"/>
              </w:rPr>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7" w:name="_Ref125362757"/>
            <w:bookmarkStart w:id="48" w:name="_Ref125362757"/>
            <w:bookmarkEnd w:id="4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«08» июня 202</w:t>
            </w:r>
            <w:r>
              <w:rPr>
                <w:rFonts w:eastAsia="Calibri" w:cs=""/>
                <w:kern w:val="0"/>
                <w:sz w:val="26"/>
                <w:szCs w:val="22"/>
                <w:lang w:val="en-US" w:eastAsia="en-US" w:bidi="ar-SA"/>
              </w:rPr>
              <w:t>6</w:t>
            </w:r>
            <w:r>
              <w:rPr>
                <w:rFonts w:eastAsia="Calibri" w:cs=""/>
                <w:kern w:val="0"/>
                <w:sz w:val="26"/>
                <w:szCs w:val="22"/>
                <w:lang w:val="ru-RU" w:eastAsia="en-US" w:bidi="ar-SA"/>
              </w:rPr>
              <w:t> г.</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9" w:name="_Ref125361769"/>
            <w:bookmarkStart w:id="50" w:name="_Ref125361769"/>
            <w:bookmarkEnd w:id="5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1" w:name="_Ref125366606"/>
            <w:bookmarkStart w:id="52" w:name="_Ref125366606"/>
            <w:bookmarkEnd w:id="5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3" w:name="_Ref125533374"/>
            <w:bookmarkStart w:id="54" w:name="_Ref125533374"/>
            <w:bookmarkEnd w:id="5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договор будет заключаться в электронной форме посредством информационной системы электронного документооборота СКБ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5" w:name="_Ref125366813"/>
            <w:bookmarkStart w:id="56" w:name="_Ref125366813"/>
            <w:bookmarkEnd w:id="5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Хованова Мария Владимировна</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7" w:name="_Ref125368490"/>
            <w:bookmarkStart w:id="58" w:name="_Ref125368490"/>
            <w:bookmarkEnd w:id="5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790" w:type="dxa"/>
            <w:tcBorders/>
          </w:tcPr>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Отсутствуют.</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790" w:type="dxa"/>
            <w:tcBorders/>
          </w:tcPr>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Не требуется.</w:t>
            </w:r>
          </w:p>
          <w:p>
            <w:pPr>
              <w:pStyle w:val="Style33"/>
              <w:widowControl w:val="false"/>
              <w:suppressAutoHyphens w:val="true"/>
              <w:spacing w:before="60" w:after="60"/>
              <w:rPr>
                <w:i w:val="false"/>
                <w:i w:val="false"/>
                <w:shd w:fill="auto" w:val="clear"/>
              </w:rPr>
            </w:pPr>
            <w:r>
              <w:rPr>
                <w:i w:val="false"/>
                <w:shd w:fill="auto" w:val="clear"/>
              </w:rPr>
            </w:r>
          </w:p>
        </w:tc>
      </w:tr>
    </w:tbl>
    <w:p>
      <w:pPr>
        <w:pStyle w:val="Style24"/>
        <w:rPr/>
      </w:pPr>
      <w:bookmarkStart w:id="59" w:name="_Toc186224275"/>
      <w:bookmarkStart w:id="60" w:name="_Ref125360073"/>
      <w:bookmarkStart w:id="61" w:name="_Ref125360337"/>
      <w:r>
        <w:rPr/>
        <w:t>Общие положения</w:t>
      </w:r>
      <w:bookmarkEnd w:id="59"/>
      <w:bookmarkEnd w:id="60"/>
      <w:bookmarkEnd w:id="61"/>
    </w:p>
    <w:p>
      <w:pPr>
        <w:pStyle w:val="Style25"/>
        <w:rPr/>
      </w:pPr>
      <w:bookmarkStart w:id="62" w:name="_Toc186224276"/>
      <w:r>
        <w:rPr/>
        <w:t>Общие сведения о закупке</w:t>
      </w:r>
      <w:bookmarkEnd w:id="62"/>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3" w:name="_Toc186224277"/>
      <w:r>
        <w:rPr/>
        <w:t>Правовой статус документов</w:t>
      </w:r>
      <w:bookmarkEnd w:id="63"/>
    </w:p>
    <w:p>
      <w:pPr>
        <w:pStyle w:val="Style26"/>
        <w:rPr/>
      </w:pPr>
      <w:r>
        <w:rPr/>
        <w:t>Состязательный отбор не является конкурентной процедурой в соответствии с действующим законодательством.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5" w:name="_Ref125363536"/>
      <w:bookmarkStart w:id="66" w:name="_Toc186224278"/>
      <w:r>
        <w:rPr/>
        <w:t>Обжалование</w:t>
      </w:r>
      <w:bookmarkEnd w:id="65"/>
      <w:bookmarkEnd w:id="66"/>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67" w:name="_Ref125472658"/>
      <w:bookmarkStart w:id="68" w:name="_Toc186224279"/>
      <w:r>
        <w:rPr/>
        <w:t>Особые положения при проведении закупки с использованием ЭП</w:t>
      </w:r>
      <w:bookmarkEnd w:id="67"/>
      <w:bookmarkEnd w:id="68"/>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6"/>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5"/>
        <w:rPr/>
      </w:pPr>
      <w:bookmarkStart w:id="71" w:name="_Toc186224280"/>
      <w:r>
        <w:rPr/>
        <w:t>Прочие положения</w:t>
      </w:r>
      <w:bookmarkEnd w:id="71"/>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3" w:name="_Toc186224281"/>
      <w:bookmarkStart w:id="74" w:name="_Ref125361210"/>
      <w:r>
        <w:rPr/>
        <w:t>Требования к Участникам</w:t>
      </w:r>
      <w:bookmarkEnd w:id="73"/>
      <w:bookmarkEnd w:id="74"/>
    </w:p>
    <w:p>
      <w:pPr>
        <w:pStyle w:val="Style25"/>
        <w:rPr/>
      </w:pPr>
      <w:bookmarkStart w:id="75" w:name="_Toc186224282"/>
      <w:bookmarkStart w:id="76" w:name="_Ref127524530"/>
      <w:r>
        <w:rPr/>
        <w:t>Общие требования к Участникам</w:t>
      </w:r>
      <w:bookmarkEnd w:id="75"/>
      <w:bookmarkEnd w:id="76"/>
    </w:p>
    <w:p>
      <w:pPr>
        <w:pStyle w:val="Style26"/>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78" w:name="_Ref130308111"/>
      <w:bookmarkStart w:id="79" w:name="_Ref130308203"/>
      <w:bookmarkStart w:id="80" w:name="_Toc186224283"/>
      <w:bookmarkStart w:id="81" w:name="_Ref125361976"/>
      <w:bookmarkStart w:id="82" w:name="_Ref130305355"/>
      <w:bookmarkStart w:id="83" w:name="_Ref130308255"/>
      <w:bookmarkStart w:id="84" w:name="_Ref125361969"/>
      <w:bookmarkStart w:id="85" w:name="_Ref130308062"/>
      <w:r>
        <w:rPr/>
        <w:t>Коллективные участники</w:t>
      </w:r>
      <w:bookmarkEnd w:id="78"/>
      <w:bookmarkEnd w:id="79"/>
      <w:bookmarkEnd w:id="80"/>
      <w:bookmarkEnd w:id="81"/>
      <w:bookmarkEnd w:id="82"/>
      <w:bookmarkEnd w:id="83"/>
      <w:bookmarkEnd w:id="84"/>
      <w:bookmarkEnd w:id="85"/>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6"/>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1" w:name="_Ref125361702"/>
      <w:bookmarkStart w:id="92" w:name="_Toc186224284"/>
      <w:r>
        <w:rPr/>
        <w:t>Генеральные подрядчики</w:t>
      </w:r>
      <w:bookmarkEnd w:id="91"/>
      <w:bookmarkEnd w:id="92"/>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3"/>
          <w:footerReference w:type="default" r:id="rId4"/>
          <w:footerReference w:type="first" r:id="rId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rPr/>
      </w:pPr>
      <w:bookmarkStart w:id="95" w:name="_Toc186224285"/>
      <w:bookmarkStart w:id="96" w:name="_Ref125367974"/>
      <w:bookmarkStart w:id="97" w:name="_Ref125367107"/>
      <w:bookmarkStart w:id="98" w:name="_Ref125367098"/>
      <w:bookmarkStart w:id="99" w:name="_Ref125361211"/>
      <w:r>
        <w:rPr/>
        <w:t>Порядок проведения закупки</w:t>
      </w:r>
      <w:bookmarkEnd w:id="95"/>
      <w:bookmarkEnd w:id="96"/>
      <w:bookmarkEnd w:id="97"/>
      <w:bookmarkEnd w:id="98"/>
      <w:bookmarkEnd w:id="99"/>
    </w:p>
    <w:p>
      <w:pPr>
        <w:pStyle w:val="Style25"/>
        <w:rPr/>
      </w:pPr>
      <w:bookmarkStart w:id="100" w:name="_Ref126141932"/>
      <w:bookmarkStart w:id="101" w:name="_Toc186224286"/>
      <w:r>
        <w:rPr/>
        <w:t>Общий порядок проведения закупки</w:t>
      </w:r>
      <w:bookmarkEnd w:id="100"/>
      <w:bookmarkEnd w:id="101"/>
    </w:p>
    <w:p>
      <w:pPr>
        <w:pStyle w:val="Style26"/>
        <w:keepNext w:val="true"/>
        <w:spacing w:before="120" w:after="120"/>
        <w:rPr/>
      </w:pPr>
      <w:r>
        <w:rPr/>
        <w:t>Закупка проводится в следующем порядке:</w:t>
      </w:r>
    </w:p>
    <w:tbl>
      <w:tblPr>
        <w:tblStyle w:val="afff8"/>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0"/>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6"/>
          <w:headerReference w:type="first" r:id="rId7"/>
          <w:footerReference w:type="default" r:id="rId8"/>
          <w:footerReference w:type="first" r:id="rId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102" w:name="_Toc186224287"/>
      <w:bookmarkStart w:id="103" w:name="_Ref130286532"/>
      <w:r>
        <w:rPr/>
        <w:t>Официальное размещение Извещения и Документации о закупке</w:t>
      </w:r>
      <w:bookmarkEnd w:id="102"/>
      <w:bookmarkEnd w:id="103"/>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05" w:name="_Ref130281199"/>
      <w:bookmarkStart w:id="106" w:name="_Toc186224288"/>
      <w:bookmarkStart w:id="107" w:name="_Ref130394681"/>
      <w:r>
        <w:rPr/>
        <w:t>Подготовка заявки</w:t>
      </w:r>
      <w:bookmarkEnd w:id="105"/>
      <w:bookmarkEnd w:id="106"/>
      <w:bookmarkEnd w:id="107"/>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08" w:name="_Ref125365866"/>
      <w:bookmarkStart w:id="109"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pPr>
        <w:pStyle w:val="Style26"/>
        <w:rPr/>
      </w:pPr>
      <w:bookmarkStart w:id="110" w:name="_Ref130379863"/>
      <w:bookmarkStart w:id="111" w:name="_Ref125370708"/>
      <w:bookmarkStart w:id="112" w:name="_Ref125370700"/>
      <w:bookmarkEnd w:id="111"/>
      <w:bookmarkEnd w:id="112"/>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4"/>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10"/>
    </w:p>
    <w:p>
      <w:pPr>
        <w:pStyle w:val="Style26"/>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13"/>
    </w:p>
    <w:p>
      <w:pPr>
        <w:pStyle w:val="Style26"/>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4"/>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15" w:name="_Ref125714384"/>
      <w:bookmarkStart w:id="116" w:name="_Ref125370398"/>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17" w:name="_Ref130394205"/>
      <w:bookmarkStart w:id="118" w:name="_Toc186224289"/>
      <w:bookmarkStart w:id="119" w:name="_Ref125361260"/>
      <w:bookmarkStart w:id="120" w:name="_Ref130394802"/>
      <w:bookmarkStart w:id="121" w:name="_Ref125366672"/>
      <w:bookmarkStart w:id="122" w:name="_Ref125362071"/>
      <w:bookmarkStart w:id="123" w:name="_Ref130394785"/>
      <w:r>
        <w:rPr/>
        <w:t>Разъяснение Документации о закупке</w:t>
      </w:r>
      <w:bookmarkEnd w:id="117"/>
      <w:bookmarkEnd w:id="118"/>
      <w:bookmarkEnd w:id="119"/>
      <w:bookmarkEnd w:id="120"/>
      <w:bookmarkEnd w:id="121"/>
      <w:bookmarkEnd w:id="122"/>
      <w:bookmarkEnd w:id="123"/>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24" w:name="_Toc186224290"/>
      <w:bookmarkStart w:id="125" w:name="_Ref125364404"/>
      <w:bookmarkStart w:id="126" w:name="_Ref125363891"/>
      <w:bookmarkStart w:id="127" w:name="_Ref125362076"/>
      <w:r>
        <w:rPr/>
        <w:t>Изменения Извещения и (или) Документации о закупке</w:t>
      </w:r>
      <w:bookmarkEnd w:id="124"/>
      <w:bookmarkEnd w:id="125"/>
      <w:bookmarkEnd w:id="126"/>
      <w:bookmarkEnd w:id="127"/>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30" w:name="_Toc186224291"/>
      <w:bookmarkStart w:id="131" w:name="_Ref125362119"/>
      <w:r>
        <w:rPr/>
        <w:t>Подача заявок и их прием</w:t>
      </w:r>
      <w:bookmarkEnd w:id="130"/>
      <w:bookmarkEnd w:id="131"/>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Заявка должна быть подписана 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32" w:name="_Ref125362130"/>
      <w:bookmarkStart w:id="133" w:name="_Toc186224292"/>
      <w:bookmarkStart w:id="134" w:name="_Ref125362192"/>
      <w:bookmarkStart w:id="135" w:name="_Ref125363819"/>
      <w:bookmarkStart w:id="136" w:name="_Ref125365136"/>
      <w:r>
        <w:rPr/>
        <w:t>Изменение и отзыв заявок</w:t>
      </w:r>
      <w:bookmarkEnd w:id="132"/>
      <w:bookmarkEnd w:id="133"/>
      <w:bookmarkEnd w:id="134"/>
      <w:bookmarkEnd w:id="135"/>
      <w:bookmarkEnd w:id="136"/>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37" w:name="_Toc186224293"/>
      <w:bookmarkStart w:id="138" w:name="_Ref130221619"/>
      <w:r>
        <w:rPr/>
        <w:t>Открытие доступа к заявкам</w:t>
      </w:r>
      <w:bookmarkEnd w:id="137"/>
      <w:bookmarkEnd w:id="138"/>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39" w:name="_Ref125366689"/>
      <w:bookmarkStart w:id="140" w:name="_Ref135749133"/>
      <w:bookmarkStart w:id="141" w:name="_Ref125364340"/>
      <w:bookmarkStart w:id="142" w:name="_Ref125362364"/>
      <w:bookmarkStart w:id="143" w:name="_Toc186224294"/>
      <w:bookmarkEnd w:id="141"/>
      <w:r>
        <w:rPr/>
        <w:t>Рассмотрение заявок (отборочная стадия)</w:t>
      </w:r>
      <w:bookmarkEnd w:id="139"/>
      <w:bookmarkEnd w:id="142"/>
      <w:r>
        <w:rPr/>
        <w:t>, в том числе (при необходимости) проведение аккредитации</w:t>
      </w:r>
      <w:bookmarkEnd w:id="140"/>
      <w:bookmarkEnd w:id="143"/>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r>
        <w:rPr/>
        <w:t>При выявлении в рамках рассмотрения заявок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44"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4"/>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внутренних противоречий между различными частями и (или) документами заявки, в том числе по тексту внутри одного документа;</w:t>
      </w:r>
    </w:p>
    <w:p>
      <w:pPr>
        <w:pStyle w:val="Style28"/>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45" w:name="_Ref125551524"/>
      <w:r>
        <w:rPr/>
        <w:t>решение о проведении или непроведении переторжки,</w:t>
      </w:r>
      <w:bookmarkEnd w:id="145"/>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46" w:name="_Toc186224295"/>
      <w:bookmarkStart w:id="147" w:name="_Ref125362425"/>
      <w:bookmarkStart w:id="148" w:name="_Ref125362610"/>
      <w:bookmarkStart w:id="149" w:name="_Ref125362464"/>
      <w:bookmarkStart w:id="150" w:name="_Ref125362381"/>
      <w:r>
        <w:rPr/>
        <w:t>Дополнительные запросы разъяснений заявок</w:t>
      </w:r>
      <w:bookmarkEnd w:id="146"/>
      <w:bookmarkEnd w:id="147"/>
      <w:bookmarkEnd w:id="148"/>
      <w:bookmarkEnd w:id="149"/>
      <w:bookmarkEnd w:id="150"/>
    </w:p>
    <w:p>
      <w:pPr>
        <w:pStyle w:val="Style26"/>
        <w:rPr/>
      </w:pPr>
      <w:bookmarkStart w:id="151"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1"/>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52"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2"/>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53" w:name="_Toc186224296"/>
      <w:bookmarkStart w:id="154" w:name="_Ref127536359"/>
      <w:bookmarkStart w:id="155" w:name="_Ref125362430"/>
      <w:bookmarkStart w:id="156" w:name="_Ref125362537"/>
      <w:r>
        <w:rPr/>
        <w:t>Переторжка</w:t>
      </w:r>
      <w:bookmarkEnd w:id="153"/>
      <w:bookmarkEnd w:id="154"/>
      <w:bookmarkEnd w:id="155"/>
      <w:bookmarkEnd w:id="156"/>
    </w:p>
    <w:p>
      <w:pPr>
        <w:pStyle w:val="Style26"/>
        <w:rPr/>
      </w:pPr>
      <w:r>
        <w:rPr/>
        <w:t>Нормы настоящего подраздела применяются в случае проведения процедуры переторжки.</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57"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7"/>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58" w:name="_Ref136244167"/>
      <w:r>
        <w:rPr/>
        <w:t>Документы заявки, подлежащие корректировке по результатам переторжки:</w:t>
      </w:r>
      <w:bookmarkEnd w:id="158"/>
    </w:p>
    <w:p>
      <w:pPr>
        <w:pStyle w:val="Style27"/>
        <w:rPr/>
      </w:pPr>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59" w:name="_Ref130376111"/>
      <w:r>
        <w:rPr/>
        <w:t>иной документ, указанный в протоколе закупки (которым назначена переторжка), связанный с предметом проводимой переторжки.</w:t>
      </w:r>
      <w:bookmarkEnd w:id="159"/>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60" w:name="_Toc186224297"/>
      <w:bookmarkStart w:id="161" w:name="_Ref125365519"/>
      <w:bookmarkStart w:id="162" w:name="_Ref125362626"/>
      <w:bookmarkStart w:id="163" w:name="_Ref125365335"/>
      <w:bookmarkStart w:id="164" w:name="_Ref125369308"/>
      <w:bookmarkStart w:id="165" w:name="_Ref125369041"/>
      <w:bookmarkStart w:id="166" w:name="_Ref125366534"/>
      <w:r>
        <w:rPr/>
        <w:t>Оценка и сопоставление заявок</w:t>
      </w:r>
      <w:bookmarkEnd w:id="160"/>
      <w:bookmarkEnd w:id="161"/>
      <w:bookmarkEnd w:id="162"/>
      <w:bookmarkEnd w:id="163"/>
      <w:bookmarkEnd w:id="164"/>
      <w:bookmarkEnd w:id="165"/>
      <w:bookmarkEnd w:id="166"/>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67" w:name="_Ref186128193"/>
      <w:bookmarkStart w:id="168" w:name="_Ref125366064"/>
      <w:bookmarkStart w:id="169" w:name="_Ref130985951"/>
      <w:bookmarkStart w:id="170" w:name="_Toc186224298"/>
      <w:bookmarkStart w:id="171" w:name="_Ref132894106"/>
      <w:bookmarkStart w:id="172" w:name="_Ref125369991"/>
      <w:bookmarkStart w:id="173" w:name="_Ref132894111"/>
      <w:bookmarkStart w:id="174" w:name="_Ref130458671"/>
      <w:bookmarkStart w:id="175" w:name="_Ref125370507"/>
      <w:r>
        <w:rPr/>
        <w:t>Применение законодательства о национальном режиме</w:t>
      </w:r>
      <w:bookmarkEnd w:id="167"/>
      <w:bookmarkEnd w:id="168"/>
      <w:bookmarkEnd w:id="169"/>
      <w:bookmarkEnd w:id="170"/>
      <w:bookmarkEnd w:id="171"/>
      <w:bookmarkEnd w:id="172"/>
      <w:bookmarkEnd w:id="173"/>
      <w:bookmarkEnd w:id="174"/>
      <w:bookmarkEnd w:id="175"/>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5"/>
        <w:rPr/>
      </w:pPr>
      <w:bookmarkStart w:id="176" w:name="_Ref125362658"/>
      <w:bookmarkStart w:id="177" w:name="_Ref125367242"/>
      <w:bookmarkStart w:id="178" w:name="_Ref125366091"/>
      <w:bookmarkStart w:id="179" w:name="_Toc186224299"/>
      <w:r>
        <w:rPr/>
        <w:t>Подведение итогов закупки (определение Победителя)</w:t>
      </w:r>
      <w:bookmarkEnd w:id="176"/>
      <w:bookmarkEnd w:id="177"/>
      <w:bookmarkEnd w:id="178"/>
      <w:bookmarkEnd w:id="179"/>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180"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0"/>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181" w:name="_Ref125364187"/>
      <w:bookmarkStart w:id="182" w:name="_Ref125366796"/>
      <w:bookmarkStart w:id="183" w:name="_Ref125364149"/>
      <w:bookmarkStart w:id="184" w:name="_Ref125365570"/>
      <w:bookmarkStart w:id="185" w:name="_Ref125365305"/>
      <w:bookmarkStart w:id="186" w:name="_Ref125366631"/>
      <w:bookmarkStart w:id="187" w:name="_Toc186224300"/>
      <w:r>
        <w:rPr/>
        <w:t>Признание закупки несостоявшейся</w:t>
      </w:r>
      <w:bookmarkEnd w:id="181"/>
      <w:bookmarkEnd w:id="182"/>
      <w:bookmarkEnd w:id="183"/>
      <w:bookmarkEnd w:id="184"/>
      <w:bookmarkEnd w:id="185"/>
      <w:bookmarkEnd w:id="186"/>
      <w:bookmarkEnd w:id="187"/>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88" w:name="_Ref126141962"/>
      <w:bookmarkStart w:id="189" w:name="_Toc186224301"/>
      <w:r>
        <w:rPr/>
        <w:t>Отказ от проведения закупки</w:t>
      </w:r>
      <w:bookmarkEnd w:id="188"/>
      <w:r>
        <w:rPr/>
        <w:t xml:space="preserve"> (отмена закупки)</w:t>
      </w:r>
      <w:bookmarkEnd w:id="189"/>
    </w:p>
    <w:p>
      <w:pPr>
        <w:pStyle w:val="Style26"/>
        <w:rPr/>
      </w:pPr>
      <w:r>
        <w:rPr/>
        <w:t xml:space="preserve">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 </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90" w:name="_Toc186224302"/>
      <w:bookmarkStart w:id="191" w:name="_Ref130455226"/>
      <w:r>
        <w:rPr/>
        <w:t>Особенности проведения закупки с необходимостью обеспечения заявки</w:t>
      </w:r>
      <w:bookmarkEnd w:id="190"/>
      <w:bookmarkEnd w:id="191"/>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6"/>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6"/>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7"/>
        <w:rPr/>
      </w:pPr>
      <w:r>
        <w:rPr/>
        <w:t>банковская гарантия должна быть безотзывной и безусловной (гарантия по первому требованию);</w:t>
      </w:r>
    </w:p>
    <w:p>
      <w:pPr>
        <w:pStyle w:val="Style27"/>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7"/>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7"/>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7"/>
        <w:rPr/>
      </w:pPr>
      <w:r>
        <w:rPr/>
        <w:t>платеж по банковской гарантии должен быть осуществлен в течение 10 (десяти) рабочих дней после обращения бенефициара;</w:t>
      </w:r>
    </w:p>
    <w:p>
      <w:pPr>
        <w:pStyle w:val="Style27"/>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7"/>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7"/>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6"/>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bookmarkStart w:id="192"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2"/>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6"/>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193" w:name="_Ref149317414"/>
      <w:bookmarkStart w:id="194" w:name="_Ref130225422"/>
      <w:bookmarkStart w:id="195" w:name="_Toc186224303"/>
      <w:r>
        <w:rPr/>
        <w:t>Особенности проведения многолотовой закупки</w:t>
      </w:r>
      <w:bookmarkEnd w:id="193"/>
      <w:bookmarkEnd w:id="194"/>
      <w:bookmarkEnd w:id="195"/>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196" w:name="_Ref125550863"/>
      <w:bookmarkStart w:id="197" w:name="_Toc186224304"/>
      <w:r>
        <w:rPr/>
        <w:t>Особенности проведения закупки с возможностью подачи альтернативных предложений</w:t>
      </w:r>
      <w:bookmarkEnd w:id="196"/>
      <w:bookmarkEnd w:id="197"/>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4"/>
        <w:rPr/>
      </w:pPr>
      <w:bookmarkStart w:id="198" w:name="_Ref125367087"/>
      <w:bookmarkStart w:id="199" w:name="_Ref125362671"/>
      <w:bookmarkStart w:id="200" w:name="_Toc186224306"/>
      <w:bookmarkStart w:id="201" w:name="_Ref130224037"/>
      <w:bookmarkStart w:id="202" w:name="_Ref125361212"/>
      <w:bookmarkStart w:id="203" w:name="_Ref125367083"/>
      <w:bookmarkStart w:id="204" w:name="_Ref125363439"/>
      <w:bookmarkStart w:id="205" w:name="_Ref125366769"/>
      <w:bookmarkStart w:id="206" w:name="_Ref126142429"/>
      <w:r>
        <w:rPr/>
        <w:t>Порядок заключения Договора</w:t>
      </w:r>
      <w:bookmarkEnd w:id="198"/>
      <w:bookmarkEnd w:id="199"/>
      <w:bookmarkEnd w:id="200"/>
      <w:bookmarkEnd w:id="201"/>
      <w:bookmarkEnd w:id="202"/>
      <w:bookmarkEnd w:id="203"/>
      <w:bookmarkEnd w:id="204"/>
      <w:bookmarkEnd w:id="205"/>
      <w:bookmarkEnd w:id="206"/>
    </w:p>
    <w:p>
      <w:pPr>
        <w:pStyle w:val="Style25"/>
        <w:rPr/>
      </w:pPr>
      <w:bookmarkStart w:id="207" w:name="_Toc186224307"/>
      <w:bookmarkStart w:id="208" w:name="_Ref139028625"/>
      <w:r>
        <w:rPr/>
        <w:t>Общие положения</w:t>
      </w:r>
      <w:bookmarkEnd w:id="207"/>
      <w:bookmarkEnd w:id="208"/>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6"/>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4"/>
          </w:rPr>
          <w:t>Приложение № 4</w:t>
        </w:r>
      </w:hyperlink>
      <w:r>
        <w:rPr/>
        <w:t>), и размещения соответствующей информации на ЭП.</w:t>
      </w:r>
    </w:p>
    <w:p>
      <w:pPr>
        <w:pStyle w:val="Style25"/>
        <w:rPr/>
      </w:pPr>
      <w:bookmarkStart w:id="209" w:name="_Ref138232981"/>
      <w:bookmarkStart w:id="210" w:name="_Ref125366947"/>
      <w:bookmarkStart w:id="211" w:name="_Ref135736094"/>
      <w:bookmarkStart w:id="212" w:name="_Toc186224308"/>
      <w:bookmarkStart w:id="213" w:name="_Ref125368755"/>
      <w:r>
        <w:rPr/>
        <w:t>Заключение Договора</w:t>
      </w:r>
      <w:bookmarkEnd w:id="209"/>
      <w:bookmarkEnd w:id="210"/>
      <w:bookmarkEnd w:id="211"/>
      <w:bookmarkEnd w:id="212"/>
      <w:bookmarkEnd w:id="213"/>
    </w:p>
    <w:p>
      <w:pPr>
        <w:pStyle w:val="Style26"/>
        <w:rPr/>
      </w:pPr>
      <w:bookmarkStart w:id="214" w:name="_Ref125362935"/>
      <w:bookmarkStart w:id="215"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4"/>
      <w:bookmarkEnd w:id="215"/>
    </w:p>
    <w:p>
      <w:pPr>
        <w:pStyle w:val="Style26"/>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6"/>
        <w:rPr/>
      </w:pPr>
      <w:bookmarkStart w:id="216"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6"/>
    </w:p>
    <w:p>
      <w:pPr>
        <w:pStyle w:val="Style26"/>
        <w:keepNext w:val="true"/>
        <w:rPr/>
      </w:pPr>
      <w:bookmarkStart w:id="217"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17"/>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18"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18"/>
      <w:r>
        <w:rPr/>
        <w:t>.</w:t>
      </w:r>
    </w:p>
    <w:p>
      <w:pPr>
        <w:pStyle w:val="Style26"/>
        <w:keepNext w:val="true"/>
        <w:rPr/>
      </w:pPr>
      <w:bookmarkStart w:id="219"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19"/>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20"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0"/>
    </w:p>
    <w:p>
      <w:pPr>
        <w:pStyle w:val="Style28"/>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21"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1"/>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22"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2"/>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23"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3"/>
    </w:p>
    <w:p>
      <w:pPr>
        <w:pStyle w:val="Style26"/>
        <w:keepNext w:val="true"/>
        <w:rPr/>
      </w:pPr>
      <w:r>
        <w:rPr/>
        <w:t>Если Договор заключается в электронной форме:</w:t>
      </w:r>
    </w:p>
    <w:p>
      <w:pPr>
        <w:pStyle w:val="Style27"/>
        <w:rPr/>
      </w:pPr>
      <w:bookmarkStart w:id="224"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4"/>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25" w:name="_Toc186224309"/>
      <w:bookmarkStart w:id="226" w:name="_Ref125552570"/>
      <w:r>
        <w:rPr/>
        <w:t>Преддоговорные переговоры</w:t>
      </w:r>
      <w:bookmarkEnd w:id="225"/>
      <w:bookmarkEnd w:id="226"/>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bookmarkStart w:id="227" w:name="_Toc186224310"/>
      <w:bookmarkStart w:id="228" w:name="_Ref125367068"/>
      <w:r>
        <w:rPr/>
        <w:t>Уклонение Победителя от заключения Договора</w:t>
      </w:r>
      <w:bookmarkEnd w:id="227"/>
      <w:bookmarkEnd w:id="228"/>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29" w:name="_Ref125363023"/>
      <w:bookmarkStart w:id="230" w:name="_Ref125363034"/>
      <w:bookmarkStart w:id="231" w:name="_Toc186224311"/>
      <w:bookmarkStart w:id="232" w:name="Прил01_ТехТребования"/>
      <w:bookmarkStart w:id="233" w:name="_Ref125364088"/>
      <w:bookmarkStart w:id="234" w:name="_Ref125363600"/>
      <w:bookmarkStart w:id="235" w:name="_Ref125363752"/>
      <w:bookmarkStart w:id="236" w:name="_Ref125370732"/>
      <w:bookmarkStart w:id="237" w:name="_Ref125364201"/>
      <w:bookmarkStart w:id="238" w:name="_Ref125370746"/>
      <w:bookmarkStart w:id="239" w:name="_Ref125370750"/>
      <w:bookmarkStart w:id="240" w:name="_Ref125363016"/>
      <w:bookmarkStart w:id="241" w:name="_Ref125370843"/>
      <w:bookmarkStart w:id="242" w:name="_Ref125370741"/>
      <w:r>
        <w:rPr/>
        <w:t>Приложение № 1 – Технические требования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Style25"/>
        <w:rPr/>
      </w:pPr>
      <w:bookmarkStart w:id="243" w:name="_Toc186224312"/>
      <w:r>
        <w:rPr/>
        <w:t>Пояснения к Техническим требованиям</w:t>
      </w:r>
      <w:bookmarkEnd w:id="243"/>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44" w:name="_Ref125361746"/>
      <w:bookmarkStart w:id="245" w:name="_Ref125363759"/>
      <w:bookmarkStart w:id="246" w:name="_Ref125363040"/>
      <w:bookmarkStart w:id="247" w:name="_Ref125364206"/>
      <w:bookmarkStart w:id="248" w:name="Прил02_ПроектДоговора"/>
      <w:bookmarkStart w:id="249" w:name="_Toc186224313"/>
      <w:bookmarkStart w:id="250" w:name="_Ref125363605"/>
      <w:bookmarkStart w:id="251" w:name="_Ref125370754"/>
      <w:bookmarkStart w:id="252" w:name="_Ref125364081"/>
      <w:r>
        <w:rPr/>
        <w:t>Приложение № 2 – Проект договора</w:t>
      </w:r>
      <w:bookmarkEnd w:id="244"/>
      <w:bookmarkEnd w:id="245"/>
      <w:bookmarkEnd w:id="246"/>
      <w:bookmarkEnd w:id="247"/>
      <w:bookmarkEnd w:id="248"/>
      <w:bookmarkEnd w:id="249"/>
      <w:bookmarkEnd w:id="250"/>
      <w:bookmarkEnd w:id="251"/>
      <w:bookmarkEnd w:id="252"/>
    </w:p>
    <w:p>
      <w:pPr>
        <w:pStyle w:val="Style25"/>
        <w:rPr/>
      </w:pPr>
      <w:bookmarkStart w:id="253" w:name="_Toc186224314"/>
      <w:r>
        <w:rPr/>
        <w:t>Пояснения к Проекту договора</w:t>
      </w:r>
      <w:bookmarkEnd w:id="253"/>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4" w:name="_Hlk132883778"/>
      <w:r>
        <w:rPr/>
        <w:t>как «Некритичные пункты Проекта договора»</w:t>
      </w:r>
      <w:bookmarkEnd w:id="254"/>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5" w:name="_MON_1736255517"/>
      <w:bookmarkEnd w:id="255"/>
    </w:p>
    <w:p>
      <w:pPr>
        <w:sectPr>
          <w:headerReference w:type="default" r:id="rId12"/>
          <w:headerReference w:type="first" r:id="rId13"/>
          <w:footerReference w:type="default" r:id="rId14"/>
          <w:footerReference w:type="first" r:id="rId1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8">
                <wp:simplePos x="0" y="0"/>
                <wp:positionH relativeFrom="column">
                  <wp:posOffset>635</wp:posOffset>
                </wp:positionH>
                <wp:positionV relativeFrom="paragraph">
                  <wp:posOffset>635</wp:posOffset>
                </wp:positionV>
                <wp:extent cx="635000" cy="635000"/>
                <wp:effectExtent l="635" t="0" r="0" b="0"/>
                <wp:wrapNone/>
                <wp:docPr id="2"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1">
                <wp:simplePos x="0" y="0"/>
                <wp:positionH relativeFrom="column">
                  <wp:posOffset>635</wp:posOffset>
                </wp:positionH>
                <wp:positionV relativeFrom="paragraph">
                  <wp:posOffset>635</wp:posOffset>
                </wp:positionV>
                <wp:extent cx="635000" cy="635000"/>
                <wp:effectExtent l="635" t="0" r="0" b="0"/>
                <wp:wrapNone/>
                <wp:docPr id="3"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8.9pt;height:50.1pt;mso-wrap-distance-right:0pt" filled="f" o:ole="">
            <v:imagedata r:id="rId11" o:title=""/>
          </v:shape>
          <o:OLEObject Type="Embed" ProgID="Word.Document.12" ShapeID="ole_rId10" DrawAspect="Icon" ObjectID="_134599470" r:id="rId10"/>
        </w:object>
      </w:r>
    </w:p>
    <w:p>
      <w:pPr>
        <w:pStyle w:val="Style24"/>
        <w:rPr/>
      </w:pPr>
      <w:bookmarkStart w:id="256" w:name="Прил03_ТребованияУчастникам"/>
      <w:bookmarkStart w:id="257" w:name="_Ref125365476"/>
      <w:bookmarkStart w:id="258" w:name="_Ref125370013"/>
      <w:bookmarkStart w:id="259" w:name="_Ref125361494"/>
      <w:bookmarkStart w:id="260" w:name="_Ref125361908"/>
      <w:bookmarkStart w:id="261" w:name="_Toc186224315"/>
      <w:r>
        <w:rPr/>
        <w:t>Приложение № 3 – Требования к Участникам</w:t>
      </w:r>
      <w:bookmarkEnd w:id="256"/>
      <w:bookmarkEnd w:id="257"/>
      <w:bookmarkEnd w:id="258"/>
      <w:bookmarkEnd w:id="259"/>
      <w:bookmarkEnd w:id="260"/>
      <w:bookmarkEnd w:id="261"/>
    </w:p>
    <w:p>
      <w:pPr>
        <w:pStyle w:val="Style25"/>
        <w:rPr/>
      </w:pPr>
      <w:bookmarkStart w:id="262" w:name="_Toc186224316"/>
      <w:r>
        <w:rPr/>
        <w:t>Пояснения к требованиям к Участникам</w:t>
      </w:r>
      <w:bookmarkEnd w:id="262"/>
    </w:p>
    <w:p>
      <w:pPr>
        <w:pStyle w:val="Style26"/>
        <w:rPr/>
      </w:pPr>
      <w:bookmarkStart w:id="263"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3"/>
    </w:p>
    <w:p>
      <w:pPr>
        <w:pStyle w:val="Style25"/>
        <w:spacing w:before="360" w:after="120"/>
        <w:rPr/>
      </w:pPr>
      <w:bookmarkStart w:id="264" w:name="_Ref125366879"/>
      <w:bookmarkStart w:id="265" w:name="_Toc186224317"/>
      <w:bookmarkStart w:id="266" w:name="_Ref125369088"/>
      <w:bookmarkStart w:id="267" w:name="_Ref125370058"/>
      <w:bookmarkStart w:id="268" w:name="_Ref125370064"/>
      <w:bookmarkStart w:id="269" w:name="_Ref125368812"/>
      <w:bookmarkStart w:id="270" w:name="_Ref125361435"/>
      <w:bookmarkStart w:id="271" w:name="_Ref125361846"/>
      <w:bookmarkStart w:id="272" w:name="_Ref125361590"/>
      <w:bookmarkStart w:id="273" w:name="_Ref125370071"/>
      <w:bookmarkStart w:id="274" w:name="_Ref125361617"/>
      <w:bookmarkStart w:id="275" w:name="_Ref125368895"/>
      <w:bookmarkStart w:id="276" w:name="_Ref125361926"/>
      <w:bookmarkStart w:id="277" w:name="_Ref125361832"/>
      <w:r>
        <w:rPr/>
        <w:t>Обязательные требования</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78" w:name="_Ref125552433"/>
            <w:bookmarkStart w:id="279" w:name="_Ref125552433"/>
            <w:bookmarkEnd w:id="279"/>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0" w:name="_Ref139028406"/>
            <w:bookmarkStart w:id="281" w:name="_Ref139028406"/>
            <w:bookmarkEnd w:id="281"/>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2" w:name="_Ref186128496"/>
            <w:bookmarkStart w:id="283" w:name="_Ref186128496"/>
            <w:bookmarkEnd w:id="283"/>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4" w:name="_Ref186128503"/>
            <w:bookmarkStart w:id="285" w:name="_Ref186128503"/>
            <w:bookmarkEnd w:id="285"/>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5"/>
        <w:spacing w:before="360" w:after="120"/>
        <w:rPr/>
      </w:pPr>
      <w:bookmarkStart w:id="286" w:name="_Ref125367521"/>
      <w:bookmarkStart w:id="287" w:name="_Ref125709153"/>
      <w:bookmarkStart w:id="288" w:name="_Ref125361633"/>
      <w:bookmarkStart w:id="289" w:name="_Ref125361671"/>
      <w:bookmarkStart w:id="290" w:name="_Ref125368818"/>
      <w:bookmarkStart w:id="291" w:name="_Ref125369099"/>
      <w:bookmarkStart w:id="292" w:name="_Ref125361442"/>
      <w:bookmarkStart w:id="293" w:name="_Ref125370079"/>
      <w:bookmarkStart w:id="294" w:name="_Ref125361937"/>
      <w:bookmarkStart w:id="295" w:name="_Ref125367539"/>
      <w:bookmarkStart w:id="296" w:name="_Ref125709888"/>
      <w:bookmarkStart w:id="297" w:name="_Ref125709250"/>
      <w:bookmarkStart w:id="298" w:name="_Ref125361869"/>
      <w:bookmarkStart w:id="299" w:name="_Ref125709401"/>
      <w:bookmarkStart w:id="300" w:name="_Toc186224318"/>
      <w:bookmarkStart w:id="301" w:name="_Ref125368901"/>
      <w:bookmarkStart w:id="302" w:name="_Ref125365459"/>
      <w:bookmarkStart w:id="303" w:name="_Ref125368916"/>
      <w:r>
        <w:rPr/>
        <w:t>Специальные требования</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5"/>
        <w:spacing w:before="360" w:after="120"/>
        <w:rPr/>
      </w:pPr>
      <w:bookmarkStart w:id="304" w:name="_Ref125550270"/>
      <w:bookmarkStart w:id="305" w:name="_Ref125553296"/>
      <w:bookmarkStart w:id="306" w:name="_Ref125709256"/>
      <w:bookmarkStart w:id="307" w:name="_Ref125553242"/>
      <w:bookmarkStart w:id="308" w:name="_Toc186224319"/>
      <w:bookmarkStart w:id="309" w:name="_Ref125709541"/>
      <w:bookmarkStart w:id="310" w:name="_Ref125553475"/>
      <w:bookmarkStart w:id="311" w:name="_Ref125550353"/>
      <w:bookmarkStart w:id="312" w:name="_Ref125553681"/>
      <w:bookmarkStart w:id="313" w:name="_Ref125709895"/>
      <w:bookmarkStart w:id="314" w:name="_Ref125709154"/>
      <w:r>
        <w:rPr/>
        <w:t>Квалификационные требования</w:t>
      </w:r>
      <w:bookmarkEnd w:id="304"/>
      <w:bookmarkEnd w:id="305"/>
      <w:bookmarkEnd w:id="306"/>
      <w:bookmarkEnd w:id="307"/>
      <w:bookmarkEnd w:id="308"/>
      <w:bookmarkEnd w:id="309"/>
      <w:bookmarkEnd w:id="310"/>
      <w:bookmarkEnd w:id="311"/>
      <w:bookmarkEnd w:id="312"/>
      <w:bookmarkEnd w:id="313"/>
      <w:bookmarkEnd w:id="314"/>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5"/>
        <w:spacing w:before="360" w:after="120"/>
        <w:rPr/>
      </w:pPr>
      <w:bookmarkStart w:id="315" w:name="_Ref125552455"/>
      <w:bookmarkStart w:id="316" w:name="_Ref125553500"/>
      <w:bookmarkStart w:id="317" w:name="_Ref125709228"/>
      <w:bookmarkStart w:id="318" w:name="_Ref125553692"/>
      <w:bookmarkStart w:id="319" w:name="_Toc186224320"/>
      <w:bookmarkStart w:id="320" w:name="_Ref125553703"/>
      <w:r>
        <w:rPr/>
        <w:t>Дополнительные требования к Коллективным участникам</w:t>
      </w:r>
      <w:bookmarkEnd w:id="315"/>
      <w:bookmarkEnd w:id="316"/>
      <w:bookmarkEnd w:id="317"/>
      <w:bookmarkEnd w:id="318"/>
      <w:bookmarkEnd w:id="319"/>
      <w:bookmarkEnd w:id="320"/>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1" w:name="_Ref125370156"/>
            <w:bookmarkStart w:id="322" w:name="_Ref125370156"/>
            <w:bookmarkEnd w:id="322"/>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3" w:name="_Ref125553738"/>
            <w:bookmarkStart w:id="324" w:name="_Ref125553738"/>
            <w:bookmarkEnd w:id="324"/>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5" w:name="_Ref125370162"/>
            <w:bookmarkStart w:id="326" w:name="_Ref125370162"/>
            <w:bookmarkEnd w:id="326"/>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27" w:name="_Ref125709777"/>
      <w:bookmarkStart w:id="328" w:name="_Ref125370173"/>
      <w:bookmarkStart w:id="329" w:name="_Toc186224321"/>
      <w:bookmarkStart w:id="330" w:name="_Ref125370209"/>
      <w:bookmarkStart w:id="331" w:name="_Ref125361823"/>
      <w:bookmarkStart w:id="332" w:name="_Ref125362031"/>
      <w:bookmarkStart w:id="333" w:name="_Ref125369117"/>
      <w:bookmarkStart w:id="334" w:name="_Ref125370180"/>
      <w:bookmarkStart w:id="335" w:name="_Ref125709973"/>
      <w:r>
        <w:rPr/>
        <w:t>Дополнительные требования к Генеральным подрядчикам</w:t>
      </w:r>
      <w:bookmarkEnd w:id="327"/>
      <w:bookmarkEnd w:id="328"/>
      <w:bookmarkEnd w:id="329"/>
      <w:bookmarkEnd w:id="330"/>
      <w:bookmarkEnd w:id="331"/>
      <w:bookmarkEnd w:id="332"/>
      <w:bookmarkEnd w:id="333"/>
      <w:bookmarkEnd w:id="334"/>
      <w:bookmarkEnd w:id="335"/>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36" w:name="_Ref125370187"/>
            <w:bookmarkStart w:id="337" w:name="_Ref125370187"/>
            <w:bookmarkEnd w:id="337"/>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38" w:name="_Ref125370199"/>
            <w:bookmarkStart w:id="339" w:name="_Ref125370199"/>
            <w:bookmarkEnd w:id="339"/>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40" w:name="_Ref125370193"/>
            <w:bookmarkStart w:id="341" w:name="_Ref125370193"/>
            <w:bookmarkEnd w:id="341"/>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4"/>
        <w:rPr/>
      </w:pPr>
      <w:bookmarkStart w:id="342" w:name="Прил04_ФормыЗаявки"/>
      <w:bookmarkStart w:id="343" w:name="_Toc186224322"/>
      <w:bookmarkEnd w:id="342"/>
      <w:r>
        <w:rPr/>
        <w:t>Приложение № 4 – Образцы форм документов, включаемых в состав заявки</w:t>
      </w:r>
      <w:bookmarkEnd w:id="343"/>
    </w:p>
    <w:p>
      <w:pPr>
        <w:pStyle w:val="Style25"/>
        <w:rPr/>
      </w:pPr>
      <w:bookmarkStart w:id="344" w:name="_Toc186224323"/>
      <w:r>
        <w:rPr/>
        <w:t>Пояснения к Образцам форм документов, включаемых в состав заявки</w:t>
      </w:r>
      <w:bookmarkEnd w:id="344"/>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45" w:name="_Toc186224324"/>
      <w:bookmarkStart w:id="346" w:name="Прил05_ФормыПобедителя"/>
      <w:bookmarkEnd w:id="346"/>
      <w:r>
        <w:rPr/>
        <w:t>Приложение № 5 – Образцы форм документов, предоставляемых Победителем</w:t>
      </w:r>
      <w:bookmarkEnd w:id="345"/>
    </w:p>
    <w:p>
      <w:pPr>
        <w:pStyle w:val="Style25"/>
        <w:rPr/>
      </w:pPr>
      <w:bookmarkStart w:id="347" w:name="_Toc186224325"/>
      <w:r>
        <w:rPr/>
        <w:t>Пояснения к Образцам форм документов, предоставляемых Победителем</w:t>
      </w:r>
      <w:bookmarkEnd w:id="347"/>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48" w:name="_Toc186224326"/>
      <w:bookmarkStart w:id="349" w:name="_Ref130395470"/>
      <w:r>
        <w:rPr/>
        <w:t>Форма справки «Сведения о цепочке собственников, включая бенефициаров (в том числе конечных)»</w:t>
      </w:r>
      <w:bookmarkEnd w:id="348"/>
      <w:bookmarkEnd w:id="349"/>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0" w:name="_MON_1741074142"/>
      <w:bookmarkEnd w:id="350"/>
    </w:p>
    <w:p>
      <w:pPr>
        <w:pStyle w:val="Style30"/>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4"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9">
                <wp:simplePos x="0" y="0"/>
                <wp:positionH relativeFrom="column">
                  <wp:posOffset>635</wp:posOffset>
                </wp:positionH>
                <wp:positionV relativeFrom="paragraph">
                  <wp:posOffset>635</wp:posOffset>
                </wp:positionV>
                <wp:extent cx="635000" cy="635000"/>
                <wp:effectExtent l="635" t="0" r="0" b="0"/>
                <wp:wrapNone/>
                <wp:docPr id="5"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2">
                <wp:simplePos x="0" y="0"/>
                <wp:positionH relativeFrom="column">
                  <wp:posOffset>635</wp:posOffset>
                </wp:positionH>
                <wp:positionV relativeFrom="paragraph">
                  <wp:posOffset>635</wp:posOffset>
                </wp:positionV>
                <wp:extent cx="635000" cy="635000"/>
                <wp:effectExtent l="635" t="0" r="0" b="0"/>
                <wp:wrapNone/>
                <wp:docPr id="6"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8.9pt;height:50.1pt;mso-wrap-distance-right:0pt" filled="f" o:ole="">
            <v:imagedata r:id="rId21" o:title=""/>
          </v:shape>
          <o:OLEObject Type="Embed" ProgID="Word.Document.12" ShapeID="ole_rId20" DrawAspect="Icon" ObjectID="_1501288296" r:id="rId20"/>
        </w:object>
      </w:r>
    </w:p>
    <w:p>
      <w:pPr>
        <w:pStyle w:val="Style25"/>
        <w:rPr/>
      </w:pPr>
      <w:bookmarkStart w:id="351" w:name="_Toc186224327"/>
      <w:bookmarkStart w:id="352" w:name="_Ref130395475"/>
      <w:r>
        <w:rPr/>
        <w:t>Форма «Заверение об обстоятельствах»</w:t>
      </w:r>
      <w:bookmarkEnd w:id="351"/>
      <w:bookmarkEnd w:id="352"/>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3" w:name="_MON_1741074184"/>
      <w:bookmarkEnd w:id="353"/>
    </w:p>
    <w:p>
      <w:pPr>
        <w:pStyle w:val="Style30"/>
        <w:spacing w:before="120" w:after="120"/>
        <w:jc w:val="center"/>
        <w:rPr/>
      </w:pPr>
      <w:r>
        <w:rPr/>
        <mc:AlternateContent>
          <mc:Choice Requires="wps">
            <w:drawing>
              <wp:anchor behindDoc="0" distT="0" distB="0" distL="635" distR="0" simplePos="0" locked="0" layoutInCell="0" allowOverlap="1" relativeHeight="6">
                <wp:simplePos x="0" y="0"/>
                <wp:positionH relativeFrom="column">
                  <wp:posOffset>635</wp:posOffset>
                </wp:positionH>
                <wp:positionV relativeFrom="paragraph">
                  <wp:posOffset>635</wp:posOffset>
                </wp:positionV>
                <wp:extent cx="635000" cy="635000"/>
                <wp:effectExtent l="635" t="0" r="0" b="0"/>
                <wp:wrapNone/>
                <wp:docPr id="7"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inline distT="0" distB="0" distL="0" distR="0">
                <wp:extent cx="14605" cy="360045"/>
                <wp:effectExtent l="114300" t="0" r="0" b="76200"/>
                <wp:docPr id="8" name="Фигура4"/>
                <a:graphic xmlns:a="http://schemas.openxmlformats.org/drawingml/2006/main">
                  <a:graphicData uri="http://schemas.microsoft.com/office/word/2010/wordprocessingShape">
                    <wps:wsp>
                      <wps:cNvSpPr/>
                      <wps:spPr>
                        <a:xfrm>
                          <a:off x="0" y="0"/>
                          <a:ext cx="14760" cy="360000"/>
                        </a:xfrm>
                        <a:prstGeom prst="rect">
                          <a:avLst/>
                        </a:prstGeom>
                        <a:noFill/>
                        <a:ln w="0">
                          <a:noFill/>
                        </a:ln>
                      </wps:spPr>
                      <wps:style>
                        <a:lnRef idx="0"/>
                        <a:fillRef idx="0"/>
                        <a:effectRef idx="0"/>
                        <a:fontRef idx="minor"/>
                      </wps:style>
                      <wps:bodyPr/>
                    </wps:wsp>
                  </a:graphicData>
                </a:graphic>
              </wp:inline>
            </w:drawing>
          </mc:Choice>
          <mc:Fallback>
            <w:pict>
              <v:rect id="shape_0" ID="Фигура4" path="m0,0l-2147483645,0l-2147483645,-2147483646l0,-2147483646xe" stroked="f" o:allowincell="f" style="position:absolute;margin-left:0pt;margin-top:-34.4pt;width:1.1pt;height:28.3pt;mso-wrap-style:none;v-text-anchor:middle;mso-position-vertical:top">
                <v:fill o:detectmouseclick="t" on="false"/>
                <v:stroke color="#3465a4" joinstyle="round" endcap="flat"/>
                <w10:wrap type="square"/>
              </v:rect>
            </w:pict>
          </mc:Fallback>
        </mc:AlternateContent>
      </w:r>
    </w:p>
    <w:p>
      <w:pPr>
        <w:pStyle w:val="Style24"/>
        <w:rPr/>
      </w:pPr>
      <w:bookmarkStart w:id="354" w:name="_Toc186224328"/>
      <w:bookmarkStart w:id="355" w:name="_Ref125362900"/>
      <w:bookmarkStart w:id="356" w:name="_Ref125362865"/>
      <w:bookmarkStart w:id="357" w:name="Прил06_СоставЗаявки"/>
      <w:bookmarkEnd w:id="357"/>
      <w:r>
        <w:rPr/>
        <w:t>Приложение № 6 – Состав заявки</w:t>
      </w:r>
      <w:bookmarkEnd w:id="354"/>
      <w:bookmarkEnd w:id="355"/>
      <w:bookmarkEnd w:id="356"/>
    </w:p>
    <w:p>
      <w:pPr>
        <w:pStyle w:val="Style25"/>
        <w:rPr/>
      </w:pPr>
      <w:bookmarkStart w:id="358" w:name="_Toc186224329"/>
      <w:r>
        <w:rPr/>
        <w:t>Состав заявки</w:t>
      </w:r>
      <w:bookmarkEnd w:id="358"/>
    </w:p>
    <w:p>
      <w:pPr>
        <w:pStyle w:val="Style26"/>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f8"/>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59" w:name="_Ref130389408"/>
            <w:bookmarkStart w:id="360" w:name="_Ref130389408"/>
            <w:bookmarkEnd w:id="360"/>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61" w:name="_Ref130389413"/>
            <w:bookmarkStart w:id="362" w:name="_Ref130389413"/>
            <w:bookmarkEnd w:id="362"/>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63" w:name="_Ref130389419"/>
            <w:bookmarkStart w:id="364" w:name="_Ref130389419"/>
            <w:bookmarkEnd w:id="364"/>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ind w:right="75" w:hanging="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2"/>
          <w:headerReference w:type="first" r:id="rId23"/>
          <w:footerReference w:type="default" r:id="rId24"/>
          <w:footerReference w:type="first" r:id="rId2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365" w:name="_Toc186224330"/>
      <w:bookmarkStart w:id="366" w:name="_Ref125365264"/>
      <w:bookmarkStart w:id="367" w:name="Прил07_ОтборочныеКритерии"/>
      <w:bookmarkEnd w:id="367"/>
      <w:r>
        <w:rPr/>
        <w:t>Приложение № 7 – Отборочные критерии рассмотрения заявок</w:t>
      </w:r>
      <w:bookmarkEnd w:id="365"/>
      <w:bookmarkEnd w:id="366"/>
    </w:p>
    <w:p>
      <w:pPr>
        <w:pStyle w:val="Style25"/>
        <w:spacing w:before="360" w:after="120"/>
        <w:rPr>
          <w:rStyle w:val="Style11"/>
          <w:i w:val="false"/>
          <w:i w:val="false"/>
          <w:iCs w:val="false"/>
          <w:shd w:fill="auto" w:val="clear"/>
        </w:rPr>
      </w:pPr>
      <w:bookmarkStart w:id="368" w:name="_Toc186224331"/>
      <w:r>
        <w:rPr>
          <w:rStyle w:val="Style11"/>
          <w:i w:val="false"/>
          <w:iCs w:val="false"/>
          <w:shd w:fill="auto" w:val="clear"/>
        </w:rPr>
        <w:t>Отборочные критерии рассмотрения заявок</w:t>
      </w:r>
      <w:bookmarkEnd w:id="368"/>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0"/>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0"/>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369" w:name="_Toc186224332"/>
      <w:r>
        <w:rPr>
          <w:rStyle w:val="Style11"/>
          <w:i w:val="false"/>
          <w:iCs w:val="false"/>
          <w:shd w:fill="auto" w:val="clear"/>
        </w:rPr>
        <w:t>Дополнительные критерии проверки заявок на соответствие условиям Документации о закупке</w:t>
      </w:r>
      <w:bookmarkEnd w:id="369"/>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0"/>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0"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0"/>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0"/>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26"/>
          <w:headerReference w:type="first" r:id="rId27"/>
          <w:footerReference w:type="default" r:id="rId28"/>
          <w:footerReference w:type="first" r:id="rId2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371" w:name="_Toc186224334"/>
      <w:bookmarkStart w:id="372" w:name="Прил08_ПорядокОценки"/>
      <w:bookmarkEnd w:id="372"/>
      <w:r>
        <w:rPr/>
        <w:t>Порядок и критерии оценки и сопоставления заявок</w:t>
      </w:r>
      <w:bookmarkEnd w:id="371"/>
    </w:p>
    <w:p>
      <w:pPr>
        <w:pStyle w:val="Style26"/>
        <w:spacing w:before="0" w:after="0"/>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87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86"/>
        <w:gridCol w:w="994"/>
        <w:gridCol w:w="1416"/>
        <w:gridCol w:w="1277"/>
        <w:gridCol w:w="6"/>
        <w:gridCol w:w="1269"/>
        <w:gridCol w:w="2439"/>
        <w:gridCol w:w="6491"/>
      </w:tblGrid>
      <w:tr>
        <w:trPr/>
        <w:tc>
          <w:tcPr>
            <w:tcW w:w="986" w:type="dxa"/>
            <w:vMerge w:val="restart"/>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uppressAutoHyphens w:val="false"/>
              <w:snapToGrid w:val="false"/>
              <w:spacing w:before="0" w:after="0"/>
              <w:jc w:val="center"/>
              <w:rPr>
                <w:rFonts w:eastAsia="Calibri" w:cs="Times New Roman"/>
                <w:sz w:val="20"/>
                <w:szCs w:val="20"/>
                <w:lang w:eastAsia="ru-RU"/>
              </w:rPr>
            </w:pPr>
            <w:r>
              <w:rPr>
                <w:rFonts w:eastAsia="Calibri" w:cs="Times New Roman"/>
                <w:sz w:val="20"/>
                <w:szCs w:val="20"/>
                <w:lang w:eastAsia="ru-RU"/>
              </w:rPr>
              <w:t>Номер критерия оценки в структуре</w:t>
            </w:r>
          </w:p>
        </w:tc>
        <w:tc>
          <w:tcPr>
            <w:tcW w:w="994" w:type="dxa"/>
            <w:vMerge w:val="restart"/>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uppressAutoHyphens w:val="false"/>
              <w:snapToGrid w:val="false"/>
              <w:spacing w:before="0" w:after="0"/>
              <w:jc w:val="center"/>
              <w:rPr>
                <w:rFonts w:eastAsia="Calibri" w:cs="Times New Roman"/>
                <w:sz w:val="20"/>
                <w:szCs w:val="20"/>
                <w:lang w:eastAsia="ru-RU"/>
              </w:rPr>
            </w:pPr>
            <w:r>
              <w:rPr>
                <w:rFonts w:eastAsia="Calibri" w:cs="Times New Roman"/>
                <w:sz w:val="20"/>
                <w:szCs w:val="20"/>
                <w:lang w:eastAsia="ru-RU"/>
              </w:rPr>
              <w:t>Направление оценки заявок</w:t>
            </w:r>
          </w:p>
        </w:tc>
        <w:tc>
          <w:tcPr>
            <w:tcW w:w="2693" w:type="dxa"/>
            <w:gridSpan w:val="2"/>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uppressAutoHyphens w:val="false"/>
              <w:snapToGrid w:val="false"/>
              <w:spacing w:before="0" w:after="0"/>
              <w:jc w:val="center"/>
              <w:rPr>
                <w:rFonts w:eastAsia="Calibri" w:cs="Times New Roman"/>
                <w:sz w:val="20"/>
                <w:szCs w:val="20"/>
                <w:lang w:eastAsia="ru-RU"/>
              </w:rPr>
            </w:pPr>
            <w:r>
              <w:rPr>
                <w:rFonts w:eastAsia="Calibri" w:cs="Times New Roman"/>
                <w:sz w:val="20"/>
                <w:szCs w:val="20"/>
                <w:lang w:eastAsia="ru-RU"/>
              </w:rPr>
              <w:t>Наименование критерия оценки</w:t>
            </w:r>
          </w:p>
        </w:tc>
        <w:tc>
          <w:tcPr>
            <w:tcW w:w="1275" w:type="dxa"/>
            <w:gridSpan w:val="2"/>
            <w:vMerge w:val="restart"/>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uppressAutoHyphens w:val="false"/>
              <w:snapToGrid w:val="false"/>
              <w:spacing w:before="0" w:after="0"/>
              <w:jc w:val="center"/>
              <w:rPr>
                <w:rFonts w:eastAsia="Calibri" w:cs="Times New Roman"/>
                <w:sz w:val="20"/>
                <w:szCs w:val="20"/>
                <w:lang w:eastAsia="ru-RU"/>
              </w:rPr>
            </w:pPr>
            <w:r>
              <w:rPr>
                <w:rFonts w:eastAsia="Calibri" w:cs="Times New Roman"/>
                <w:sz w:val="20"/>
                <w:szCs w:val="20"/>
                <w:lang w:eastAsia="ru-RU"/>
              </w:rPr>
              <w:t>Значимость критерия оценки</w:t>
            </w:r>
          </w:p>
        </w:tc>
        <w:tc>
          <w:tcPr>
            <w:tcW w:w="2439" w:type="dxa"/>
            <w:vMerge w:val="restart"/>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uppressAutoHyphens w:val="false"/>
              <w:snapToGrid w:val="false"/>
              <w:spacing w:before="0" w:after="0"/>
              <w:jc w:val="center"/>
              <w:rPr>
                <w:rFonts w:eastAsia="Calibri" w:cs="Times New Roman"/>
                <w:sz w:val="20"/>
                <w:szCs w:val="20"/>
                <w:lang w:eastAsia="ru-RU"/>
              </w:rPr>
            </w:pPr>
            <w:r>
              <w:rPr>
                <w:rFonts w:eastAsia="Calibri" w:cs="Times New Roman"/>
                <w:sz w:val="20"/>
                <w:szCs w:val="20"/>
                <w:lang w:eastAsia="ru-RU"/>
              </w:rPr>
              <w:t>Содержание частного критерия оценки</w:t>
            </w:r>
          </w:p>
        </w:tc>
        <w:tc>
          <w:tcPr>
            <w:tcW w:w="6491" w:type="dxa"/>
            <w:vMerge w:val="restart"/>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uppressAutoHyphens w:val="false"/>
              <w:snapToGrid w:val="false"/>
              <w:spacing w:before="0" w:after="0"/>
              <w:jc w:val="center"/>
              <w:rPr>
                <w:rFonts w:eastAsia="Calibri" w:cs="Times New Roman"/>
                <w:sz w:val="20"/>
                <w:szCs w:val="20"/>
                <w:lang w:eastAsia="ru-RU"/>
              </w:rPr>
            </w:pPr>
            <w:r>
              <w:rPr>
                <w:rFonts w:eastAsia="Calibri" w:cs="Times New Roman"/>
                <w:sz w:val="20"/>
                <w:szCs w:val="20"/>
                <w:lang w:eastAsia="ru-RU"/>
              </w:rPr>
              <w:t>Расчет оценки предпочтительности заявки</w:t>
            </w:r>
          </w:p>
        </w:tc>
      </w:tr>
      <w:tr>
        <w:trPr/>
        <w:tc>
          <w:tcPr>
            <w:tcW w:w="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napToGrid w:val="false"/>
              <w:spacing w:before="0" w:after="0"/>
              <w:jc w:val="both"/>
              <w:rPr>
                <w:rFonts w:eastAsia="Calibri" w:cs="Times New Roman"/>
                <w:sz w:val="20"/>
                <w:szCs w:val="20"/>
                <w:lang w:eastAsia="ru-RU"/>
              </w:rPr>
            </w:pPr>
            <w:r>
              <w:rPr>
                <w:rFonts w:eastAsia="Calibri" w:cs="Times New Roman"/>
                <w:sz w:val="20"/>
                <w:szCs w:val="20"/>
                <w:lang w:eastAsia="ru-RU"/>
              </w:rPr>
            </w:r>
          </w:p>
        </w:tc>
        <w:tc>
          <w:tcPr>
            <w:tcW w:w="9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napToGrid w:val="false"/>
              <w:spacing w:before="0" w:after="0"/>
              <w:jc w:val="both"/>
              <w:rPr>
                <w:rFonts w:eastAsia="Calibri" w:cs="Times New Roman"/>
                <w:sz w:val="20"/>
                <w:szCs w:val="20"/>
                <w:lang w:eastAsia="ru-RU"/>
              </w:rPr>
            </w:pPr>
            <w:r>
              <w:rPr>
                <w:rFonts w:eastAsia="Calibri" w:cs="Times New Roman"/>
                <w:sz w:val="20"/>
                <w:szCs w:val="20"/>
                <w:lang w:eastAsia="ru-RU"/>
              </w:rPr>
            </w:r>
          </w:p>
        </w:tc>
        <w:tc>
          <w:tcPr>
            <w:tcW w:w="1416" w:type="dxa"/>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uppressAutoHyphens w:val="false"/>
              <w:snapToGrid w:val="false"/>
              <w:spacing w:before="0" w:after="0"/>
              <w:jc w:val="center"/>
              <w:rPr>
                <w:rFonts w:eastAsia="Calibri" w:cs="Times New Roman"/>
                <w:sz w:val="20"/>
                <w:szCs w:val="20"/>
                <w:lang w:eastAsia="ru-RU"/>
              </w:rPr>
            </w:pPr>
            <w:r>
              <w:rPr>
                <w:rFonts w:eastAsia="Calibri" w:cs="Times New Roman"/>
                <w:sz w:val="20"/>
                <w:szCs w:val="20"/>
                <w:lang w:eastAsia="ru-RU"/>
              </w:rPr>
              <w:t>критерий оценки первого уровня</w:t>
            </w:r>
          </w:p>
        </w:tc>
        <w:tc>
          <w:tcPr>
            <w:tcW w:w="1277" w:type="dxa"/>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uppressAutoHyphens w:val="false"/>
              <w:snapToGrid w:val="false"/>
              <w:spacing w:before="0" w:after="0"/>
              <w:jc w:val="center"/>
              <w:rPr>
                <w:rFonts w:eastAsia="Calibri" w:cs="Times New Roman"/>
                <w:sz w:val="20"/>
                <w:szCs w:val="20"/>
                <w:lang w:eastAsia="ru-RU"/>
              </w:rPr>
            </w:pPr>
            <w:r>
              <w:rPr>
                <w:rFonts w:eastAsia="Calibri" w:cs="Times New Roman"/>
                <w:sz w:val="20"/>
                <w:szCs w:val="20"/>
                <w:lang w:eastAsia="ru-RU"/>
              </w:rPr>
              <w:t>критерий оценки второго уровня</w:t>
            </w:r>
          </w:p>
        </w:tc>
        <w:tc>
          <w:tcPr>
            <w:tcW w:w="127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napToGrid w:val="false"/>
              <w:spacing w:before="0" w:after="0"/>
              <w:jc w:val="both"/>
              <w:rPr>
                <w:rFonts w:eastAsia="Calibri" w:cs="Times New Roman"/>
                <w:sz w:val="20"/>
                <w:szCs w:val="20"/>
                <w:lang w:eastAsia="ru-RU"/>
              </w:rPr>
            </w:pPr>
            <w:r>
              <w:rPr>
                <w:rFonts w:eastAsia="Calibri" w:cs="Times New Roman"/>
                <w:sz w:val="20"/>
                <w:szCs w:val="20"/>
                <w:lang w:eastAsia="ru-RU"/>
              </w:rPr>
            </w:r>
          </w:p>
        </w:tc>
        <w:tc>
          <w:tcPr>
            <w:tcW w:w="24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napToGrid w:val="false"/>
              <w:spacing w:before="0" w:after="0"/>
              <w:jc w:val="both"/>
              <w:rPr>
                <w:rFonts w:eastAsia="Calibri" w:cs="Times New Roman"/>
                <w:sz w:val="20"/>
                <w:szCs w:val="20"/>
                <w:lang w:eastAsia="ru-RU"/>
              </w:rPr>
            </w:pPr>
            <w:r>
              <w:rPr>
                <w:rFonts w:eastAsia="Calibri" w:cs="Times New Roman"/>
                <w:sz w:val="20"/>
                <w:szCs w:val="20"/>
                <w:lang w:eastAsia="ru-RU"/>
              </w:rPr>
            </w:r>
          </w:p>
        </w:tc>
        <w:tc>
          <w:tcPr>
            <w:tcW w:w="64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napToGrid w:val="false"/>
              <w:spacing w:before="0" w:after="0"/>
              <w:jc w:val="both"/>
              <w:rPr>
                <w:rFonts w:eastAsia="Calibri" w:cs="Times New Roman"/>
                <w:sz w:val="20"/>
                <w:szCs w:val="20"/>
                <w:lang w:eastAsia="ru-RU"/>
              </w:rPr>
            </w:pPr>
            <w:r>
              <w:rPr>
                <w:rFonts w:eastAsia="Calibri" w:cs="Times New Roman"/>
                <w:sz w:val="20"/>
                <w:szCs w:val="20"/>
                <w:lang w:eastAsia="ru-RU"/>
              </w:rPr>
            </w:r>
          </w:p>
        </w:tc>
      </w:tr>
      <w:tr>
        <w:trPr/>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center"/>
              <w:rPr>
                <w:rFonts w:eastAsia="Times New Roman" w:cs="Times New Roman"/>
                <w:sz w:val="20"/>
                <w:szCs w:val="20"/>
                <w:lang w:eastAsia="ru-RU"/>
              </w:rPr>
            </w:pPr>
            <w:r>
              <w:rPr>
                <w:rFonts w:eastAsia="Times New Roman" w:cs="Times New Roman"/>
                <w:sz w:val="20"/>
                <w:szCs w:val="20"/>
                <w:lang w:eastAsia="ru-RU"/>
              </w:rPr>
              <w:t>1.</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Ценовой (стоимостный) частный критерий оценки первого уровня / ЦЕНА</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Цена договора (заявки)</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95%</w:t>
              <w:br/>
              <w:t>(В1 = 0,95)</w:t>
            </w:r>
          </w:p>
        </w:tc>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Чем меньше цена заявки Участника, тем выше предпочтительность</w:t>
            </w:r>
          </w:p>
        </w:tc>
        <w:tc>
          <w:tcPr>
            <w:tcW w:w="649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20"/>
              </w:numPr>
              <w:tabs>
                <w:tab w:val="left" w:pos="708" w:leader="none"/>
              </w:tabs>
              <w:suppressAutoHyphens w:val="false"/>
              <w:snapToGrid w:val="false"/>
              <w:spacing w:lineRule="auto" w:line="360" w:before="0" w:after="0"/>
              <w:ind w:left="1440" w:hanging="1440"/>
              <w:jc w:val="both"/>
              <w:rPr>
                <w:rFonts w:eastAsia="Times New Roman" w:cs="Times New Roman"/>
                <w:sz w:val="20"/>
                <w:szCs w:val="20"/>
                <w:lang w:eastAsia="ru-RU"/>
              </w:rPr>
            </w:pPr>
            <w:r>
              <w:rPr>
                <w:rFonts w:eastAsia="Times New Roman" w:cs="Times New Roman"/>
                <w:sz w:val="20"/>
                <w:szCs w:val="20"/>
                <w:lang w:eastAsia="ru-RU"/>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numPr>
                <w:ilvl w:val="6"/>
                <w:numId w:val="21"/>
              </w:numPr>
              <w:tabs>
                <w:tab w:val="left" w:pos="708" w:leader="none"/>
              </w:tabs>
              <w:suppressAutoHyphens w:val="false"/>
              <w:snapToGrid w:val="false"/>
              <w:spacing w:lineRule="auto" w:line="360" w:before="0" w:after="0"/>
              <w:ind w:left="1701" w:hanging="1296"/>
              <w:jc w:val="center"/>
              <w:rPr>
                <w:rFonts w:eastAsia="Times New Roman" w:cs="Times New Roman"/>
                <w:sz w:val="20"/>
                <w:szCs w:val="20"/>
                <w:lang w:eastAsia="ru-RU"/>
              </w:rPr>
            </w:pPr>
            <w:r>
              <w:fldChar w:fldCharType="begin"/>
            </w:r>
            <w:r>
              <w:rPr>
                <w:sz w:val="20"/>
                <w:szCs w:val="20"/>
              </w:rPr>
              <w:instrText xml:space="preserve">QUOTE</w:instrText>
            </w:r>
            <w:r>
              <w:rPr>
                <w:sz w:val="20"/>
                <w:szCs w:val="20"/>
              </w:rPr>
            </w:r>
            <w:r>
              <w:rPr>
                <w:sz w:val="20"/>
                <w:szCs w:val="20"/>
              </w:rPr>
              <w:fldChar w:fldCharType="separate"/>
            </w:r>
            <w:r>
              <w:rPr>
                <w:sz w:val="20"/>
                <w:szCs w:val="20"/>
              </w:rPr>
            </w:r>
            <w:r>
              <w:rPr>
                <w:sz w:val="20"/>
                <w:szCs w:val="20"/>
              </w:rPr>
            </w:r>
            <w:r>
              <w:rPr>
                <w:sz w:val="20"/>
                <w:szCs w:val="20"/>
              </w:rPr>
              <w:fldChar w:fldCharType="end"/>
            </w:r>
            <w:r>
              <w:rPr/>
              <w:drawing>
                <wp:inline distT="0" distB="0" distL="0" distR="0">
                  <wp:extent cx="1200785" cy="318135"/>
                  <wp:effectExtent l="0" t="0" r="0" b="0"/>
                  <wp:docPr id="9"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 descr=""/>
                          <pic:cNvPicPr>
                            <a:picLocks noChangeAspect="1" noChangeArrowheads="1"/>
                          </pic:cNvPicPr>
                        </pic:nvPicPr>
                        <pic:blipFill>
                          <a:blip r:embed="rId30"/>
                          <a:stretch>
                            <a:fillRect/>
                          </a:stretch>
                        </pic:blipFill>
                        <pic:spPr bwMode="auto">
                          <a:xfrm>
                            <a:off x="0" y="0"/>
                            <a:ext cx="1200785" cy="318135"/>
                          </a:xfrm>
                          <a:prstGeom prst="rect">
                            <a:avLst/>
                          </a:prstGeom>
                        </pic:spPr>
                      </pic:pic>
                    </a:graphicData>
                  </a:graphic>
                </wp:inline>
              </w:drawing>
            </w:r>
            <w:r>
              <w:fldChar w:fldCharType="begin"/>
            </w:r>
            <w:r>
              <w:rPr/>
              <w:instrText xml:space="preserve">QUOTE</w:instrText>
            </w:r>
            <w:r>
              <w:rPr/>
            </w:r>
            <w:r>
              <w:rPr/>
              <w:drawing>
                <wp:inline distT="0" distB="0" distL="0" distR="0">
                  <wp:extent cx="1009650" cy="292735"/>
                  <wp:effectExtent l="0" t="0" r="0" b="0"/>
                  <wp:docPr id="10"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1" descr=""/>
                          <pic:cNvPicPr>
                            <a:picLocks noChangeAspect="1" noChangeArrowheads="1"/>
                          </pic:cNvPicPr>
                        </pic:nvPicPr>
                        <pic:blipFill>
                          <a:blip r:embed="rId31"/>
                          <a:stretch>
                            <a:fillRect/>
                          </a:stretch>
                        </pic:blipFill>
                        <pic:spPr bwMode="auto">
                          <a:xfrm>
                            <a:off x="0" y="0"/>
                            <a:ext cx="1009650" cy="292735"/>
                          </a:xfrm>
                          <a:prstGeom prst="rect">
                            <a:avLst/>
                          </a:prstGeom>
                        </pic:spPr>
                      </pic:pic>
                    </a:graphicData>
                  </a:graphic>
                </wp:inline>
              </w:drawing>
            </w:r>
            <w:r>
              <w:rPr>
                <w:sz w:val="20"/>
                <w:szCs w:val="20"/>
              </w:rPr>
              <w:fldChar w:fldCharType="separate"/>
            </w:r>
            <w:r>
              <w:rPr>
                <w:sz w:val="20"/>
                <w:szCs w:val="20"/>
              </w:rPr>
            </w:r>
            <w:r/>
            <w:r>
              <w:rPr>
                <w:sz w:val="20"/>
                <w:szCs w:val="20"/>
              </w:rPr>
              <w:fldChar w:fldCharType="end"/>
            </w:r>
            <w:r>
              <w:rPr>
                <w:sz w:val="20"/>
                <w:szCs w:val="20"/>
              </w:rPr>
            </w:r>
          </w:p>
          <w:p>
            <w:pPr>
              <w:pStyle w:val="Normal"/>
              <w:widowControl w:val="false"/>
              <w:numPr>
                <w:ilvl w:val="6"/>
                <w:numId w:val="22"/>
              </w:numPr>
              <w:tabs>
                <w:tab w:val="left" w:pos="708" w:leader="none"/>
              </w:tabs>
              <w:suppressAutoHyphens w:val="false"/>
              <w:snapToGrid w:val="false"/>
              <w:spacing w:lineRule="auto" w:line="360" w:before="0" w:after="0"/>
              <w:ind w:left="1701" w:hanging="1296"/>
              <w:jc w:val="both"/>
              <w:rPr>
                <w:rFonts w:eastAsia="Times New Roman" w:cs="Times New Roman"/>
                <w:sz w:val="20"/>
                <w:szCs w:val="20"/>
                <w:lang w:eastAsia="ru-RU"/>
              </w:rPr>
            </w:pPr>
            <w:r>
              <w:rPr>
                <w:rFonts w:eastAsia="Times New Roman" w:cs="Times New Roman"/>
                <w:sz w:val="20"/>
                <w:szCs w:val="20"/>
                <w:lang w:eastAsia="ru-RU"/>
              </w:rPr>
              <w:t>где:</w:t>
            </w:r>
          </w:p>
          <w:p>
            <w:pPr>
              <w:pStyle w:val="Normal"/>
              <w:widowControl w:val="false"/>
              <w:tabs>
                <w:tab w:val="clear" w:pos="708"/>
                <w:tab w:val="left" w:pos="742" w:leader="none"/>
                <w:tab w:val="left" w:pos="1167" w:leader="none"/>
              </w:tabs>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Б1</w:t>
              <w:tab/>
              <w:t>–</w:t>
              <w:tab/>
              <w:t>рассчитанная оценка предпочтительности по данному частному критерию оценки в баллах;</w:t>
            </w:r>
          </w:p>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ЦЕНАi – цена договора (заявки), указанная в i-той заявке (в Коммерческом предложении по установленной в документации о закупке форме 3) допущенного участника, руб. без учета НДС ;</w:t>
            </w:r>
          </w:p>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ЦЕНАmin – минимальная цена договора (заявки) среди всех допущенных заявок участников, руб. без учета НДС;</w:t>
            </w:r>
          </w:p>
          <w:p>
            <w:pPr>
              <w:pStyle w:val="Normal"/>
              <w:widowControl w:val="false"/>
              <w:tabs>
                <w:tab w:val="clear" w:pos="708"/>
                <w:tab w:val="left" w:pos="742" w:leader="none"/>
                <w:tab w:val="left" w:pos="1167" w:leader="none"/>
              </w:tabs>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Ш</w:t>
              <w:tab/>
              <w:t>–</w:t>
              <w:tab/>
              <w:t>максимально возможный балл (максимальная возможная оценка предпочтительности) по шкале оценок (Ш = 5).</w:t>
            </w:r>
          </w:p>
          <w:p>
            <w:pPr>
              <w:pStyle w:val="Normal"/>
              <w:widowControl w:val="false"/>
              <w:tabs>
                <w:tab w:val="left" w:pos="708" w:leader="none"/>
              </w:tabs>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Шкала оценок от 0 до 5 баллов.</w:t>
            </w:r>
          </w:p>
        </w:tc>
      </w:tr>
      <w:tr>
        <w:trPr/>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center"/>
              <w:rPr>
                <w:rFonts w:eastAsia="Times New Roman" w:cs="Times New Roman"/>
                <w:sz w:val="20"/>
                <w:szCs w:val="20"/>
                <w:lang w:eastAsia="ru-RU"/>
              </w:rPr>
            </w:pPr>
            <w:r>
              <w:rPr>
                <w:rFonts w:eastAsia="Calibri" w:cs="Times New Roman"/>
                <w:sz w:val="20"/>
                <w:szCs w:val="20"/>
                <w:lang w:eastAsia="ru-RU"/>
              </w:rPr>
              <w:t>2</w:t>
            </w:r>
            <w:bookmarkStart w:id="373" w:name="_Ref143679939"/>
            <w:r>
              <w:rPr>
                <w:rFonts w:eastAsia="Calibri" w:cs="Times New Roman"/>
                <w:sz w:val="20"/>
                <w:szCs w:val="20"/>
                <w:lang w:eastAsia="ru-RU"/>
              </w:rPr>
              <w:t>.</w:t>
            </w:r>
            <w:bookmarkEnd w:id="373"/>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Calibri" w:cs="Times New Roman"/>
                <w:sz w:val="20"/>
                <w:szCs w:val="20"/>
                <w:lang w:eastAsia="ru-RU"/>
              </w:rPr>
              <w:t>Неценовой критерий оценки первого уровня / ОРГ</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bookmarkStart w:id="374" w:name="Финсостояние"/>
            <w:r>
              <w:rPr>
                <w:rFonts w:eastAsia="Calibri" w:cs="Times New Roman"/>
                <w:sz w:val="20"/>
                <w:szCs w:val="20"/>
                <w:lang w:eastAsia="ru-RU"/>
              </w:rPr>
              <w:t>Финансовое состояние (устойчивость) Участника</w:t>
            </w:r>
            <w:bookmarkEnd w:id="374"/>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Calibri" w:cs="Times New Roman"/>
                <w:i/>
                <w:sz w:val="20"/>
                <w:szCs w:val="20"/>
                <w:lang w:eastAsia="ru-RU"/>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5%</w:t>
              <w:br/>
              <w:t>(В</w:t>
            </w:r>
            <w:r>
              <w:rPr>
                <w:rFonts w:eastAsia="Times New Roman" w:cs="Times New Roman"/>
                <w:sz w:val="20"/>
                <w:szCs w:val="20"/>
                <w:vertAlign w:val="subscript"/>
                <w:lang w:eastAsia="ru-RU"/>
              </w:rPr>
              <w:t>3</w:t>
            </w:r>
            <w:r>
              <w:rPr>
                <w:rFonts w:eastAsia="Times New Roman" w:cs="Times New Roman"/>
                <w:sz w:val="20"/>
                <w:szCs w:val="20"/>
                <w:lang w:eastAsia="ru-RU"/>
              </w:rPr>
              <w:t xml:space="preserve"> = 0,05)</w:t>
            </w:r>
          </w:p>
        </w:tc>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Calibri" w:cs="Times New Roman"/>
                <w:sz w:val="20"/>
                <w:szCs w:val="20"/>
                <w:lang w:eastAsia="ru-RU"/>
              </w:rPr>
              <w:t>Чем выше результат оценки финансового состояния (устойчивости) Участника, тем выше предпочтительность</w:t>
            </w:r>
          </w:p>
        </w:tc>
        <w:tc>
          <w:tcPr>
            <w:tcW w:w="64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ind w:left="145" w:hanging="0"/>
              <w:jc w:val="both"/>
              <w:rPr>
                <w:rFonts w:eastAsia="Calibri" w:cs="Times New Roman"/>
                <w:sz w:val="20"/>
                <w:szCs w:val="20"/>
                <w:lang w:eastAsia="ru-RU"/>
              </w:rPr>
            </w:pPr>
            <w:r>
              <w:rPr>
                <w:rFonts w:eastAsia="Calibri" w:cs="Times New Roman"/>
                <w:sz w:val="20"/>
                <w:szCs w:val="20"/>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uppressAutoHyphens w:val="false"/>
              <w:spacing w:before="0" w:after="0"/>
              <w:ind w:left="145" w:hanging="0"/>
              <w:jc w:val="both"/>
              <w:rPr>
                <w:rFonts w:eastAsia="Calibri" w:cs="Times New Roman"/>
                <w:sz w:val="20"/>
                <w:szCs w:val="20"/>
                <w:lang w:eastAsia="ru-RU"/>
              </w:rPr>
            </w:pPr>
            <w:r>
              <w:rPr>
                <w:rFonts w:eastAsia="Times New Roman" w:cs="Times New Roman"/>
                <w:sz w:val="20"/>
                <w:szCs w:val="20"/>
                <w:lang w:eastAsia="ru-RU"/>
              </w:rPr>
              <w:t xml:space="preserve">Порядок осуществления оценки (значение оцениваемого параметра), в зависимости от полученного Участником (с </w:t>
            </w:r>
            <w:r>
              <w:rPr>
                <w:rFonts w:eastAsia="Times New Roman" w:cs="Times New Roman"/>
                <w:i/>
                <w:sz w:val="20"/>
                <w:szCs w:val="20"/>
                <w:lang w:val="en-US" w:eastAsia="ru-RU"/>
              </w:rPr>
              <w:t>i</w:t>
            </w:r>
            <w:r>
              <w:rPr>
                <w:rFonts w:eastAsia="Times New Roman" w:cs="Times New Roman"/>
                <w:sz w:val="20"/>
                <w:szCs w:val="20"/>
                <w:lang w:eastAsia="ru-RU"/>
              </w:rPr>
              <w:t xml:space="preserve">-ой заявкой) значения расчетного балла </w:t>
            </w:r>
            <w:bookmarkStart w:id="375" w:name="_Hlk140493522"/>
            <w:r>
              <w:rPr>
                <w:rFonts w:eastAsia="Times New Roman" w:cs="Times New Roman"/>
                <w:sz w:val="20"/>
                <w:szCs w:val="20"/>
                <w:lang w:eastAsia="ru-RU"/>
              </w:rPr>
              <w:t>(интегрального показателя финансового состояния)</w:t>
            </w:r>
            <w:bookmarkEnd w:id="375"/>
            <w:r>
              <w:rPr>
                <w:rFonts w:eastAsia="Times New Roman" w:cs="Times New Roman"/>
                <w:sz w:val="20"/>
                <w:szCs w:val="20"/>
                <w:lang w:eastAsia="ru-RU"/>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16"/>
              </w:numPr>
              <w:suppressAutoHyphens w:val="false"/>
              <w:spacing w:before="0" w:after="0"/>
              <w:ind w:left="145" w:hanging="0"/>
              <w:jc w:val="both"/>
              <w:rPr>
                <w:rFonts w:eastAsia="Times New Roman" w:cs="Times New Roman"/>
                <w:sz w:val="20"/>
                <w:szCs w:val="20"/>
                <w:lang w:eastAsia="ru-RU"/>
              </w:rPr>
            </w:pPr>
            <w:r>
              <w:rPr>
                <w:rFonts w:eastAsia="Calibri" w:cs="Times New Roman"/>
                <w:sz w:val="20"/>
                <w:szCs w:val="20"/>
                <w:lang w:eastAsia="ru-RU"/>
              </w:rPr>
              <w:t>порядок проведения оценки финансового состояния (устойчивости) Участника</w:t>
            </w:r>
            <w:r>
              <w:rPr>
                <w:rStyle w:val="FootnoteReference"/>
                <w:rFonts w:eastAsia="Calibri" w:cs="Times New Roman"/>
                <w:sz w:val="20"/>
                <w:szCs w:val="20"/>
                <w:lang w:eastAsia="ru-RU"/>
              </w:rPr>
              <w:footnoteReference w:id="16"/>
            </w:r>
            <w:r>
              <w:rPr>
                <w:rFonts w:eastAsia="Calibri" w:cs="Times New Roman"/>
                <w:sz w:val="20"/>
                <w:szCs w:val="20"/>
                <w:lang w:eastAsia="ru-RU"/>
              </w:rPr>
              <w:t xml:space="preserve"> установлен Приложением 4 к Положению об аккредитации;</w:t>
            </w:r>
          </w:p>
          <w:p>
            <w:pPr>
              <w:pStyle w:val="Normal"/>
              <w:widowControl w:val="false"/>
              <w:numPr>
                <w:ilvl w:val="0"/>
                <w:numId w:val="16"/>
              </w:numPr>
              <w:suppressAutoHyphens w:val="false"/>
              <w:spacing w:before="0" w:after="0"/>
              <w:ind w:left="145" w:hanging="0"/>
              <w:jc w:val="both"/>
              <w:rPr>
                <w:rFonts w:eastAsia="Times New Roman" w:cs="Times New Roman"/>
                <w:sz w:val="20"/>
                <w:szCs w:val="20"/>
                <w:lang w:eastAsia="ru-RU"/>
              </w:rPr>
            </w:pPr>
            <w:r>
              <w:rPr>
                <w:rFonts w:eastAsia="Calibri" w:cs="Times New Roman"/>
                <w:sz w:val="20"/>
                <w:szCs w:val="20"/>
                <w:lang w:eastAsia="ru-RU"/>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2">
              <w:r>
                <w:rPr>
                  <w:rFonts w:eastAsia="Calibri" w:cs="Times New Roman"/>
                  <w:color w:val="0563C1"/>
                  <w:sz w:val="20"/>
                  <w:szCs w:val="20"/>
                  <w:u w:val="single"/>
                  <w:lang w:eastAsia="ru-RU"/>
                </w:rPr>
                <w:t>https://bo.nalog.ru</w:t>
              </w:r>
            </w:hyperlink>
            <w:r>
              <w:rPr>
                <w:rFonts w:eastAsia="Calibri" w:cs="Times New Roman"/>
                <w:sz w:val="20"/>
                <w:szCs w:val="20"/>
                <w:lang w:eastAsia="ru-RU"/>
              </w:rPr>
              <w:t xml:space="preserve">) за предыдущий отчетный период (год). </w:t>
            </w:r>
          </w:p>
          <w:p>
            <w:pPr>
              <w:pStyle w:val="Normal"/>
              <w:widowControl w:val="false"/>
              <w:suppressAutoHyphens w:val="false"/>
              <w:spacing w:before="0" w:after="0"/>
              <w:ind w:left="145" w:right="320" w:hanging="0"/>
              <w:jc w:val="both"/>
              <w:rPr>
                <w:rFonts w:eastAsia="Times New Roman" w:cs="Times New Roman"/>
                <w:sz w:val="20"/>
                <w:szCs w:val="20"/>
                <w:lang w:eastAsia="ru-RU"/>
              </w:rPr>
            </w:pPr>
            <w:r>
              <w:rPr>
                <w:rFonts w:eastAsia="Calibri" w:cs="Times New Roman"/>
                <w:sz w:val="20"/>
                <w:szCs w:val="20"/>
                <w:lang w:eastAsia="ru-RU"/>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numPr>
                <w:ilvl w:val="0"/>
                <w:numId w:val="16"/>
              </w:numPr>
              <w:suppressAutoHyphens w:val="false"/>
              <w:spacing w:before="0" w:after="0"/>
              <w:ind w:left="145" w:right="320" w:hanging="0"/>
              <w:jc w:val="both"/>
              <w:rPr>
                <w:rFonts w:eastAsia="Times New Roman" w:cs="Times New Roman"/>
                <w:sz w:val="20"/>
                <w:szCs w:val="20"/>
                <w:lang w:eastAsia="ru-RU"/>
              </w:rPr>
            </w:pPr>
            <w:r>
              <w:rPr>
                <w:rFonts w:eastAsia="Calibri" w:cs="Times New Roman"/>
                <w:sz w:val="20"/>
                <w:szCs w:val="20"/>
                <w:lang w:eastAsia="ru-RU"/>
              </w:rPr>
              <w:t>оценки предпочтительности по частному критерию</w:t>
            </w:r>
            <w:r>
              <w:rPr>
                <w:rFonts w:eastAsia="Times New Roman" w:cs="Times New Roman"/>
                <w:sz w:val="20"/>
                <w:szCs w:val="20"/>
                <w:lang w:eastAsia="ru-RU"/>
              </w:rPr>
              <w:t xml:space="preserve"> осуществляется в соответствии со </w:t>
            </w:r>
            <w:r>
              <w:rPr>
                <w:rFonts w:eastAsia="Calibri" w:cs="Times New Roman"/>
                <w:sz w:val="20"/>
                <w:szCs w:val="20"/>
                <w:lang w:eastAsia="ru-RU"/>
              </w:rPr>
              <w:t>шкалой</w:t>
            </w:r>
            <w:r>
              <w:rPr>
                <w:rFonts w:eastAsia="Times New Roman" w:cs="Times New Roman"/>
                <w:sz w:val="20"/>
                <w:szCs w:val="20"/>
                <w:lang w:eastAsia="ru-RU"/>
              </w:rPr>
              <w:t>:</w:t>
            </w:r>
          </w:p>
          <w:tbl>
            <w:tblPr>
              <w:tblW w:w="62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562"/>
              <w:gridCol w:w="4676"/>
            </w:tblGrid>
            <w:tr>
              <w:trPr>
                <w:cantSplit w:val="true"/>
              </w:trPr>
              <w:tc>
                <w:tcPr>
                  <w:tcW w:w="1562" w:type="dxa"/>
                  <w:tcBorders>
                    <w:bottom w:val="single" w:sz="4" w:space="0" w:color="000000"/>
                    <w:right w:val="single" w:sz="4" w:space="0" w:color="000000"/>
                  </w:tcBorders>
                </w:tcPr>
                <w:p>
                  <w:pPr>
                    <w:pStyle w:val="Normal"/>
                    <w:widowControl w:val="false"/>
                    <w:suppressAutoHyphens w:val="false"/>
                    <w:spacing w:before="0" w:after="0"/>
                    <w:ind w:left="145" w:right="320" w:hanging="0"/>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0</w:t>
                  </w:r>
                </w:p>
              </w:tc>
              <w:tc>
                <w:tcPr>
                  <w:tcW w:w="4676" w:type="dxa"/>
                  <w:tcBorders>
                    <w:left w:val="single" w:sz="4" w:space="0" w:color="000000"/>
                    <w:bottom w:val="single" w:sz="4" w:space="0" w:color="000000"/>
                  </w:tcBorders>
                </w:tcPr>
                <w:p>
                  <w:pPr>
                    <w:pStyle w:val="Normal"/>
                    <w:widowControl w:val="false"/>
                    <w:suppressAutoHyphens w:val="false"/>
                    <w:spacing w:before="0" w:after="0"/>
                    <w:ind w:left="145" w:hanging="0"/>
                    <w:jc w:val="both"/>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менее 0,45 балла – Кризисное финансовое состояние;</w:t>
                  </w:r>
                </w:p>
                <w:p>
                  <w:pPr>
                    <w:pStyle w:val="Normal"/>
                    <w:widowControl w:val="false"/>
                    <w:suppressAutoHyphens w:val="false"/>
                    <w:spacing w:before="0" w:after="0"/>
                    <w:ind w:left="145" w:hanging="0"/>
                    <w:jc w:val="both"/>
                    <w:rPr>
                      <w:rFonts w:eastAsia="Calibri" w:cs="Times New Roman"/>
                      <w:i/>
                      <w:i/>
                      <w:iCs/>
                      <w:sz w:val="20"/>
                      <w:szCs w:val="20"/>
                      <w:lang w:eastAsia="ru-RU"/>
                    </w:rPr>
                  </w:pPr>
                  <w:r>
                    <w:rPr>
                      <w:rFonts w:eastAsia="Calibri" w:cs="Times New Roman"/>
                      <w:i/>
                      <w:iCs/>
                      <w:sz w:val="20"/>
                      <w:szCs w:val="20"/>
                      <w:lang w:eastAsia="ru-RU"/>
                    </w:rPr>
                    <w:t>или</w:t>
                  </w:r>
                </w:p>
                <w:p>
                  <w:pPr>
                    <w:pStyle w:val="Normal"/>
                    <w:widowControl w:val="false"/>
                    <w:suppressAutoHyphens w:val="false"/>
                    <w:spacing w:before="0" w:after="0"/>
                    <w:ind w:left="145" w:hanging="0"/>
                    <w:jc w:val="both"/>
                    <w:rPr>
                      <w:rFonts w:eastAsia="Calibri" w:cs="Times New Roman"/>
                      <w:sz w:val="20"/>
                      <w:szCs w:val="20"/>
                      <w:lang w:eastAsia="ru-RU"/>
                    </w:rPr>
                  </w:pPr>
                  <w:r>
                    <w:rPr>
                      <w:rFonts w:eastAsia="Calibri" w:cs="Times New Roman"/>
                      <w:sz w:val="20"/>
                      <w:szCs w:val="20"/>
                      <w:lang w:eastAsia="ru-RU"/>
                    </w:rPr>
                    <w:t xml:space="preserve">в случае отсутствия исходных данных для оценки финансового состояния Участника, в том числе если он является: </w:t>
                  </w:r>
                </w:p>
                <w:p>
                  <w:pPr>
                    <w:pStyle w:val="Normal"/>
                    <w:widowControl w:val="false"/>
                    <w:numPr>
                      <w:ilvl w:val="0"/>
                      <w:numId w:val="0"/>
                    </w:numPr>
                    <w:suppressAutoHyphens w:val="false"/>
                    <w:spacing w:before="0" w:after="0"/>
                    <w:ind w:left="145" w:hanging="0"/>
                    <w:jc w:val="both"/>
                    <w:outlineLvl w:val="4"/>
                    <w:rPr>
                      <w:rFonts w:eastAsia="Calibri" w:cs="Times New Roman"/>
                      <w:sz w:val="20"/>
                      <w:szCs w:val="20"/>
                      <w:lang w:eastAsia="ru-RU"/>
                    </w:rPr>
                  </w:pPr>
                  <w:r>
                    <w:rPr>
                      <w:rFonts w:eastAsia="Calibri" w:cs="Times New Roman"/>
                      <w:sz w:val="20"/>
                      <w:szCs w:val="20"/>
                      <w:lang w:eastAsia="ru-RU"/>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0"/>
                      <w:numId w:val="0"/>
                    </w:numPr>
                    <w:suppressAutoHyphens w:val="false"/>
                    <w:spacing w:before="0" w:after="0"/>
                    <w:ind w:left="145" w:hanging="0"/>
                    <w:jc w:val="both"/>
                    <w:outlineLvl w:val="4"/>
                    <w:rPr>
                      <w:rFonts w:eastAsia="Calibri" w:cs="Times New Roman"/>
                      <w:sz w:val="20"/>
                      <w:szCs w:val="20"/>
                      <w:lang w:eastAsia="ru-RU"/>
                    </w:rPr>
                  </w:pPr>
                  <w:r>
                    <w:rPr>
                      <w:rFonts w:eastAsia="Calibri" w:cs="Times New Roman"/>
                      <w:sz w:val="20"/>
                      <w:szCs w:val="20"/>
                      <w:lang w:eastAsia="ru-RU"/>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1562" w:type="dxa"/>
                  <w:tcBorders>
                    <w:top w:val="single" w:sz="4" w:space="0" w:color="000000"/>
                    <w:bottom w:val="single" w:sz="4" w:space="0" w:color="000000"/>
                    <w:right w:val="single" w:sz="4" w:space="0" w:color="000000"/>
                  </w:tcBorders>
                </w:tcPr>
                <w:p>
                  <w:pPr>
                    <w:pStyle w:val="Normal"/>
                    <w:widowControl w:val="false"/>
                    <w:suppressAutoHyphens w:val="false"/>
                    <w:spacing w:before="0" w:after="0"/>
                    <w:ind w:left="145" w:right="320" w:hanging="0"/>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3</w:t>
                  </w:r>
                </w:p>
              </w:tc>
              <w:tc>
                <w:tcPr>
                  <w:tcW w:w="4676" w:type="dxa"/>
                  <w:tcBorders>
                    <w:top w:val="single" w:sz="4" w:space="0" w:color="000000"/>
                    <w:left w:val="single" w:sz="4" w:space="0" w:color="000000"/>
                    <w:bottom w:val="single" w:sz="4" w:space="0" w:color="000000"/>
                  </w:tcBorders>
                </w:tcPr>
                <w:p>
                  <w:pPr>
                    <w:pStyle w:val="Normal"/>
                    <w:widowControl w:val="false"/>
                    <w:numPr>
                      <w:ilvl w:val="0"/>
                      <w:numId w:val="0"/>
                    </w:numPr>
                    <w:suppressAutoHyphens w:val="false"/>
                    <w:spacing w:before="0" w:after="0"/>
                    <w:ind w:left="145" w:hanging="0"/>
                    <w:jc w:val="both"/>
                    <w:outlineLvl w:val="4"/>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1562" w:type="dxa"/>
                  <w:tcBorders>
                    <w:top w:val="single" w:sz="4" w:space="0" w:color="000000"/>
                    <w:bottom w:val="single" w:sz="4" w:space="0" w:color="000000"/>
                    <w:right w:val="single" w:sz="4" w:space="0" w:color="000000"/>
                  </w:tcBorders>
                </w:tcPr>
                <w:p>
                  <w:pPr>
                    <w:pStyle w:val="Normal"/>
                    <w:widowControl w:val="false"/>
                    <w:suppressAutoHyphens w:val="false"/>
                    <w:spacing w:before="0" w:after="0"/>
                    <w:ind w:left="145" w:right="320" w:hanging="0"/>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5</w:t>
                  </w:r>
                </w:p>
              </w:tc>
              <w:tc>
                <w:tcPr>
                  <w:tcW w:w="4676" w:type="dxa"/>
                  <w:tcBorders>
                    <w:top w:val="single" w:sz="4" w:space="0" w:color="000000"/>
                    <w:left w:val="single" w:sz="4" w:space="0" w:color="000000"/>
                    <w:bottom w:val="single" w:sz="4" w:space="0" w:color="000000"/>
                  </w:tcBorders>
                </w:tcPr>
                <w:p>
                  <w:pPr>
                    <w:pStyle w:val="Normal"/>
                    <w:widowControl w:val="false"/>
                    <w:numPr>
                      <w:ilvl w:val="0"/>
                      <w:numId w:val="0"/>
                    </w:numPr>
                    <w:suppressAutoHyphens w:val="false"/>
                    <w:spacing w:before="0" w:after="0"/>
                    <w:ind w:left="145" w:right="-114" w:hanging="0"/>
                    <w:jc w:val="both"/>
                    <w:outlineLvl w:val="4"/>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более 0,90 балла – Удовлетворительное финансовое состояние.</w:t>
                  </w:r>
                </w:p>
              </w:tc>
            </w:tr>
          </w:tbl>
          <w:p>
            <w:pPr>
              <w:pStyle w:val="Normal"/>
              <w:widowControl w:val="false"/>
              <w:suppressAutoHyphens w:val="false"/>
              <w:spacing w:before="0" w:after="0"/>
              <w:ind w:left="145" w:right="320" w:hanging="0"/>
              <w:jc w:val="both"/>
              <w:rPr>
                <w:rFonts w:eastAsia="Calibri" w:cs="Times New Roman"/>
                <w:sz w:val="20"/>
                <w:szCs w:val="20"/>
                <w:lang w:eastAsia="ru-RU"/>
              </w:rPr>
            </w:pPr>
            <w:r>
              <w:rPr>
                <w:rFonts w:eastAsia="Calibri" w:cs="Times New Roman"/>
                <w:sz w:val="20"/>
                <w:szCs w:val="20"/>
                <w:lang w:eastAsia="ru-RU"/>
              </w:rPr>
              <w:t>где:</w:t>
            </w:r>
          </w:p>
          <w:p>
            <w:pPr>
              <w:pStyle w:val="Normal"/>
              <w:widowControl w:val="false"/>
              <w:tabs>
                <w:tab w:val="clear" w:pos="708"/>
                <w:tab w:val="left" w:pos="742" w:leader="none"/>
                <w:tab w:val="left" w:pos="1167" w:leader="none"/>
              </w:tabs>
              <w:suppressAutoHyphens w:val="false"/>
              <w:spacing w:before="0" w:after="0"/>
              <w:ind w:left="145" w:right="320" w:hanging="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ab/>
              <w:t>–</w:t>
              <w:tab/>
              <w:t>рассчитанная оценка предпочтительности по данному частному критерию оценки в баллах.</w:t>
            </w:r>
          </w:p>
          <w:p>
            <w:pPr>
              <w:pStyle w:val="Normal"/>
              <w:widowControl w:val="false"/>
              <w:numPr>
                <w:ilvl w:val="0"/>
                <w:numId w:val="0"/>
              </w:numPr>
              <w:suppressAutoHyphens w:val="false"/>
              <w:spacing w:before="0" w:after="0"/>
              <w:ind w:left="145" w:right="320" w:hanging="0"/>
              <w:jc w:val="both"/>
              <w:outlineLvl w:val="2"/>
              <w:rPr>
                <w:rFonts w:eastAsia="Calibri" w:cs="Times New Roman"/>
                <w:sz w:val="20"/>
                <w:szCs w:val="20"/>
                <w:lang w:eastAsia="ru-RU"/>
              </w:rPr>
            </w:pPr>
            <w:bookmarkStart w:id="376" w:name="_Toc151555394"/>
            <w:r>
              <w:rPr>
                <w:rFonts w:eastAsia="Calibri" w:cs="Times New Roman"/>
                <w:sz w:val="20"/>
                <w:szCs w:val="20"/>
                <w:lang w:eastAsia="ru-RU"/>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6"/>
          </w:p>
          <w:p>
            <w:pPr>
              <w:pStyle w:val="Normal"/>
              <w:widowControl w:val="false"/>
              <w:suppressAutoHyphens w:val="false"/>
              <w:spacing w:before="0" w:after="0"/>
              <w:ind w:left="145" w:right="320" w:hanging="0"/>
              <w:jc w:val="both"/>
              <w:rPr>
                <w:rFonts w:eastAsia="Calibri" w:cs="Times New Roman"/>
                <w:sz w:val="20"/>
                <w:szCs w:val="20"/>
                <w:lang w:eastAsia="ru-RU"/>
              </w:rPr>
            </w:pPr>
            <w:r>
              <w:rPr>
                <w:rFonts w:eastAsia="Calibri" w:cs="Times New Roman"/>
                <w:sz w:val="20"/>
                <w:szCs w:val="20"/>
                <w:lang w:eastAsia="ru-RU"/>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11).</w:t>
            </w:r>
          </w:p>
          <w:p>
            <w:pPr>
              <w:pStyle w:val="Normal"/>
              <w:widowControl w:val="false"/>
              <w:suppressAutoHyphens w:val="false"/>
              <w:snapToGrid w:val="false"/>
              <w:spacing w:before="0" w:after="0"/>
              <w:ind w:left="145" w:hanging="0"/>
              <w:jc w:val="both"/>
              <w:rPr>
                <w:rFonts w:eastAsia="Times New Roman" w:cs="Times New Roman"/>
                <w:sz w:val="20"/>
                <w:szCs w:val="20"/>
                <w:lang w:eastAsia="ru-RU"/>
              </w:rPr>
            </w:pPr>
            <w:r>
              <w:rPr>
                <w:rFonts w:eastAsia="Times New Roman" w:cs="Times New Roman"/>
                <w:sz w:val="20"/>
                <w:szCs w:val="20"/>
                <w:lang w:eastAsia="ru-RU"/>
              </w:rPr>
              <w:t>Шкала оценок от 0 до 5 баллов.</w:t>
            </w:r>
          </w:p>
        </w:tc>
      </w:tr>
      <w:tr>
        <w:trPr/>
        <w:tc>
          <w:tcPr>
            <w:tcW w:w="467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42" w:leader="none"/>
                <w:tab w:val="left" w:pos="1167" w:leader="none"/>
              </w:tabs>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Итоговая оценка предпочтительности заявки:</w:t>
            </w:r>
          </w:p>
        </w:tc>
        <w:tc>
          <w:tcPr>
            <w:tcW w:w="1019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Расчет итоговой оценки предпочтительности i-ой заявки:</w:t>
            </w:r>
          </w:p>
          <w:p>
            <w:pPr>
              <w:pStyle w:val="Normal"/>
              <w:keepNext w:val="true"/>
              <w:widowControl w:val="false"/>
              <w:suppressAutoHyphens w:val="false"/>
              <w:snapToGrid w:val="false"/>
              <w:spacing w:before="0" w:after="0"/>
              <w:jc w:val="center"/>
              <w:rPr>
                <w:rFonts w:eastAsia="Times New Roman" w:cs="Times New Roman"/>
                <w:sz w:val="20"/>
                <w:szCs w:val="20"/>
                <w:lang w:eastAsia="ru-RU"/>
              </w:rPr>
            </w:pPr>
            <w:r>
              <w:rPr>
                <w:rFonts w:eastAsia="Times New Roman" w:cs="Times New Roman"/>
                <w:sz w:val="20"/>
                <w:szCs w:val="20"/>
                <w:lang w:eastAsia="ru-RU"/>
              </w:rPr>
            </w:r>
          </w:p>
          <w:p>
            <w:pPr>
              <w:pStyle w:val="Normal"/>
              <w:keepNext w:val="true"/>
              <w:widowControl w:val="false"/>
              <w:suppressAutoHyphens w:val="false"/>
              <w:snapToGrid w:val="false"/>
              <w:spacing w:before="0" w:after="0"/>
              <w:jc w:val="center"/>
              <w:rPr>
                <w:rFonts w:eastAsia="Times New Roman" w:cs="Times New Roman"/>
                <w:sz w:val="20"/>
                <w:szCs w:val="20"/>
                <w:lang w:eastAsia="ru-RU"/>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где:</w:t>
            </w:r>
          </w:p>
          <w:p>
            <w:pPr>
              <w:pStyle w:val="Normal"/>
              <w:widowControl w:val="false"/>
              <w:tabs>
                <w:tab w:val="clear" w:pos="708"/>
                <w:tab w:val="left" w:pos="742" w:leader="none"/>
                <w:tab w:val="left" w:pos="1167" w:leader="none"/>
              </w:tabs>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БИТОГ</w:t>
              <w:tab/>
              <w:t>–</w:t>
              <w:tab/>
              <w:t>рассчитанная итоговая оценка предпочтительности в баллах;</w:t>
            </w:r>
          </w:p>
          <w:p>
            <w:pPr>
              <w:pStyle w:val="Normal"/>
              <w:widowControl w:val="false"/>
              <w:tabs>
                <w:tab w:val="clear" w:pos="708"/>
                <w:tab w:val="left" w:pos="742" w:leader="none"/>
                <w:tab w:val="left" w:pos="1167" w:leader="none"/>
              </w:tabs>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Б1 уровень k</w:t>
              <w:tab/>
              <w:t>–</w:t>
              <w:tab/>
              <w:t>оценка предпочтительности по k-тому критерию оценки первого уровня в баллах;</w:t>
            </w:r>
          </w:p>
          <w:p>
            <w:pPr>
              <w:pStyle w:val="Normal"/>
              <w:widowControl w:val="false"/>
              <w:tabs>
                <w:tab w:val="clear" w:pos="708"/>
                <w:tab w:val="left" w:pos="742" w:leader="none"/>
                <w:tab w:val="left" w:pos="1167" w:leader="none"/>
              </w:tabs>
              <w:suppressAutoHyphens w:val="false"/>
              <w:snapToGrid w:val="false"/>
              <w:spacing w:before="0" w:after="0"/>
              <w:rPr>
                <w:rFonts w:eastAsia="Times New Roman" w:cs="Times New Roman"/>
                <w:sz w:val="20"/>
                <w:szCs w:val="20"/>
                <w:lang w:eastAsia="ru-RU"/>
              </w:rPr>
            </w:pPr>
            <w:r>
              <w:rPr>
                <w:rFonts w:eastAsia="Times New Roman" w:cs="Times New Roman"/>
                <w:sz w:val="20"/>
                <w:szCs w:val="20"/>
                <w:lang w:eastAsia="ru-RU"/>
              </w:rPr>
              <w:t>В1 уровень k</w:t>
              <w:tab/>
              <w:t>–</w:t>
              <w:tab/>
              <w:t>значимость k-ого критерия оценки первого уровня, выраженная в диапазоне от 1% до 100% (или от 0,01 до 1,00) – вес k-ого критерия оценки первого уровня.</w:t>
            </w:r>
          </w:p>
          <w:p>
            <w:pPr>
              <w:pStyle w:val="Normal"/>
              <w:widowControl w:val="false"/>
              <w:tabs>
                <w:tab w:val="clear" w:pos="708"/>
                <w:tab w:val="left" w:pos="742" w:leader="none"/>
                <w:tab w:val="left" w:pos="1167" w:leader="none"/>
              </w:tabs>
              <w:suppressAutoHyphens w:val="false"/>
              <w:snapToGrid w:val="false"/>
              <w:spacing w:before="0" w:after="0"/>
              <w:jc w:val="both"/>
              <w:rPr>
                <w:rFonts w:eastAsia="Times New Roman" w:cs="Times New Roman"/>
                <w:sz w:val="20"/>
                <w:szCs w:val="20"/>
                <w:lang w:eastAsia="ru-RU"/>
              </w:rPr>
            </w:pPr>
            <w:r>
              <w:rPr>
                <w:rFonts w:eastAsia="Times New Roman" w:cs="Times New Roman"/>
                <w:sz w:val="20"/>
                <w:szCs w:val="20"/>
                <w:lang w:eastAsia="ru-RU"/>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6"/>
        <w:numPr>
          <w:ilvl w:val="0"/>
          <w:numId w:val="0"/>
        </w:numPr>
        <w:spacing w:before="0" w:after="0"/>
        <w:ind w:left="0" w:hanging="0"/>
        <w:rPr/>
      </w:pPr>
      <w:r>
        <w:rPr/>
      </w:r>
    </w:p>
    <w:p>
      <w:pPr>
        <w:pStyle w:val="Style26"/>
        <w:spacing w:before="0" w:after="0"/>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sectPr>
          <w:headerReference w:type="default" r:id="rId33"/>
          <w:headerReference w:type="first" r:id="rId34"/>
          <w:footerReference w:type="default" r:id="rId35"/>
          <w:footerReference w:type="first" r:id="rId36"/>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rPr/>
      </w:pPr>
      <w:r>
        <w:rPr/>
        <w:t>В установленных случаях оценка и сопоставление заявок производится с учетом применения приоритета в порядке,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4"/>
        <w:rPr/>
      </w:pPr>
      <w:bookmarkStart w:id="377" w:name="_Toc186224336"/>
      <w:bookmarkStart w:id="378" w:name="Прил09_ОбоснованиеНМЦ"/>
      <w:bookmarkStart w:id="379" w:name="_Ref125360420"/>
      <w:bookmarkStart w:id="380" w:name="_Toc136261769"/>
      <w:bookmarkStart w:id="381" w:name="_Toc136261692"/>
      <w:bookmarkStart w:id="382" w:name="_Toc136249263"/>
      <w:bookmarkStart w:id="383" w:name="_Toc136261768"/>
      <w:bookmarkStart w:id="384" w:name="_Toc136261691"/>
      <w:bookmarkStart w:id="385" w:name="_Toc136249262"/>
      <w:bookmarkStart w:id="386" w:name="_Toc136261767"/>
      <w:bookmarkStart w:id="387" w:name="_Toc136261690"/>
      <w:bookmarkStart w:id="388" w:name="_Toc136249261"/>
      <w:bookmarkStart w:id="389" w:name="_Toc136261766"/>
      <w:bookmarkStart w:id="390" w:name="_Toc136261689"/>
      <w:bookmarkStart w:id="391" w:name="_Toc136249260"/>
      <w:bookmarkEnd w:id="380"/>
      <w:bookmarkEnd w:id="381"/>
      <w:bookmarkEnd w:id="382"/>
      <w:bookmarkEnd w:id="383"/>
      <w:bookmarkEnd w:id="384"/>
      <w:bookmarkEnd w:id="385"/>
      <w:bookmarkEnd w:id="386"/>
      <w:bookmarkEnd w:id="387"/>
      <w:bookmarkEnd w:id="388"/>
      <w:bookmarkEnd w:id="389"/>
      <w:bookmarkEnd w:id="390"/>
      <w:bookmarkEnd w:id="391"/>
      <w:r>
        <w:rPr/>
        <w:t>Приложение № 9 – Обоснование НМЦ</w:t>
      </w:r>
      <w:bookmarkEnd w:id="377"/>
      <w:bookmarkEnd w:id="378"/>
      <w:bookmarkEnd w:id="379"/>
    </w:p>
    <w:p>
      <w:pPr>
        <w:pStyle w:val="Style25"/>
        <w:rPr/>
      </w:pPr>
      <w:bookmarkStart w:id="392" w:name="_Toc186224337"/>
      <w:r>
        <w:rPr/>
        <w:t>Пояснения к Обоснованию НМЦ</w:t>
      </w:r>
      <w:bookmarkEnd w:id="392"/>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393" w:name="_Toc186224338"/>
      <w:bookmarkStart w:id="394" w:name="Прил10_ЗаявкаНаАккредитацию"/>
      <w:bookmarkEnd w:id="394"/>
      <w:r>
        <w:rPr/>
        <w:t>Приложение № 10 – Форма Заявки на аккредитацию</w:t>
      </w:r>
      <w:bookmarkEnd w:id="393"/>
    </w:p>
    <w:p>
      <w:pPr>
        <w:pStyle w:val="Style25"/>
        <w:rPr/>
      </w:pPr>
      <w:bookmarkStart w:id="395" w:name="_Toc186224339"/>
      <w:r>
        <w:rPr/>
        <w:t>Пояснения к форме Заявки на аккредитацию</w:t>
      </w:r>
      <w:bookmarkEnd w:id="395"/>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mc:AlternateContent>
          <mc:Choice Requires="wps">
            <w:drawing>
              <wp:anchor behindDoc="0" distT="0" distB="0" distL="635" distR="0" simplePos="0" locked="0" layoutInCell="0" allowOverlap="1" relativeHeight="7">
                <wp:simplePos x="0" y="0"/>
                <wp:positionH relativeFrom="column">
                  <wp:posOffset>635</wp:posOffset>
                </wp:positionH>
                <wp:positionV relativeFrom="paragraph">
                  <wp:posOffset>635</wp:posOffset>
                </wp:positionV>
                <wp:extent cx="635000" cy="635000"/>
                <wp:effectExtent l="635" t="0" r="0" b="0"/>
                <wp:wrapNone/>
                <wp:docPr id="11" name="_x0000_tole_rId38"/>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8"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0">
                <wp:simplePos x="0" y="0"/>
                <wp:positionH relativeFrom="column">
                  <wp:posOffset>635</wp:posOffset>
                </wp:positionH>
                <wp:positionV relativeFrom="paragraph">
                  <wp:posOffset>635</wp:posOffset>
                </wp:positionV>
                <wp:extent cx="635000" cy="635000"/>
                <wp:effectExtent l="635" t="0" r="0" b="0"/>
                <wp:wrapNone/>
                <wp:docPr id="12"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3">
                <wp:simplePos x="0" y="0"/>
                <wp:positionH relativeFrom="column">
                  <wp:posOffset>635</wp:posOffset>
                </wp:positionH>
                <wp:positionV relativeFrom="paragraph">
                  <wp:posOffset>635</wp:posOffset>
                </wp:positionV>
                <wp:extent cx="635000" cy="635000"/>
                <wp:effectExtent l="635" t="0" r="0" b="0"/>
                <wp:wrapNone/>
                <wp:docPr id="13"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78.35pt;height:50.1pt;mso-wrap-distance-right:0pt" filled="f" o:ole="">
            <v:imagedata r:id="rId38" o:title=""/>
          </v:shape>
          <o:OLEObject Type="Embed" ProgID="Excel.Sheet.12" ShapeID="ole_rId37" DrawAspect="Icon" ObjectID="_982596837" r:id="rId37"/>
        </w:object>
      </w:r>
    </w:p>
    <w:sectPr>
      <w:headerReference w:type="default" r:id="rId39"/>
      <w:headerReference w:type="first" r:id="rId40"/>
      <w:footerReference w:type="default" r:id="rId41"/>
      <w:footerReference w:type="first" r:id="rId4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06398539"/>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17438709"/>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88110201"/>
    </w:sdtPr>
    <w:sdtContent>
      <w:p>
        <w:pPr>
          <w:pStyle w:val="Footer"/>
          <w:spacing w:before="120" w:after="0"/>
          <w:rPr/>
        </w:pPr>
        <w:r>
          <w:rPr/>
          <w:fldChar w:fldCharType="begin"/>
        </w:r>
        <w:r>
          <w:rPr/>
          <w:instrText xml:space="preserve"> PAGE </w:instrText>
        </w:r>
        <w:r>
          <w:rPr/>
          <w:fldChar w:fldCharType="separate"/>
        </w:r>
        <w:r>
          <w:rPr/>
          <w:t>75</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2631423"/>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72412672"/>
    </w:sdtPr>
    <w:sdtContent>
      <w:p>
        <w:pPr>
          <w:pStyle w:val="Footer"/>
          <w:spacing w:before="120" w:after="0"/>
          <w:rPr/>
        </w:pPr>
        <w:r>
          <w:rPr/>
          <w:fldChar w:fldCharType="begin"/>
        </w:r>
        <w:r>
          <w:rPr/>
          <w:instrText xml:space="preserve"> PAGE </w:instrText>
        </w:r>
        <w:r>
          <w:rPr/>
          <w:fldChar w:fldCharType="separate"/>
        </w:r>
        <w:r>
          <w:rPr/>
          <w:t>6</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0067813"/>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56773832"/>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6467465"/>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2"/>
        <w:spacing w:before="80" w:after="0"/>
        <w:ind w:left="567" w:hanging="567"/>
        <w:jc w:val="both"/>
        <w:rPr/>
      </w:pPr>
      <w:r>
        <w:rPr>
          <w:rStyle w:val="Style13"/>
        </w:rPr>
        <w:footnoteRef/>
      </w:r>
      <w:r>
        <w:rPr/>
        <w:tab/>
        <w:t>https://minfin.gov.ru/ru/perfomance/tax_relations/policy/bankwarranty/</w:t>
      </w:r>
    </w:p>
  </w:footnote>
  <w:footnote w:id="12">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2"/>
        <w:spacing w:before="80" w:after="0"/>
        <w:ind w:left="567" w:hanging="567"/>
        <w:jc w:val="both"/>
        <w:rPr/>
      </w:pPr>
      <w:r>
        <w:rPr>
          <w:rStyle w:val="Style13"/>
        </w:rPr>
        <w:footnoteRef/>
      </w:r>
      <w:bookmarkStart w:id="396"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396"/>
    </w:p>
  </w:footnote>
  <w:footnote w:id="15">
    <w:p>
      <w:pPr>
        <w:pStyle w:val="Style32"/>
        <w:spacing w:before="80" w:after="0"/>
        <w:ind w:left="567" w:hanging="567"/>
        <w:jc w:val="both"/>
        <w:rPr/>
      </w:pPr>
      <w:r>
        <w:rPr>
          <w:rStyle w:val="Style13"/>
        </w:rPr>
        <w:footnoteRef/>
      </w:r>
      <w:bookmarkStart w:id="397" w:name="_Hlk139028804_Копия_1_Копия_1_Копия_1_Ко"/>
      <w:bookmarkStart w:id="398" w:name="_Hlk139028803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397"/>
      <w:bookmarkEnd w:id="398"/>
    </w:p>
  </w:footnote>
  <w:footnote w:id="16">
    <w:p>
      <w:pPr>
        <w:pStyle w:val="FootnoteText"/>
        <w:rPr/>
      </w:pPr>
      <w:r>
        <w:rPr>
          <w:rStyle w:val="Style13"/>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5">
    <w:lvl w:ilvl="0">
      <w:start w:val="1"/>
      <w:numFmt w:val="upperRoman"/>
      <w:lvlText w:val="Раздел %1"/>
      <w:lvlJc w:val="left"/>
      <w:pPr>
        <w:tabs>
          <w:tab w:val="num" w:pos="0"/>
        </w:tabs>
        <w:ind w:left="1701" w:hanging="1701"/>
      </w:pPr>
      <w:rPr/>
    </w:lvl>
    <w:lvl w:ilvl="1">
      <w:start w:val="1"/>
      <w:numFmt w:val="decimal"/>
      <w:lvlText w:val="Глава %2"/>
      <w:lvlJc w:val="left"/>
      <w:pPr>
        <w:tabs>
          <w:tab w:val="num" w:pos="0"/>
        </w:tabs>
        <w:ind w:left="1701" w:hanging="1701"/>
      </w:pPr>
      <w:rPr/>
    </w:lvl>
    <w:lvl w:ilvl="2">
      <w:start w:val="1"/>
      <w:numFmt w:val="decimal"/>
      <w:lvlText w:val="%2.%3"/>
      <w:lvlJc w:val="left"/>
      <w:pPr>
        <w:tabs>
          <w:tab w:val="num" w:pos="0"/>
        </w:tabs>
        <w:ind w:left="1701" w:hanging="1701"/>
      </w:pPr>
      <w:rPr/>
    </w:lvl>
    <w:lvl w:ilvl="3">
      <w:start w:val="1"/>
      <w:numFmt w:val="decimal"/>
      <w:lvlText w:val="%2.%3.%4"/>
      <w:lvlJc w:val="left"/>
      <w:pPr>
        <w:tabs>
          <w:tab w:val="num" w:pos="0"/>
        </w:tabs>
        <w:ind w:left="1701" w:hanging="1701"/>
      </w:pPr>
      <w:rPr/>
    </w:lvl>
    <w:lvl w:ilvl="4">
      <w:start w:val="1"/>
      <w:numFmt w:val="russianLower"/>
      <w:lvlText w:val="%5)"/>
      <w:lvlJc w:val="left"/>
      <w:pPr>
        <w:tabs>
          <w:tab w:val="num" w:pos="0"/>
        </w:tabs>
        <w:ind w:left="2268" w:hanging="567"/>
      </w:pPr>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lvl>
    <w:lvl w:ilvl="7">
      <w:start w:val="1"/>
      <w:numFmt w:val="none"/>
      <w:suff w:val="nothing"/>
      <w:lvlText w:val="%8"/>
      <w:lvlJc w:val="left"/>
      <w:pPr>
        <w:tabs>
          <w:tab w:val="num" w:pos="0"/>
        </w:tabs>
        <w:ind w:left="0" w:firstLine="1701"/>
      </w:pPr>
      <w:rPr/>
    </w:lvl>
    <w:lvl w:ilvl="8">
      <w:start w:val="1"/>
      <w:numFmt w:val="none"/>
      <w:suff w:val="nothing"/>
      <w:lvlText w:val="%9"/>
      <w:lvlJc w:val="left"/>
      <w:pPr>
        <w:tabs>
          <w:tab w:val="num" w:pos="0"/>
        </w:tabs>
        <w:ind w:left="0" w:firstLine="1701"/>
      </w:pPr>
      <w:rPr/>
    </w:lvl>
  </w:abstractNum>
  <w:abstractNum w:abstractNumId="16">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7">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rFonts w:cs="Times New Roman"/>
      </w:rPr>
    </w:lvl>
    <w:lvl w:ilvl="6">
      <w:start w:val="1"/>
      <w:numFmt w:val="none"/>
      <w:suff w:val="nothing"/>
      <w:lvlText w:val=""/>
      <w:lvlJc w:val="left"/>
      <w:pPr>
        <w:tabs>
          <w:tab w:val="num" w:pos="0"/>
        </w:tabs>
        <w:ind w:left="1701"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1134" w:hanging="0"/>
      </w:pPr>
      <w:rPr>
        <w:rFonts w:cs="Times New Roman"/>
      </w:rPr>
    </w:lvl>
  </w:abstractNum>
  <w:abstractNum w:abstractNumId="1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rFonts w:cs="Times New Roman"/>
      </w:rPr>
    </w:lvl>
    <w:lvl w:ilvl="6">
      <w:start w:val="1"/>
      <w:numFmt w:val="none"/>
      <w:suff w:val="nothing"/>
      <w:lvlText w:val=""/>
      <w:lvlJc w:val="left"/>
      <w:pPr>
        <w:tabs>
          <w:tab w:val="num" w:pos="0"/>
        </w:tabs>
        <w:ind w:left="1701"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1134" w:hanging="0"/>
      </w:pPr>
      <w:rPr>
        <w:rFonts w:cs="Times New Roman"/>
      </w:rPr>
    </w:lvl>
  </w:abstractNum>
  <w:abstractNum w:abstractNumId="19">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rFonts w:cs="Times New Roman"/>
      </w:rPr>
    </w:lvl>
    <w:lvl w:ilvl="6">
      <w:start w:val="1"/>
      <w:numFmt w:val="none"/>
      <w:suff w:val="nothing"/>
      <w:lvlText w:val=""/>
      <w:lvlJc w:val="left"/>
      <w:pPr>
        <w:tabs>
          <w:tab w:val="num" w:pos="0"/>
        </w:tabs>
        <w:ind w:left="1701"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1134" w:hanging="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17"/>
  </w:num>
  <w:num w:numId="22">
    <w:abstractNumId w:val="17"/>
  </w:num>
</w:numbering>
</file>

<file path=word/settings.xml><?xml version="1.0" encoding="utf-8"?>
<w:settings xmlns:w="http://schemas.openxmlformats.org/wordprocessingml/2006/main">
  <w:zoom w:percent="130"/>
  <w:revisionView w:insDel="0" w:formatting="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qFormat/>
    <w:rsid w:val="006608d1"/>
    <w:rPr>
      <w:sz w:val="20"/>
      <w:szCs w:val="20"/>
    </w:rPr>
  </w:style>
  <w:style w:type="character" w:styleId="Style13" w:customStyle="1">
    <w:name w:val="Символ сноски"/>
    <w:qFormat/>
    <w:rsid w:val="006405ec"/>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Абзац списка Знак"/>
    <w:link w:val="ListParagraph"/>
    <w:uiPriority w:val="34"/>
    <w:qFormat/>
    <w:rsid w:val="00c47216"/>
    <w:rPr/>
  </w:style>
  <w:style w:type="character" w:styleId="2" w:customStyle="1">
    <w:name w:val="УРОВЕНЬ_Абзац_тип2 Знак"/>
    <w:basedOn w:val="DefaultParagraphFont"/>
    <w:link w:val="21"/>
    <w:qFormat/>
    <w:rsid w:val="00862fa2"/>
    <w:rPr>
      <w:rFonts w:eastAsia="Calibri" w:cs="Times New Roman"/>
      <w:szCs w:val="28"/>
    </w:rPr>
  </w:style>
  <w:style w:type="character" w:styleId="3" w:customStyle="1">
    <w:name w:val="УРОВЕНЬ_Абзац_тип3 Знак"/>
    <w:basedOn w:val="DefaultParagraphFont"/>
    <w:link w:val="31"/>
    <w:qFormat/>
    <w:rsid w:val="00862fa2"/>
    <w:rPr>
      <w:rFonts w:eastAsia="Calibri" w:cs="Times New Roman"/>
      <w:szCs w:val="28"/>
    </w:rPr>
  </w:style>
  <w:style w:type="character" w:styleId="-" w:customStyle="1">
    <w:name w:val="УРОВЕНЬ_- Знак"/>
    <w:link w:val="-1"/>
    <w:qFormat/>
    <w:locked/>
    <w:rsid w:val="0029648b"/>
    <w:rPr>
      <w:rFonts w:eastAsia="Calibri" w:cs="Times New Roman"/>
      <w:szCs w:val="28"/>
    </w:rPr>
  </w:style>
  <w:style w:type="character" w:styleId="Style20" w:customStyle="1">
    <w:name w:val="Ссылка указателя"/>
    <w:qFormat/>
    <w:rPr/>
  </w:style>
  <w:style w:type="character" w:styleId="Style21" w:customStyle="1">
    <w:name w:val="Символ концевой сноски"/>
    <w:qFormat/>
    <w:rPr>
      <w:vertAlign w:val="superscript"/>
    </w:rPr>
  </w:style>
  <w:style w:type="character" w:styleId="EndnoteReference">
    <w:name w:val="Endnote Reference"/>
    <w:rPr>
      <w:vertAlign w:val="superscript"/>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Caption111111" w:customStyle="1">
    <w:name w:val="caption111111"/>
    <w:basedOn w:val="Normal"/>
    <w:qFormat/>
    <w:pPr>
      <w:suppressLineNumbers/>
      <w:spacing w:before="120" w:after="120"/>
    </w:pPr>
    <w:rPr>
      <w:i/>
      <w:iCs/>
      <w:sz w:val="24"/>
      <w:szCs w:val="24"/>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link w:val="Style19"/>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Style34" w:customStyle="1">
    <w:name w:val="УРОВЕНЬ_(а)"/>
    <w:basedOn w:val="ListParagraph"/>
    <w:qFormat/>
    <w:rsid w:val="00862fa2"/>
    <w:pPr>
      <w:numPr>
        <w:ilvl w:val="3"/>
        <w:numId w:val="14"/>
      </w:numPr>
      <w:tabs>
        <w:tab w:val="clear" w:pos="708"/>
        <w:tab w:val="left" w:pos="360" w:leader="none"/>
      </w:tabs>
      <w:spacing w:lineRule="exact" w:line="360" w:before="120" w:after="0"/>
      <w:ind w:left="2880" w:hanging="360"/>
      <w:contextualSpacing w:val="false"/>
      <w:jc w:val="both"/>
      <w:outlineLvl w:val="3"/>
    </w:pPr>
    <w:rPr>
      <w:rFonts w:eastAsia="Calibri" w:cs="Times New Roman"/>
      <w:szCs w:val="28"/>
    </w:rPr>
  </w:style>
  <w:style w:type="paragraph" w:styleId="-1" w:customStyle="1">
    <w:name w:val="УРОВЕНЬ_-"/>
    <w:basedOn w:val="ListParagraph"/>
    <w:link w:val="-"/>
    <w:qFormat/>
    <w:rsid w:val="00862fa2"/>
    <w:pPr>
      <w:numPr>
        <w:ilvl w:val="4"/>
        <w:numId w:val="14"/>
      </w:numPr>
      <w:tabs>
        <w:tab w:val="clear" w:pos="708"/>
        <w:tab w:val="left" w:pos="360" w:leader="none"/>
      </w:tabs>
      <w:spacing w:lineRule="exact" w:line="360" w:before="120" w:after="0"/>
      <w:ind w:left="3600" w:hanging="360"/>
      <w:contextualSpacing w:val="false"/>
      <w:jc w:val="both"/>
      <w:outlineLvl w:val="4"/>
    </w:pPr>
    <w:rPr>
      <w:rFonts w:eastAsia="Calibri" w:cs="Times New Roman"/>
      <w:szCs w:val="28"/>
    </w:rPr>
  </w:style>
  <w:style w:type="paragraph" w:styleId="21" w:customStyle="1">
    <w:name w:val="УРОВЕНЬ_Абзац_тип2"/>
    <w:basedOn w:val="ListParagraph"/>
    <w:link w:val="2"/>
    <w:qFormat/>
    <w:rsid w:val="00862fa2"/>
    <w:pPr>
      <w:numPr>
        <w:ilvl w:val="6"/>
        <w:numId w:val="14"/>
      </w:numPr>
      <w:spacing w:lineRule="exact" w:line="360" w:before="120" w:after="0"/>
      <w:ind w:left="5040" w:hanging="360"/>
      <w:contextualSpacing w:val="false"/>
      <w:jc w:val="both"/>
    </w:pPr>
    <w:rPr>
      <w:rFonts w:eastAsia="Calibri" w:cs="Times New Roman"/>
      <w:szCs w:val="28"/>
    </w:rPr>
  </w:style>
  <w:style w:type="paragraph" w:styleId="31" w:customStyle="1">
    <w:name w:val="УРОВЕНЬ_Абзац_тип3"/>
    <w:basedOn w:val="ListParagraph"/>
    <w:link w:val="3"/>
    <w:qFormat/>
    <w:rsid w:val="00862fa2"/>
    <w:pPr>
      <w:numPr>
        <w:ilvl w:val="7"/>
        <w:numId w:val="14"/>
      </w:numPr>
      <w:spacing w:lineRule="exact" w:line="360" w:before="120" w:after="0"/>
      <w:ind w:left="5760" w:hanging="360"/>
      <w:contextualSpacing w:val="false"/>
      <w:jc w:val="both"/>
    </w:pPr>
    <w:rPr>
      <w:rFonts w:eastAsia="Calibri" w:cs="Times New Roman"/>
      <w:szCs w:val="28"/>
    </w:rPr>
  </w:style>
  <w:style w:type="paragraph" w:styleId="Style35" w:customStyle="1">
    <w:name w:val="УРОВЕНЬ_Подпись"/>
    <w:basedOn w:val="ListParagraph"/>
    <w:qFormat/>
    <w:rsid w:val="00862fa2"/>
    <w:pPr>
      <w:keepNext w:val="true"/>
      <w:numPr>
        <w:ilvl w:val="5"/>
        <w:numId w:val="14"/>
      </w:numPr>
      <w:tabs>
        <w:tab w:val="clear" w:pos="708"/>
        <w:tab w:val="left" w:pos="360" w:leader="none"/>
      </w:tabs>
      <w:spacing w:lineRule="exact" w:line="360" w:before="120" w:after="120"/>
      <w:ind w:left="4320" w:hanging="360"/>
      <w:contextualSpacing w:val="false"/>
      <w:jc w:val="right"/>
      <w:outlineLvl w:val="3"/>
    </w:pPr>
    <w:rPr>
      <w:rFonts w:eastAsia="Calibri" w:cs="Times New Roman"/>
      <w:szCs w:val="28"/>
    </w:rPr>
  </w:style>
  <w:style w:type="paragraph" w:styleId="Style36" w:customStyle="1">
    <w:name w:val="[РусГидро] Раздел"/>
    <w:basedOn w:val="ListParagraph"/>
    <w:next w:val="Style37"/>
    <w:qFormat/>
    <w:rsid w:val="0029648b"/>
    <w:pPr>
      <w:keepNext w:val="true"/>
      <w:keepLines/>
      <w:pageBreakBefore/>
      <w:numPr>
        <w:ilvl w:val="0"/>
        <w:numId w:val="15"/>
      </w:numPr>
      <w:tabs>
        <w:tab w:val="clear" w:pos="708"/>
        <w:tab w:val="left" w:pos="360" w:leader="none"/>
      </w:tabs>
      <w:spacing w:before="0" w:after="0"/>
      <w:ind w:left="720" w:hanging="0"/>
      <w:contextualSpacing w:val="false"/>
      <w:jc w:val="both"/>
      <w:outlineLvl w:val="0"/>
    </w:pPr>
    <w:rPr>
      <w:rFonts w:cs="Times New Roman"/>
      <w:b/>
      <w:bCs/>
      <w:caps/>
      <w:szCs w:val="26"/>
    </w:rPr>
  </w:style>
  <w:style w:type="paragraph" w:styleId="Style37" w:customStyle="1">
    <w:name w:val="[РусГидро] Глава"/>
    <w:basedOn w:val="ListParagraph"/>
    <w:next w:val="Style38"/>
    <w:qFormat/>
    <w:rsid w:val="0029648b"/>
    <w:pPr>
      <w:keepNext w:val="true"/>
      <w:keepLines/>
      <w:numPr>
        <w:ilvl w:val="1"/>
        <w:numId w:val="15"/>
      </w:numPr>
      <w:tabs>
        <w:tab w:val="clear" w:pos="708"/>
        <w:tab w:val="left" w:pos="360" w:leader="none"/>
      </w:tabs>
      <w:spacing w:before="360" w:after="240"/>
      <w:ind w:left="720" w:hanging="0"/>
      <w:contextualSpacing w:val="false"/>
      <w:jc w:val="both"/>
      <w:outlineLvl w:val="1"/>
    </w:pPr>
    <w:rPr>
      <w:rFonts w:cs="Times New Roman"/>
      <w:b/>
      <w:bCs/>
      <w:caps/>
      <w:szCs w:val="26"/>
    </w:rPr>
  </w:style>
  <w:style w:type="paragraph" w:styleId="Style38" w:customStyle="1">
    <w:name w:val="[РусГидро] Пункт"/>
    <w:basedOn w:val="ListParagraph"/>
    <w:qFormat/>
    <w:rsid w:val="0029648b"/>
    <w:pPr>
      <w:numPr>
        <w:ilvl w:val="2"/>
        <w:numId w:val="15"/>
      </w:numPr>
      <w:tabs>
        <w:tab w:val="clear" w:pos="708"/>
        <w:tab w:val="left" w:pos="360" w:leader="none"/>
      </w:tabs>
      <w:spacing w:before="120" w:after="0"/>
      <w:ind w:left="720" w:hanging="0"/>
      <w:contextualSpacing w:val="false"/>
      <w:jc w:val="both"/>
      <w:outlineLvl w:val="2"/>
    </w:pPr>
    <w:rPr>
      <w:rFonts w:cs="Times New Roman"/>
      <w:szCs w:val="26"/>
    </w:rPr>
  </w:style>
  <w:style w:type="paragraph" w:styleId="Style39" w:customStyle="1">
    <w:name w:val="[РусГидро] Подпункт"/>
    <w:basedOn w:val="ListParagraph"/>
    <w:qFormat/>
    <w:rsid w:val="0029648b"/>
    <w:pPr>
      <w:numPr>
        <w:ilvl w:val="3"/>
        <w:numId w:val="15"/>
      </w:numPr>
      <w:tabs>
        <w:tab w:val="clear" w:pos="708"/>
        <w:tab w:val="left" w:pos="360" w:leader="none"/>
      </w:tabs>
      <w:spacing w:before="120" w:after="0"/>
      <w:ind w:left="720" w:hanging="0"/>
      <w:contextualSpacing w:val="false"/>
      <w:jc w:val="both"/>
      <w:outlineLvl w:val="3"/>
    </w:pPr>
    <w:rPr>
      <w:rFonts w:cs="Times New Roman"/>
      <w:szCs w:val="26"/>
    </w:rPr>
  </w:style>
  <w:style w:type="paragraph" w:styleId="Style40" w:customStyle="1">
    <w:name w:val="[РусГидро] Перечисление"/>
    <w:basedOn w:val="ListParagraph"/>
    <w:qFormat/>
    <w:rsid w:val="0029648b"/>
    <w:pPr>
      <w:numPr>
        <w:ilvl w:val="4"/>
        <w:numId w:val="15"/>
      </w:numPr>
      <w:tabs>
        <w:tab w:val="clear" w:pos="708"/>
        <w:tab w:val="left" w:pos="360" w:leader="none"/>
      </w:tabs>
      <w:spacing w:before="120" w:after="0"/>
      <w:ind w:left="720" w:hanging="0"/>
      <w:contextualSpacing w:val="false"/>
      <w:jc w:val="both"/>
      <w:outlineLvl w:val="4"/>
    </w:pPr>
    <w:rPr>
      <w:rFonts w:cs="Times New Roman"/>
      <w:szCs w:val="26"/>
    </w:rPr>
  </w:style>
  <w:style w:type="paragraph" w:styleId="Style41" w:customStyle="1">
    <w:name w:val="[РусГидро] Буллиты"/>
    <w:basedOn w:val="ListParagraph"/>
    <w:qFormat/>
    <w:rsid w:val="0029648b"/>
    <w:pPr>
      <w:numPr>
        <w:ilvl w:val="5"/>
        <w:numId w:val="15"/>
      </w:numPr>
      <w:tabs>
        <w:tab w:val="clear" w:pos="708"/>
        <w:tab w:val="left" w:pos="360" w:leader="none"/>
      </w:tabs>
      <w:spacing w:before="120" w:after="0"/>
      <w:ind w:left="720" w:hanging="0"/>
      <w:contextualSpacing w:val="false"/>
      <w:jc w:val="both"/>
      <w:outlineLvl w:val="5"/>
    </w:pPr>
    <w:rPr>
      <w:rFonts w:cs="Times New Roman"/>
      <w:szCs w:val="26"/>
    </w:rPr>
  </w:style>
  <w:style w:type="paragraph" w:styleId="Style42" w:customStyle="1">
    <w:name w:val="[РусГидро] Текст"/>
    <w:basedOn w:val="ListParagraph"/>
    <w:qFormat/>
    <w:rsid w:val="0029648b"/>
    <w:pPr>
      <w:numPr>
        <w:ilvl w:val="6"/>
        <w:numId w:val="15"/>
      </w:numPr>
      <w:tabs>
        <w:tab w:val="clear" w:pos="708"/>
        <w:tab w:val="left" w:pos="360" w:leader="none"/>
        <w:tab w:val="left" w:pos="1701" w:leader="none"/>
      </w:tabs>
      <w:spacing w:before="120" w:after="0"/>
      <w:ind w:left="720" w:hanging="0"/>
      <w:contextualSpacing w:val="false"/>
      <w:jc w:val="both"/>
      <w:outlineLvl w:val="6"/>
    </w:pPr>
    <w:rPr>
      <w:rFonts w:cs="Times New Roman"/>
      <w:szCs w:val="26"/>
    </w:rPr>
  </w:style>
  <w:style w:type="paragraph" w:styleId="Style43" w:customStyle="1">
    <w:name w:val="Содержимое таблицы"/>
    <w:basedOn w:val="Normal"/>
    <w:qFormat/>
    <w:pPr>
      <w:widowControl w:val="false"/>
      <w:suppressLineNumbers/>
    </w:pPr>
    <w:rPr/>
  </w:style>
  <w:style w:type="paragraph" w:styleId="Style44" w:customStyle="1">
    <w:name w:val="Заголовок таблицы"/>
    <w:basedOn w:val="Style43"/>
    <w:qFormat/>
    <w:pPr>
      <w:jc w:val="center"/>
    </w:pPr>
    <w:rPr>
      <w:b/>
      <w:bCs/>
    </w:rPr>
  </w:style>
  <w:style w:type="numbering" w:styleId="NoList" w:default="1">
    <w:name w:val="No List"/>
    <w:uiPriority w:val="99"/>
    <w:semiHidden/>
    <w:unhideWhenUsed/>
    <w:qFormat/>
  </w:style>
  <w:style w:type="table" w:default="1" w:styleId="af">
    <w:name w:val="Normal Table"/>
    <w:uiPriority w:val="99"/>
    <w:semiHidden/>
    <w:unhideWhenUsed/>
    <w:tblPr>
      <w:tblCellMar>
        <w:top w:w="0" w:type="dxa"/>
        <w:left w:w="108" w:type="dxa"/>
        <w:bottom w:w="0" w:type="dxa"/>
        <w:right w:w="108" w:type="dxa"/>
      </w:tblCellMar>
    </w:tblPr>
  </w:style>
  <w:style w:type="table" w:customStyle="1" w:styleId="afff8">
    <w:name w:val="[РГ] Таблица"/>
    <w:basedOn w:val="af"/>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9">
    <w:name w:val="Table Grid"/>
    <w:basedOn w:val="af"/>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РГ] Таблица1"/>
    <w:basedOn w:val="af"/>
    <w:uiPriority w:val="99"/>
    <w:rsid w:val="006405ec"/>
    <w:pPr>
      <w:spacing w:before="60" w:after="60"/>
    </w:p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57" w:type="dxa"/>
        <w:right w:w="57" w:type="dxa"/>
      </w:tblCellMar>
    </w:tblPr>
    <w:tblStylePr w:type="firstRow">
      <w:pPr>
        <w:wordWrap/>
        <w:jc w:val="center"/>
      </w:pPr>
      <w:rPr>
        <w:b/>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package" Target="embeddings/oleObject1.docx"/><Relationship Id="rId11" Type="http://schemas.openxmlformats.org/officeDocument/2006/relationships/image" Target="media/image1.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package" Target="embeddings/oleObject2.docx"/><Relationship Id="rId21" Type="http://schemas.openxmlformats.org/officeDocument/2006/relationships/image" Target="media/image2.wmf"/><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image" Target="media/image3.png"/><Relationship Id="rId31" Type="http://schemas.openxmlformats.org/officeDocument/2006/relationships/image" Target="media/image4.png"/><Relationship Id="rId32" Type="http://schemas.openxmlformats.org/officeDocument/2006/relationships/hyperlink" Target="https://bo.nalog.ru/" TargetMode="External"/><Relationship Id="rId33" Type="http://schemas.openxmlformats.org/officeDocument/2006/relationships/header" Target="header12.xml"/><Relationship Id="rId34" Type="http://schemas.openxmlformats.org/officeDocument/2006/relationships/header" Target="header13.xml"/><Relationship Id="rId35" Type="http://schemas.openxmlformats.org/officeDocument/2006/relationships/footer" Target="footer14.xml"/><Relationship Id="rId36" Type="http://schemas.openxmlformats.org/officeDocument/2006/relationships/footer" Target="footer15.xml"/><Relationship Id="rId37" Type="http://schemas.openxmlformats.org/officeDocument/2006/relationships/package" Target="embeddings/oleObject3.xlsx"/><Relationship Id="rId38" Type="http://schemas.openxmlformats.org/officeDocument/2006/relationships/image" Target="media/image5.wmf"/><Relationship Id="rId39" Type="http://schemas.openxmlformats.org/officeDocument/2006/relationships/header" Target="header14.xml"/><Relationship Id="rId40" Type="http://schemas.openxmlformats.org/officeDocument/2006/relationships/header" Target="header15.xml"/><Relationship Id="rId41" Type="http://schemas.openxmlformats.org/officeDocument/2006/relationships/footer" Target="footer16.xml"/><Relationship Id="rId42" Type="http://schemas.openxmlformats.org/officeDocument/2006/relationships/footer" Target="footer17.xml"/><Relationship Id="rId43" Type="http://schemas.openxmlformats.org/officeDocument/2006/relationships/footnotes" Target="footnotes.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Relationship Id="rId4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6B049-2DB6-46C0-8FF1-A4837F17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Application>AlterOffice/3.4.0.9$Linux_X86_64 LibreOffice_project/b8daf9e823b1a5463a2f48435ddc2e8696e7d4fc</Application>
  <AppVersion>15.0000</AppVersion>
  <Pages>77</Pages>
  <Words>18826</Words>
  <Characters>131307</Characters>
  <CharactersWithSpaces>148523</CharactersWithSpaces>
  <Paragraphs>1105</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maksimovag@corp.gidroogk.com</cp:lastModifiedBy>
  <dcterms:modified xsi:type="dcterms:W3CDTF">2026-05-12T09:52:22Z</dcterms:modified>
  <cp:revision>237</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