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0" w:after="0"/>
        <w:jc w:val="center"/>
        <w:rPr/>
      </w:pPr>
      <w:r>
        <w:rPr>
          <w:rFonts w:eastAsia="Calibri"/>
          <w:b w:val="false"/>
          <w:bCs w:val="false"/>
          <w:color w:val="auto"/>
          <w:sz w:val="24"/>
          <w:szCs w:val="24"/>
        </w:rPr>
        <w:t>О</w:t>
      </w:r>
      <w:r>
        <w:rPr>
          <w:b w:val="false"/>
          <w:bCs w:val="false"/>
          <w:color w:val="auto"/>
          <w:sz w:val="24"/>
          <w:szCs w:val="24"/>
        </w:rPr>
        <w:t xml:space="preserve">КПД2  </w:t>
      </w:r>
      <w:r>
        <w:rPr>
          <w:b w:val="false"/>
          <w:bCs w:val="false"/>
          <w:color w:val="auto"/>
          <w:sz w:val="24"/>
          <w:szCs w:val="24"/>
          <w:u w:val="none"/>
        </w:rPr>
        <w:t>26.20.40.120</w:t>
      </w:r>
      <w:r>
        <w:rPr>
          <w:b w:val="false"/>
          <w:bCs w:val="false"/>
          <w:color w:val="auto"/>
          <w:sz w:val="24"/>
          <w:szCs w:val="24"/>
        </w:rPr>
        <w:t xml:space="preserve"> «</w:t>
      </w:r>
      <w:r>
        <w:rPr>
          <w:b w:val="false"/>
          <w:bCs w:val="false"/>
          <w:sz w:val="24"/>
          <w:szCs w:val="24"/>
        </w:rPr>
        <w:t xml:space="preserve">Поставка картриджей для </w:t>
      </w:r>
      <w:r>
        <w:rPr>
          <w:b w:val="false"/>
          <w:bCs w:val="false"/>
          <w:color w:val="auto"/>
          <w:sz w:val="24"/>
          <w:szCs w:val="24"/>
        </w:rPr>
        <w:t>Филиала ПАО «РусГидро»-«Жигулевская ГЭС»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903_4071532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5_40715321">
            <w:r>
              <w:rPr>
                <w:rStyle w:val="Style14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7_40715321">
            <w:r>
              <w:rPr>
                <w:rStyle w:val="Style14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9_40715321">
            <w:r>
              <w:rPr>
                <w:rStyle w:val="Style14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1_40715321">
            <w:r>
              <w:rPr>
                <w:rStyle w:val="Style14"/>
                <w:sz w:val="24"/>
                <w:szCs w:val="24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3_40715321">
            <w:r>
              <w:rPr>
                <w:rStyle w:val="Style14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5_40715321">
            <w:r>
              <w:rPr>
                <w:rStyle w:val="Style14"/>
                <w:sz w:val="24"/>
                <w:szCs w:val="24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17_4071532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9_40715321">
            <w:r>
              <w:rPr>
                <w:rStyle w:val="Style14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1_40715321">
            <w:r>
              <w:rPr>
                <w:rStyle w:val="Style14"/>
                <w:b w:val="false"/>
                <w:szCs w:val="24"/>
              </w:rPr>
              <w:t>2.1.1. Перечень и объем закупаемой продукции</w:t>
              <w:tab/>
            </w:r>
          </w:hyperlink>
          <w:r>
            <w:rPr>
              <w:b w:val="false"/>
              <w:szCs w:val="24"/>
            </w:rPr>
            <w:t>4</w:t>
          </w:r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5_40715321">
            <w:r>
              <w:rPr>
                <w:rStyle w:val="Style14"/>
                <w:b w:val="false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29_40715321">
            <w:r>
              <w:rPr>
                <w:rStyle w:val="Style14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35_40715321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0</w:t>
          </w:r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37_40715321">
            <w:r>
              <w:rPr>
                <w:rStyle w:val="Style14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</w:t>
            </w:r>
          </w:hyperlink>
          <w:r>
            <w:rPr/>
            <w:t>1</w:t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903_40715321"/>
      <w:bookmarkStart w:id="1" w:name="_Toc75446566"/>
      <w:bookmarkStart w:id="2" w:name="_Toc51339692"/>
      <w:bookmarkEnd w:id="0"/>
      <w:bookmarkEnd w:id="1"/>
      <w:bookmarkEnd w:id="2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rPr/>
      </w:pPr>
      <w:bookmarkStart w:id="3" w:name="__RefHeading___Toc905_40715321"/>
      <w:bookmarkStart w:id="4" w:name="_Toc75446567"/>
      <w:bookmarkStart w:id="5" w:name="_Toc46743505"/>
      <w:bookmarkEnd w:id="3"/>
      <w:bookmarkEnd w:id="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 ПАО «РусГидро» - «Жигулевская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FFFFFF" w:val="clear"/>
              </w:rPr>
              <w:t>Материально-технические ресурсы, включая материалы и запчасти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6" w:name="__RefHeading___Toc907_40715321"/>
      <w:bookmarkStart w:id="7" w:name="_Toc46743506"/>
      <w:bookmarkStart w:id="8" w:name="_Toc75446568"/>
      <w:bookmarkEnd w:id="6"/>
      <w:bookmarkEnd w:id="7"/>
      <w:bookmarkEnd w:id="8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both"/>
        <w:rPr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 </w:t>
      </w:r>
      <w:r>
        <w:rPr>
          <w:b w:val="false"/>
          <w:bCs w:val="false"/>
          <w:color w:val="auto"/>
          <w:sz w:val="24"/>
          <w:szCs w:val="24"/>
          <w:u w:val="none"/>
        </w:rPr>
        <w:t>26.20.40.120</w:t>
      </w:r>
      <w:r>
        <w:rPr>
          <w:color w:val="auto"/>
          <w:sz w:val="24"/>
          <w:szCs w:val="24"/>
        </w:rPr>
        <w:t xml:space="preserve"> «</w:t>
      </w:r>
      <w:r>
        <w:rPr>
          <w:sz w:val="24"/>
          <w:szCs w:val="24"/>
        </w:rPr>
        <w:t xml:space="preserve">Поставка картриджей для </w:t>
      </w:r>
      <w:r>
        <w:rPr>
          <w:color w:val="auto"/>
          <w:sz w:val="24"/>
          <w:szCs w:val="24"/>
        </w:rPr>
        <w:t>Филиала ПАО «РусГидро»-«Жигулевская ГЭС»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909_40715321"/>
      <w:bookmarkStart w:id="10" w:name="_Toc75446569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 xml:space="preserve">использования закупаемой продукции </w:t>
      </w:r>
      <w:bookmarkEnd w:id="10"/>
      <w:r>
        <w:rPr/>
        <w:t xml:space="preserve"> 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240"/>
        <w:jc w:val="both"/>
        <w:rPr/>
      </w:pPr>
      <w:r>
        <w:rPr>
          <w:rStyle w:val="Style8"/>
          <w:bCs/>
          <w:i w:val="false"/>
          <w:sz w:val="24"/>
          <w:szCs w:val="24"/>
          <w:shd w:fill="FFFFFF" w:val="clear"/>
        </w:rPr>
        <w:t>Товары закупаются для использования в производственной деятельности при эксплуатации</w:t>
      </w:r>
      <w:r>
        <w:rPr>
          <w:rStyle w:val="Style8"/>
          <w:rFonts w:eastAsia="Calibri"/>
          <w:bCs/>
          <w:i w:val="false"/>
          <w:sz w:val="24"/>
          <w:szCs w:val="24"/>
          <w:shd w:fill="FFFFFF" w:val="clear"/>
          <w:lang w:eastAsia="x-none"/>
        </w:rPr>
        <w:t xml:space="preserve">  оргтехники. </w:t>
      </w:r>
    </w:p>
    <w:p>
      <w:pPr>
        <w:pStyle w:val="Heading4"/>
        <w:numPr>
          <w:ilvl w:val="1"/>
          <w:numId w:val="1"/>
        </w:numPr>
        <w:rPr/>
      </w:pPr>
      <w:bookmarkStart w:id="12" w:name="__RefHeading___Toc911_40715321"/>
      <w:bookmarkStart w:id="13" w:name="_Toc46743508"/>
      <w:bookmarkStart w:id="14" w:name="_Toc75446570"/>
      <w:bookmarkEnd w:id="12"/>
      <w:r>
        <w:rPr/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lineRule="auto" w:line="276" w:before="119" w:after="113"/>
        <w:ind w:firstLine="360"/>
        <w:jc w:val="both"/>
        <w:rPr/>
      </w:pPr>
      <w:r>
        <w:rPr>
          <w:rStyle w:val="Style8"/>
          <w:rFonts w:eastAsia="Calibri"/>
          <w:bCs/>
          <w:i w:val="false"/>
          <w:iCs w:val="false"/>
          <w:sz w:val="24"/>
          <w:szCs w:val="24"/>
          <w:shd w:fill="FFFFFF" w:val="clear"/>
          <w:lang w:eastAsia="x-none"/>
        </w:rPr>
        <w:t xml:space="preserve">В процессе производственной деятельности происходит использование картриджей и элементов оргтехники и сопутствующих материалов. Для обеспечения эффективного и надежного функционирования оргтехники требуется приобретение соответствующих материально-технических ресурсов. </w:t>
      </w:r>
    </w:p>
    <w:p>
      <w:pPr>
        <w:pStyle w:val="Heading4"/>
        <w:numPr>
          <w:ilvl w:val="1"/>
          <w:numId w:val="1"/>
        </w:numPr>
        <w:ind w:left="0" w:firstLine="57"/>
        <w:rPr/>
      </w:pPr>
      <w:bookmarkStart w:id="15" w:name="__RefHeading___Toc913_40715321"/>
      <w:bookmarkStart w:id="16" w:name="_Hlk49857604"/>
      <w:bookmarkStart w:id="17" w:name="_Toc75446571"/>
      <w:bookmarkStart w:id="18" w:name="_Toc46743509"/>
      <w:bookmarkEnd w:id="15"/>
      <w:r>
        <w:rPr/>
        <w:t xml:space="preserve">Информация в отношении исполнения договора, </w:t>
      </w:r>
      <w:bookmarkStart w:id="19" w:name="_Hlk46492347"/>
      <w:r>
        <w:rPr/>
        <w:t>которая должна быть учтена при подготовке заявк</w:t>
      </w:r>
      <w:bookmarkEnd w:id="19"/>
      <w:r>
        <w:rPr/>
        <w:t xml:space="preserve">и 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bookmarkEnd w:id="16"/>
      <w:bookmarkEnd w:id="17"/>
      <w:bookmarkEnd w:id="18"/>
      <w:r>
        <w:rPr/>
        <w:t xml:space="preserve"> на этапе исполнения договора)</w:t>
      </w:r>
    </w:p>
    <w:p>
      <w:pPr>
        <w:pStyle w:val="Normal"/>
        <w:spacing w:before="0" w:after="60"/>
        <w:jc w:val="both"/>
        <w:rPr/>
      </w:pPr>
      <w:r>
        <w:rPr/>
        <w:tab/>
      </w:r>
      <w:r>
        <w:rPr>
          <w:sz w:val="24"/>
          <w:szCs w:val="24"/>
        </w:rPr>
        <w:tab/>
        <w:t xml:space="preserve">Товары </w:t>
      </w:r>
      <w:r>
        <w:rPr>
          <w:rStyle w:val="Style8"/>
          <w:rFonts w:eastAsia="Calibri"/>
          <w:bCs/>
          <w:i w:val="false"/>
          <w:sz w:val="24"/>
          <w:szCs w:val="24"/>
          <w:shd w:fill="FFFFFF" w:val="clear"/>
          <w:lang w:eastAsia="x-none"/>
        </w:rPr>
        <w:t>поставляются на склад Заказчика по адресу: филиал ПАО «РусГидро» - «Жигулевская ГЭС», Московское шоссе, д.2, г. Жигулевск, Самарская обл., Российская Федерация, 445350.</w:t>
      </w:r>
    </w:p>
    <w:p>
      <w:pPr>
        <w:pStyle w:val="Heading4"/>
        <w:numPr>
          <w:ilvl w:val="1"/>
          <w:numId w:val="1"/>
        </w:numPr>
        <w:rPr/>
      </w:pPr>
      <w:bookmarkStart w:id="20" w:name="__RefHeading___Toc915_40715321"/>
      <w:bookmarkStart w:id="21" w:name="_Toc75446572"/>
      <w:bookmarkStart w:id="22" w:name="_Hlk482097611"/>
      <w:bookmarkStart w:id="23" w:name="_Toc46743510"/>
      <w:bookmarkStart w:id="24" w:name="_Toc50125126"/>
      <w:bookmarkEnd w:id="20"/>
      <w:bookmarkEnd w:id="21"/>
      <w:bookmarkEnd w:id="22"/>
      <w:bookmarkEnd w:id="23"/>
      <w:bookmarkEnd w:id="24"/>
      <w:r>
        <w:rPr/>
        <w:t>Иные требования и сведения общего характера</w:t>
      </w:r>
    </w:p>
    <w:p>
      <w:pPr>
        <w:pStyle w:val="Normal"/>
        <w:ind w:firstLine="426"/>
        <w:jc w:val="both"/>
        <w:rPr/>
      </w:pPr>
      <w:r>
        <w:rPr>
          <w:bCs/>
          <w:sz w:val="24"/>
          <w:szCs w:val="24"/>
        </w:rPr>
        <w:t>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совместимом с программными продуктами AlterOffice, LibreOffice и MS Office.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510"/>
        <w:jc w:val="both"/>
        <w:rPr/>
      </w:pPr>
      <w:r>
        <w:rPr>
          <w:rFonts w:eastAsia="Calibri"/>
          <w:sz w:val="24"/>
          <w:szCs w:val="24"/>
          <w:lang w:eastAsia="x-none"/>
        </w:rPr>
        <w:t>Участник должен представить техническое предложение, состоящее из комментариев по исполнению требований Таблицы 3 настоящих ТТ, заполнив столбец 6 «Предложение участника по характеристикам и параметрам».</w:t>
      </w:r>
    </w:p>
    <w:p>
      <w:pPr>
        <w:pStyle w:val="Normal"/>
        <w:ind w:firstLine="426"/>
        <w:jc w:val="both"/>
        <w:rPr/>
      </w:pPr>
      <w:r>
        <w:rPr>
          <w:rStyle w:val="Style8"/>
          <w:rFonts w:eastAsia="Calibri"/>
          <w:i w:val="false"/>
          <w:sz w:val="24"/>
          <w:szCs w:val="24"/>
          <w:shd w:fill="FFFFFF" w:val="clear"/>
          <w:lang w:eastAsia="x-none"/>
        </w:rPr>
        <w:t xml:space="preserve">При составлении технического предложения возможно использование эквивалентной продукции. Эквивалентной продукцией является товар, который по техническим и функциональным характеристикам, установочным размерам, не уступает характеристикам, заявленным в документации о закупке, в том числе, по гарантийным срокам и срокам эксплуатации. 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Неисполнение вышеуказанных требований будет служить основанием для отклонения заявки Участника.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25" w:name="__RefHeading___Toc917_40715321"/>
      <w:bookmarkStart w:id="26" w:name="_Toc75446573"/>
      <w:bookmarkStart w:id="27" w:name="_Toc51339693"/>
      <w:bookmarkEnd w:id="25"/>
      <w:bookmarkEnd w:id="26"/>
      <w:bookmarkEnd w:id="27"/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1"/>
        </w:numPr>
        <w:rPr/>
      </w:pPr>
      <w:bookmarkStart w:id="28" w:name="__RefHeading___Toc919_40715321"/>
      <w:bookmarkStart w:id="29" w:name="_Toc75446574"/>
      <w:bookmarkEnd w:id="28"/>
      <w:r>
        <w:rPr/>
        <w:t xml:space="preserve">Требования к объемам и срокам </w:t>
      </w:r>
      <w:bookmarkEnd w:id="29"/>
      <w:r>
        <w:rPr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30" w:name="__RefHeading___Toc921_40715321"/>
      <w:bookmarkStart w:id="31" w:name="_Toc75446575"/>
      <w:bookmarkEnd w:id="30"/>
      <w:bookmarkEnd w:id="31"/>
      <w:r>
        <w:rPr>
          <w:lang w:val="ru-RU"/>
        </w:rPr>
        <w:t>Перечень и объем закупаемой продукции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32" w:name="__RefHeading___Toc923_40715321"/>
      <w:bookmarkStart w:id="33" w:name="_Toc51339695"/>
      <w:bookmarkStart w:id="34" w:name="_Toc75446576"/>
      <w:bookmarkEnd w:id="32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1.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Перечень </w:t>
      </w:r>
      <w:bookmarkEnd w:id="33"/>
      <w:bookmarkEnd w:id="34"/>
      <w:r>
        <w:rPr>
          <w:b w:val="false"/>
          <w:sz w:val="24"/>
          <w:szCs w:val="24"/>
          <w:lang w:val="ru-RU"/>
        </w:rPr>
        <w:t>и объем закупаемых товаров</w:t>
      </w:r>
    </w:p>
    <w:tbl>
      <w:tblPr>
        <w:tblW w:w="9812" w:type="dxa"/>
        <w:jc w:val="left"/>
        <w:tblInd w:w="121" w:type="dxa"/>
        <w:tblLayout w:type="fixed"/>
        <w:tblCellMar>
          <w:top w:w="0" w:type="dxa"/>
          <w:left w:w="5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2"/>
        <w:gridCol w:w="1419"/>
        <w:gridCol w:w="6"/>
        <w:gridCol w:w="1409"/>
      </w:tblGrid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CS-CE278AS, CE278A, черный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CS-CE340A (HP 651A), черный</w:t>
            </w:r>
          </w:p>
        </w:tc>
        <w:tc>
          <w:tcPr>
            <w:tcW w:w="14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CS-CF410X (HP 410X) черный</w:t>
            </w:r>
          </w:p>
        </w:tc>
        <w:tc>
          <w:tcPr>
            <w:tcW w:w="14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CS-TK5240BK (TK-5240K) черный</w:t>
            </w:r>
          </w:p>
        </w:tc>
        <w:tc>
          <w:tcPr>
            <w:tcW w:w="14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ind w:firstLine="142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3"/>
        <w:numPr>
          <w:ilvl w:val="2"/>
          <w:numId w:val="1"/>
        </w:numPr>
        <w:rPr/>
      </w:pPr>
      <w:bookmarkStart w:id="35" w:name="__RefHeading___Toc925_40715321"/>
      <w:bookmarkStart w:id="36" w:name="_Toc51339696"/>
      <w:bookmarkStart w:id="37" w:name="_Toc75446578"/>
      <w:bookmarkEnd w:id="35"/>
      <w:r>
        <w:rPr>
          <w:lang w:val="ru-RU"/>
        </w:rPr>
        <w:t xml:space="preserve">Требования </w:t>
      </w:r>
      <w:bookmarkEnd w:id="36"/>
      <w:bookmarkEnd w:id="37"/>
      <w:r>
        <w:rPr>
          <w:lang w:val="ru-RU"/>
        </w:rPr>
        <w:t>к срокам поставки продукции и оказания сопутствующих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38" w:name="__RefHeading___Toc927_40715321"/>
      <w:bookmarkStart w:id="39" w:name="_Toc75446579"/>
      <w:bookmarkStart w:id="40" w:name="_Toc51339697"/>
      <w:bookmarkStart w:id="41" w:name="_Toc50125127"/>
      <w:bookmarkStart w:id="42" w:name="_Toc501251261"/>
      <w:bookmarkEnd w:id="38"/>
      <w:bookmarkEnd w:id="42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 xml:space="preserve">. </w:t>
      </w:r>
      <w:bookmarkStart w:id="43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40"/>
      <w:bookmarkEnd w:id="41"/>
      <w:bookmarkEnd w:id="43"/>
      <w:r>
        <w:rPr>
          <w:b w:val="false"/>
          <w:sz w:val="24"/>
          <w:szCs w:val="24"/>
          <w:lang w:val="ru-RU"/>
        </w:rPr>
        <w:t xml:space="preserve">поставки </w:t>
      </w:r>
      <w:bookmarkEnd w:id="39"/>
      <w:r>
        <w:rPr>
          <w:b w:val="false"/>
          <w:sz w:val="24"/>
          <w:szCs w:val="24"/>
          <w:lang w:val="ru-RU"/>
        </w:rPr>
        <w:t>товаров</w:t>
      </w:r>
    </w:p>
    <w:tbl>
      <w:tblPr>
        <w:tblW w:w="9776" w:type="dxa"/>
        <w:jc w:val="left"/>
        <w:tblInd w:w="33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"/>
        <w:gridCol w:w="3398"/>
        <w:gridCol w:w="2629"/>
        <w:gridCol w:w="3115"/>
      </w:tblGrid>
      <w:tr>
        <w:trPr/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/ партии товаров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товаров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товаров</w:t>
            </w:r>
          </w:p>
        </w:tc>
      </w:tr>
      <w:tr>
        <w:trPr/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CS-CE278AS, CE278A, черный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даты подпи</w:t>
            </w:r>
            <w:r>
              <w:rPr>
                <w:sz w:val="24"/>
                <w:szCs w:val="24"/>
              </w:rPr>
              <w:t>сания договора</w:t>
            </w:r>
          </w:p>
        </w:tc>
        <w:tc>
          <w:tcPr>
            <w:tcW w:w="3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 20 календарных дней с даты подписания договора</w:t>
            </w:r>
          </w:p>
        </w:tc>
      </w:tr>
      <w:tr>
        <w:trPr>
          <w:trHeight w:val="561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CS-CE340A (HP 651A), черный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CS-CF410X (HP 410X) черный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Cactus CS-TK5240BK (TK-5240K) черный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44" w:name="__RefHeading___Toc929_40715321"/>
      <w:bookmarkStart w:id="45" w:name="_Toc51339698"/>
      <w:bookmarkStart w:id="46" w:name="_Toc46743511"/>
      <w:bookmarkStart w:id="47" w:name="_Toc75446581"/>
      <w:bookmarkEnd w:id="44"/>
      <w:r>
        <w:rPr/>
        <w:t xml:space="preserve">Требования к </w:t>
      </w:r>
      <w:bookmarkEnd w:id="46"/>
      <w:bookmarkEnd w:id="47"/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48" w:name="__RefHeading___Toc931_40715321"/>
      <w:bookmarkEnd w:id="48"/>
      <w:r>
        <w:rPr>
          <w:b w:val="false"/>
          <w:sz w:val="24"/>
          <w:szCs w:val="24"/>
        </w:rPr>
        <w:t xml:space="preserve"> </w:t>
      </w:r>
      <w:bookmarkStart w:id="49" w:name="_Toc75446582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3</w:t>
      </w:r>
      <w:r>
        <w:rPr>
          <w:b w:val="false"/>
          <w:sz w:val="24"/>
          <w:szCs w:val="24"/>
        </w:rPr>
        <w:t xml:space="preserve">. Требования к </w:t>
      </w:r>
      <w:bookmarkEnd w:id="45"/>
      <w:bookmarkEnd w:id="49"/>
      <w:r>
        <w:rPr>
          <w:b w:val="false"/>
          <w:sz w:val="24"/>
          <w:szCs w:val="24"/>
        </w:rPr>
        <w:t>товарам</w:t>
      </w:r>
    </w:p>
    <w:p>
      <w:pPr>
        <w:pStyle w:val="Normal"/>
        <w:spacing w:before="113" w:after="113"/>
        <w:jc w:val="both"/>
        <w:rPr/>
      </w:pPr>
      <w:r>
        <w:rPr>
          <w:b/>
          <w:bCs/>
          <w:i/>
          <w:iCs/>
          <w:sz w:val="24"/>
          <w:szCs w:val="24"/>
        </w:rPr>
        <w:t>Наименование товаров (Таблица 1.)</w:t>
      </w:r>
    </w:p>
    <w:tbl>
      <w:tblPr>
        <w:tblStyle w:val="affff5"/>
        <w:tblW w:w="15315" w:type="dxa"/>
        <w:jc w:val="left"/>
        <w:tblInd w:w="28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985"/>
        <w:gridCol w:w="3003"/>
        <w:gridCol w:w="2803"/>
        <w:gridCol w:w="3262"/>
        <w:gridCol w:w="3410"/>
      </w:tblGrid>
      <w:tr>
        <w:trPr/>
        <w:tc>
          <w:tcPr>
            <w:tcW w:w="8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0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6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0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Картридж Cactus CS-CE278AS, CE278A, черный.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Ресурс: 2100 стр.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Картридж Cactus CS-CE340A (HP 651A), черный.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Ресурс: 13500 стр.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Картридж Cactus CS-CF410X (HP 410X) черный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Ресурс: 6500 стр.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Картридж Cactus CS-TK5240BK (TK-5240K) черный.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Ресурс: 4000 стр.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Поставка товаров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 упаковке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Поставляемые товары должны быть в оригинальной заводской упаковке производителя. Упаковка должна обеспечивать полную сохранность товара при транспортировке, погрузке, разгрузке и хранении.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Входной контроль качества поставляемой продукции.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Организация входного контроля поставляемых товаров выполняется Поставщиком совместно с Заказчиком.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19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 товаров (в том числе по территории Покупателя) осуществляется Поставщиком. Стоимость погрузки, доставки, разгрузки и перемещения товаров должна быть включена в стоимость Товара.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сроку гарантии на поставляемые МТР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 на поставляемые товары должен быть не менее 12 месяцев  с даты подписания универсального передаточного акта.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гарантийному обслуживанию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гарантийному обслуживанию: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 обязанности поставщика входит гарантийное обслуживание поставляемых  продукции на протяжении всего гарантийного срока;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эксплуатация поставляемых товаров осуществляется силами персонала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товаров (в случае, если причина дефекта не связана с неправильной эксплуатацией данной продукции.);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гарантийный срок увеличивается на время устранения дефекта или замены товара, возникшего в период гарантийного обслуживания;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замена товара производится поставщиком по адресу, указанному Заказчиком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bookmarkStart w:id="50" w:name="__RefHeading___Toc933_40715321"/>
            <w:bookmarkStart w:id="51" w:name="_Toc126936407"/>
            <w:bookmarkEnd w:id="50"/>
            <w:bookmarkEnd w:id="51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товаром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товаров передать Заказчику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протоколы заводских испытаний (при их наличии);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товарную накладную унифицированной формы.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52" w:name="__RefHeading___Toc935_40715321"/>
      <w:bookmarkStart w:id="53" w:name="_Toc53393312"/>
      <w:bookmarkStart w:id="54" w:name="_Toc75446583"/>
      <w:bookmarkEnd w:id="52"/>
      <w:r>
        <w:rPr>
          <w:lang w:val="ru-RU"/>
        </w:rPr>
        <w:t>Требования к документации по ценообразованию</w:t>
      </w:r>
      <w:bookmarkEnd w:id="53"/>
      <w:bookmarkEnd w:id="54"/>
      <w:r>
        <w:rPr>
          <w:lang w:val="ru-RU"/>
        </w:rPr>
        <w:t xml:space="preserve"> на этапе закупки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keepLines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iCs/>
          <w:sz w:val="24"/>
          <w:szCs w:val="24"/>
          <w:lang w:val="x-none"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 xml:space="preserve">3.2. </w:t>
      </w:r>
      <w:r>
        <w:rPr>
          <w:rFonts w:eastAsia="Calibri"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включается</w:t>
      </w:r>
      <w:r>
        <w:rPr>
          <w:rFonts w:eastAsia="Calibri"/>
          <w:iCs/>
          <w:sz w:val="24"/>
          <w:szCs w:val="24"/>
          <w:lang w:val="x-none" w:eastAsia="x-none"/>
        </w:rPr>
        <w:t>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8"/>
  <w:defaultTabStop w:val="22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225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14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qFormat/>
    <w:rsid w:val="0076353a"/>
    <w:pPr>
      <w:tabs>
        <w:tab w:val="clear" w:pos="225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225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Heading1"/>
    <w:autoRedefine/>
    <w:uiPriority w:val="39"/>
    <w:rsid w:val="00421b6b"/>
    <w:pPr>
      <w:tabs>
        <w:tab w:val="clear" w:pos="0"/>
      </w:tabs>
      <w:spacing w:before="120" w:after="0"/>
      <w:ind w:left="0" w:hanging="0"/>
    </w:pPr>
    <w:rPr>
      <w:rFonts w:cs="Calibri Light (Заголовки)"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b/>
      <w:sz w:val="24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4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225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таблицы"/>
    <w:basedOn w:val="Normal"/>
    <w:qFormat/>
    <w:pPr/>
    <w:rPr/>
  </w:style>
  <w:style w:type="paragraph" w:styleId="Style35" w:customStyle="1">
    <w:name w:val="Заголовок таблицы"/>
    <w:basedOn w:val="Style34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1E93-0AA2-42BC-9E11-EDDCC67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AlterOffice/3.4.0.9$Linux_X86_64 LibreOffice_project/b8daf9e823b1a5463a2f48435ddc2e8696e7d4fc</Application>
  <AppVersion>15.0000</AppVersion>
  <Pages>9</Pages>
  <Words>1017</Words>
  <Characters>6892</Characters>
  <CharactersWithSpaces>7737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2023-03-30T07:16:00Z</dcterms:created>
  <dc:creator>Быстров Олег Геннадьевич</dc:creator>
  <dc:description/>
  <dc:language>ru-RU</dc:language>
  <cp:lastModifiedBy>antonovanal@corp.gidroogk.com</cp:lastModifiedBy>
  <cp:lastPrinted>2026-05-08T08:50:26Z</cp:lastPrinted>
  <dcterms:modified xsi:type="dcterms:W3CDTF">2026-05-12T08:41:47Z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