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фонарей, прожекторов и прочих осветительных ТМЦ.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60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454"/>
        <w:gridCol w:w="1202"/>
        <w:gridCol w:w="1138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5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83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8"/>
                <w:szCs w:val="28"/>
              </w:rPr>
              <w:t>Фонарь налобный Яркий луч LH-400 Cobra PRO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C2D2E"/>
                <w:spacing w:val="0"/>
                <w:sz w:val="28"/>
                <w:szCs w:val="28"/>
              </w:rPr>
              <w:t>Код производителя 4606400106302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>
        <w:trPr>
          <w:trHeight w:val="81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2C2D2E"/>
                <w:spacing w:val="0"/>
                <w:sz w:val="27"/>
                <w:szCs w:val="28"/>
              </w:rPr>
              <w:t>Фонарь Nextool Thunder Flashlight (NE20030)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2C2D2E"/>
                <w:spacing w:val="0"/>
                <w:sz w:val="27"/>
                <w:szCs w:val="28"/>
              </w:rPr>
              <w:t>Артикул 67975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>
          <w:trHeight w:val="69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8"/>
                <w:szCs w:val="28"/>
                <w:lang w:val="en-US"/>
              </w:rPr>
              <w:t>Фонарь-прожектор Nitecore NWL30</w:t>
            </w:r>
          </w:p>
          <w:p>
            <w:pPr>
              <w:pStyle w:val="BodyText"/>
              <w:widowControl w:val="false"/>
              <w:spacing w:before="0" w:after="283"/>
              <w:ind w:left="0" w:right="0" w:hanging="0"/>
              <w:jc w:val="left"/>
              <w:rPr/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2C2D2E"/>
                <w:spacing w:val="0"/>
                <w:sz w:val="28"/>
              </w:rPr>
              <w:t>Артикул 29747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г.о.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535817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13ED-4FDC-476C-AD70-8B5DCC60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AlterOffice/3.4.0.9$Linux_X86_64 LibreOffice_project/b8daf9e823b1a5463a2f48435ddc2e8696e7d4fc</Application>
  <AppVersion>15.0000</AppVersion>
  <Pages>2</Pages>
  <Words>301</Words>
  <Characters>2123</Characters>
  <CharactersWithSpaces>1651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2026-05-12T13:02:14Z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