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firstLine="708"/>
        <w:jc w:val="right"/>
        <w:rPr>
          <w:rFonts w:eastAsia="Calibri"/>
        </w:rPr>
      </w:pPr>
      <w:r>
        <w:rPr>
          <w:rFonts w:eastAsia="Calibri"/>
        </w:rPr>
        <w:t xml:space="preserve">                </w:t>
      </w:r>
      <w:r>
        <w:rPr>
          <w:rFonts w:eastAsia="Calibri"/>
        </w:rPr>
        <w:t>«УТВЕРЖДАЮ»</w:t>
      </w:r>
    </w:p>
    <w:p>
      <w:pPr>
        <w:pStyle w:val="Normal"/>
        <w:keepNext w:val="true"/>
        <w:keepLines/>
        <w:jc w:val="right"/>
        <w:rPr>
          <w:rFonts w:eastAsia="Calibri"/>
        </w:rPr>
      </w:pPr>
      <w:r>
        <w:rPr>
          <w:rFonts w:eastAsia="Calibri"/>
        </w:rPr>
        <w:t>Главный инженер ЦЭС</w:t>
      </w:r>
    </w:p>
    <w:p>
      <w:pPr>
        <w:pStyle w:val="Normal"/>
        <w:keepNext w:val="true"/>
        <w:keepLines/>
        <w:jc w:val="right"/>
        <w:rPr>
          <w:rFonts w:eastAsia="Calibri"/>
        </w:rPr>
      </w:pPr>
      <w:r>
        <w:rPr>
          <w:rFonts w:eastAsia="Calibri"/>
        </w:rPr>
        <w:t>ПАО «Якутскэнерго»</w:t>
      </w:r>
    </w:p>
    <w:p>
      <w:pPr>
        <w:pStyle w:val="Normal"/>
        <w:keepNext w:val="true"/>
        <w:keepLines/>
        <w:jc w:val="right"/>
        <w:rPr>
          <w:rFonts w:eastAsia="Calibri"/>
        </w:rPr>
      </w:pPr>
      <w:r>
        <w:rPr>
          <w:rFonts w:eastAsia="Calibri"/>
        </w:rPr>
        <w:t>_______________М.В. Варейкис</w:t>
      </w:r>
    </w:p>
    <w:p>
      <w:pPr>
        <w:pStyle w:val="Normal"/>
        <w:keepNext w:val="true"/>
        <w:keepLines/>
        <w:jc w:val="right"/>
        <w:rPr>
          <w:rFonts w:eastAsia="Calibri"/>
          <w:b/>
        </w:rPr>
      </w:pPr>
      <w:r>
        <w:rPr>
          <w:rFonts w:eastAsia="Calibri"/>
        </w:rPr>
        <w:t>«_____» ____________2026г.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</w:t>
      </w: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Д</w:t>
      </w:r>
      <w:r>
        <w:rPr>
          <w:b/>
          <w:bCs/>
          <w:sz w:val="24"/>
          <w:szCs w:val="24"/>
        </w:rPr>
        <w:t>2 26.51.53 Поставка аппарата автоматического для определения температуры вспышки в открытом тигле»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rFonts w:eastAsia="Calibri"/>
            </w:rPr>
            <w:instrText xml:space="preserve"> TOC \z \o "1-4" \u \h</w:instrText>
          </w:r>
          <w:r>
            <w:rPr>
              <w:webHidden/>
              <w:rStyle w:val="Style12"/>
              <w:rFonts w:eastAsia="Calibri"/>
            </w:rPr>
            <w:fldChar w:fldCharType="separate"/>
          </w:r>
          <w:hyperlink w:anchor="_Toc180047687">
            <w:r>
              <w:rPr>
                <w:webHidden/>
                <w:rStyle w:val="Style12"/>
                <w:rFonts w:eastAsia="Calibri"/>
              </w:rPr>
              <w:t>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88">
            <w:r>
              <w:rPr>
                <w:webHidden/>
                <w:rStyle w:val="Style12"/>
                <w:rFonts w:eastAsia="Calibri"/>
                <w:iCs/>
              </w:rPr>
              <w:t>1.1.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89">
            <w:r>
              <w:rPr>
                <w:webHidden/>
                <w:rStyle w:val="Style12"/>
                <w:rFonts w:eastAsia="Calibri"/>
                <w:iCs/>
              </w:rPr>
              <w:t>1.2.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90">
            <w:r>
              <w:rPr>
                <w:webHidden/>
                <w:rStyle w:val="Style12"/>
                <w:rFonts w:eastAsia="Calibri"/>
                <w:iCs/>
              </w:rPr>
              <w:t>1.3.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91">
            <w:r>
              <w:rPr>
                <w:webHidden/>
                <w:rStyle w:val="Style12"/>
                <w:rFonts w:eastAsia="Calibri"/>
                <w:iCs/>
              </w:rPr>
              <w:t>1.4.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0047692">
            <w:r>
              <w:rPr>
                <w:webHidden/>
                <w:rStyle w:val="Style12"/>
                <w:rFonts w:eastAsia="Calibri"/>
              </w:rPr>
              <w:t>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93">
            <w:r>
              <w:rPr>
                <w:webHidden/>
                <w:rStyle w:val="Style12"/>
                <w:rFonts w:eastAsia="Calibri"/>
                <w:iCs/>
              </w:rPr>
              <w:t>2.1.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94">
            <w:r>
              <w:rPr>
                <w:webHidden/>
                <w:rStyle w:val="Style12"/>
                <w:rFonts w:eastAsia="Calibri"/>
              </w:rPr>
              <w:t>2.1.1.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0047695">
            <w:r>
              <w:rPr>
                <w:webHidden/>
                <w:rStyle w:val="Style12"/>
                <w:rFonts w:eastAsia="Calibri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96">
            <w:r>
              <w:rPr>
                <w:webHidden/>
                <w:rStyle w:val="Style12"/>
                <w:rFonts w:eastAsia="Calibri"/>
              </w:rPr>
              <w:t>2.1.2.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0047697">
            <w:r>
              <w:rPr>
                <w:webHidden/>
                <w:rStyle w:val="Style12"/>
                <w:rFonts w:eastAsia="Calibri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0047698">
            <w:r>
              <w:rPr>
                <w:webHidden/>
                <w:rStyle w:val="Style12"/>
                <w:rFonts w:eastAsia="Calibri"/>
                <w:iCs/>
              </w:rPr>
              <w:t>2.2.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0047699">
            <w:r>
              <w:rPr>
                <w:webHidden/>
                <w:rStyle w:val="Style12"/>
                <w:rFonts w:eastAsia="Calibri"/>
              </w:rPr>
              <w:t>Таблица 3.1.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0047725">
            <w:r>
              <w:rPr>
                <w:webHidden/>
                <w:rStyle w:val="Style12"/>
                <w:rFonts w:eastAsia="Calibri"/>
              </w:rPr>
              <w:t>3.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_Toc180047725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eastAsia="新細明體" w:cs="Times New Roman" w:eastAsiaTheme="minorEastAsia"/>
          <w:b w:val="false"/>
          <w:bCs w:val="false"/>
        </w:rPr>
      </w:pPr>
      <w:r>
        <w:rPr>
          <w:rFonts w:eastAsia="新細明體" w:cs="Times New Roman" w:eastAsiaTheme="minorEastAsia"/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eastAsia="新細明體" w:cs="Times New Roman" w:eastAsiaTheme="minorEastAsia"/>
          <w:b w:val="false"/>
          <w:bCs w:val="false"/>
        </w:rPr>
      </w:pPr>
      <w:r>
        <w:rPr>
          <w:rFonts w:eastAsia="新細明體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80047687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180047688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7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1"/>
        <w:gridCol w:w="6803"/>
      </w:tblGrid>
      <w:tr>
        <w:trPr>
          <w:cantSplit w:val="true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7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ЦЭС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7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Центральные электрические сети</w:t>
            </w:r>
          </w:p>
        </w:tc>
      </w:tr>
      <w:tr>
        <w:trPr>
          <w:cantSplit w:val="true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 ИЗПИ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Служба изоляции, защиты от перенапряжений и измерений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180047689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АТВО-20 – аппарат автоматический для определения температуры вспышки в открытом тигле (с электрическим поджигом испытуемого продукта)</w:t>
      </w:r>
      <w:r>
        <w:rPr>
          <w:sz w:val="24"/>
          <w:szCs w:val="24"/>
          <w:lang w:eastAsia="x-none"/>
        </w:rPr>
        <w:t xml:space="preserve">. </w:t>
      </w:r>
    </w:p>
    <w:p>
      <w:pPr>
        <w:pStyle w:val="Heading4"/>
        <w:numPr>
          <w:ilvl w:val="1"/>
          <w:numId w:val="3"/>
        </w:numPr>
        <w:ind w:left="431" w:hanging="431"/>
        <w:rPr/>
      </w:pPr>
      <w:bookmarkStart w:id="6" w:name="_Toc180047690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Web"/>
        <w:spacing w:beforeAutospacing="0" w:before="0" w:afterAutospacing="0" w:after="0"/>
        <w:ind w:firstLine="567"/>
        <w:jc w:val="both"/>
        <w:rPr>
          <w:rStyle w:val="Blk"/>
        </w:rPr>
      </w:pP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Аппарат для химического анализа </w:t>
      </w:r>
      <w:r>
        <w:rPr>
          <w:rFonts w:eastAsia="Calibri"/>
        </w:rPr>
        <w:t>закупаются для технического обслуживания, испытаний и измерений с целью обеспечения надежности Центральных электрических сетей Республики Саха (Якутия)</w:t>
      </w:r>
      <w:r>
        <w:rPr>
          <w:rStyle w:val="Blk"/>
        </w:rPr>
        <w:t xml:space="preserve">. 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8" w:name="_Toc180047691"/>
      <w:bookmarkStart w:id="9" w:name="_Toc50125126"/>
      <w:bookmarkEnd w:id="9"/>
      <w:r>
        <w:rPr/>
        <w:t>Иные требования и сведения общего характера</w:t>
      </w:r>
      <w:bookmarkEnd w:id="8"/>
      <w:r>
        <w:rPr>
          <w:lang w:val="ru-RU"/>
        </w:rPr>
        <w:t xml:space="preserve"> </w:t>
      </w:r>
    </w:p>
    <w:p>
      <w:pPr>
        <w:pStyle w:val="Normal"/>
        <w:spacing w:lineRule="auto" w:line="27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 Участник гарантирует, что продукция, является новой, неиспользованной, год выпуска не ранее 1 квартала 2026 г. и соответствует требованиям ГОСТ или ТУ. Поставщик гарантирует соответствие качества продукции требованиям нормативно-технической документации в течение 12 месяцев с момента получения продукции на складе Покупателя.</w:t>
      </w:r>
    </w:p>
    <w:p>
      <w:pPr>
        <w:pStyle w:val="Normal"/>
        <w:spacing w:lineRule="auto" w:line="27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2. Отгрузочные реквизиты: </w:t>
      </w:r>
    </w:p>
    <w:p>
      <w:pPr>
        <w:pStyle w:val="Normal"/>
        <w:spacing w:lineRule="auto" w:line="27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Направление: Грузополучатель: филиал Центральные Электрические Сети (ЦЭС) ПАО «Якутскэнерго». Адрес: 677021, РФ, Республика Саха (Якутия), г. Якутск, пр. Михаила. Николаева, 26.</w:t>
      </w:r>
    </w:p>
    <w:p>
      <w:pPr>
        <w:pStyle w:val="Normal"/>
        <w:spacing w:lineRule="auto" w:line="27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 Продукция в соответствии с требованиями Постановления Правительства РФ от 3 декабря 2020 г. N 2013</w:t>
      </w:r>
    </w:p>
    <w:p>
      <w:pPr>
        <w:pStyle w:val="Normal"/>
        <w:spacing w:lineRule="auto" w:line="27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"О минимальной доле закупок товаров российского происхождения" должна быть включена: в реестр промышленной продукции, произведенной на территории Российской Федерации, или в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4.Участник должен принять во внимание, что ссылка на марку (тип) продукции, носит описательный, а не обязательный характер. В случае, если Участником предлагаются эквиваленты требуемой Заказчику продукции или ее составных частей, в составе своего предложения, он должен,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 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В случае предложения эквивалентов, Участнику необходимо обеспечить выполнение следующих условий: Для оценки возможности использования предлагаемой эквивалентной продукции, предложение участника должно содержать подробную техническую информацию в объеме, соответствующем техническим требованиям, указанным Заказчиком в Технических требованиях.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x-none"/>
        </w:rPr>
        <w:t>5.</w:t>
      </w:r>
      <w:r>
        <w:rPr>
          <w:sz w:val="24"/>
          <w:szCs w:val="24"/>
        </w:rPr>
        <w:t xml:space="preserve">  Участник должен иметь опыт (не менее одного договора поставки) за последние 5 (пять) лет, предшествующие дате подачи заявок Участников на участие в настоящей закупочной процедуре. При этом учитываются только выполненные участником договоры (с учетом правопреемственности).</w:t>
        <w:br/>
        <w:t>Соответствие установленному требованию подтверждается путем представления Участником закупки, в составе заявки, сведений о ранее выполненных договорах по форме «Справки об опыте Участника», приведенной документации о закупке, с предоставлением скан-копий договоров либо их частей (с приложением документов, предусмотренных требованиями договора, подтверждающих факт его исполнения) подтверждающие представленные в форме данные.</w:t>
        <w:br/>
        <w:t xml:space="preserve">При рассмотрении 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180047692"/>
      <w:bookmarkStart w:id="11" w:name="_Toc51339693"/>
      <w:r>
        <w:rPr>
          <w:iCs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2" w:name="_Toc18004769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180047694"/>
      <w:bookmarkStart w:id="14" w:name="_Toc156290819"/>
      <w:r>
        <w:rPr>
          <w:lang w:val="ru-RU"/>
        </w:rPr>
        <w:t>Перечень и объем закупаемой продукции</w:t>
      </w:r>
      <w:bookmarkEnd w:id="13"/>
      <w:bookmarkEnd w:id="1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80047695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1989"/>
        <w:gridCol w:w="1134"/>
        <w:gridCol w:w="1132"/>
        <w:gridCol w:w="1419"/>
        <w:gridCol w:w="1422"/>
        <w:gridCol w:w="2547"/>
      </w:tblGrid>
      <w:tr>
        <w:trPr>
          <w:trHeight w:val="597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>
          <w:trHeight w:val="597" w:hRule="atLeast"/>
        </w:trPr>
        <w:tc>
          <w:tcPr>
            <w:tcW w:w="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режима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Аппарат автоматический для определения температуры вспышки в открытом тигле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АТВО-20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26.51.53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 режим ограничения закупки иностранной продукции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80047696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 и оказания сопутствующих услуг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56290824"/>
      <w:bookmarkStart w:id="20" w:name="_Toc75446580"/>
      <w:bookmarkStart w:id="21" w:name="_Toc180047697"/>
      <w:bookmarkStart w:id="22" w:name="_Toc156290823"/>
      <w:bookmarkStart w:id="23" w:name="_Toc50125127"/>
      <w:bookmarkStart w:id="24" w:name="_Toc51339697"/>
      <w:bookmarkStart w:id="25" w:name="_Toc50125126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1"/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3545"/>
        <w:gridCol w:w="2976"/>
        <w:gridCol w:w="3260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>Аппарат автоматический для определения температуры вспышки в открытом тигле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bookmarkStart w:id="27" w:name="_Toc156290824"/>
            <w:bookmarkStart w:id="28" w:name="_Toc75446580"/>
            <w:r>
              <w:rPr>
                <w:sz w:val="20"/>
                <w:szCs w:val="20"/>
              </w:rPr>
              <w:t>Не более 6 месяцев, не позднее 20 декабря 2027 года</w:t>
            </w:r>
            <w:bookmarkEnd w:id="27"/>
            <w:bookmarkEnd w:id="28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1339698"/>
      <w:bookmarkStart w:id="30" w:name="_Toc180047698"/>
      <w:bookmarkStart w:id="31" w:name="_Toc75446581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продукции</w:t>
      </w:r>
      <w:bookmarkEnd w:id="30"/>
      <w:bookmarkEnd w:id="3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3" w:name="_Toc18004769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33"/>
      <w:r>
        <w:rPr>
          <w:sz w:val="24"/>
          <w:szCs w:val="24"/>
        </w:rPr>
        <w:t xml:space="preserve"> </w:t>
      </w:r>
      <w:bookmarkEnd w:id="29"/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  <w:r>
        <w:rPr>
          <w:b/>
          <w:bCs/>
          <w:sz w:val="24"/>
          <w:szCs w:val="24"/>
          <w:lang w:eastAsia="x-none"/>
        </w:rPr>
        <w:t>Аппарат автоматический для определения температуры вспышки в открытом тигле</w:t>
      </w:r>
    </w:p>
    <w:tbl>
      <w:tblPr>
        <w:tblStyle w:val="affff4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3684"/>
        <w:gridCol w:w="3544"/>
        <w:gridCol w:w="2692"/>
        <w:gridCol w:w="2552"/>
        <w:gridCol w:w="1984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68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24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54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Требования к параметрам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оборудования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shd w:color="auto" w:fill="auto" w:val="clear"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bookmarkStart w:id="34" w:name="_Toc180047701"/>
            <w:r>
              <w:rPr>
                <w:rFonts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Диапазон измерения температуры вспышки</w:t>
            </w:r>
            <w:bookmarkEnd w:id="34"/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+79 до +400 °С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shd w:color="auto" w:fill="auto" w:val="clear"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bookmarkStart w:id="35" w:name="_Toc180047702"/>
            <w:r>
              <w:rPr>
                <w:rFonts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Тип поджига паров продукта</w:t>
            </w:r>
            <w:bookmarkEnd w:id="35"/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электроискровой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shd w:color="auto" w:fill="auto" w:val="clear"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bookmarkStart w:id="36" w:name="_Toc180047704"/>
            <w:r>
              <w:rPr>
                <w:rFonts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Диапазон скорости нагрева продукта</w:t>
            </w:r>
            <w:bookmarkEnd w:id="36"/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заводом изготовителем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shd w:color="auto" w:fill="auto" w:val="clear"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bookmarkStart w:id="37" w:name="_Toc180047709"/>
            <w:r>
              <w:rPr>
                <w:rFonts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Требования к метрологическому обеспечению</w:t>
            </w:r>
            <w:bookmarkEnd w:id="37"/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tLeast" w:line="240" w:before="40" w:after="4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Дискретность выдаваемого результата определения температуры вспышки 1°С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Материал изготовления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заводом изготовителем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bookmarkStart w:id="38" w:name="_Toc180047710"/>
            <w:r>
              <w:rPr>
                <w:rFonts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Конструктивные особенности</w:t>
            </w:r>
            <w:bookmarkEnd w:id="38"/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заводом изготовителем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bookmarkStart w:id="39" w:name="_Toc180047712"/>
            <w:r>
              <w:rPr>
                <w:rFonts w:cs="Times New Roman"/>
                <w:b w:val="false"/>
                <w:kern w:val="0"/>
                <w:sz w:val="20"/>
                <w:szCs w:val="20"/>
                <w:lang w:bidi="ar-SA"/>
              </w:rPr>
              <w:t>Климатическое исполнение и категория размещения</w:t>
            </w:r>
            <w:bookmarkEnd w:id="39"/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заводом изготовителем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bookmarkStart w:id="40" w:name="_Toc180047713"/>
            <w:r>
              <w:rPr>
                <w:rFonts w:cs="Times New Roman"/>
                <w:b w:val="false"/>
                <w:kern w:val="0"/>
                <w:sz w:val="20"/>
                <w:szCs w:val="20"/>
                <w:lang w:val="ru-RU" w:bidi="ar-SA"/>
              </w:rPr>
              <w:t>Температура окружающего воздуха</w:t>
            </w:r>
            <w:bookmarkEnd w:id="40"/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заводом изготовителем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Место поставки МТР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филиал Центральные Электрические Сети (ЦЭС) ПАО «Якутскэнерго». Адрес: 677021, РФ, Республика Саха (Якутия), г. Якутск, проспект Михаила Николаева, 26.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Style25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Маркировка, упаковка и консервация( да, нет)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Требуется упаковка в зависимости от способа доставки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4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4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4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метрологическому обеспечению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Все средства измерения, входящие в состав установки должны быть зарегистрированы в Государственном реестре средств измерения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8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Срок гарантии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В соответствии с заводом изготовителем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25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Heading1"/>
              <w:widowControl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b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kern w:val="0"/>
                <w:sz w:val="20"/>
                <w:szCs w:val="20"/>
                <w:lang w:bidi="ar-SA"/>
              </w:rPr>
              <w:t>Аппарат для определения температуры вспышки в открытом тигле АТВО-20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- 1 шт.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Документация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Руководство по эксплуатации установки с печатью Завода-изготовителя с указанием всех технических характеристик предлагаемой продукции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утверждения типа средств измерений, входящих в состав прибора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Паспорт АТВО-20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Методика аттестации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  <w:bookmarkStart w:id="41" w:name="_GoBack"/>
            <w:bookmarkStart w:id="42" w:name="_GoBack"/>
            <w:bookmarkEnd w:id="42"/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Срок службы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В соответствии с заводом изготовителем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DengXian" w:cs="Times New Roman"/>
                <w:bCs/>
                <w:kern w:val="0"/>
                <w:sz w:val="20"/>
                <w:lang w:val="ru-RU" w:eastAsia="ru-RU" w:bidi="ar-SA"/>
              </w:rPr>
              <w:t>Изготовление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DengXi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Поставляемая продукция должна быть новой, не бывшей в употреблении, изготовленной не ранее 2026г.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сервисного центра в РФ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Обязательно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fals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составе заявки необходимо представить: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3" w:name="_Toc180047725"/>
      <w:bookmarkStart w:id="44" w:name="_Toc53393312"/>
      <w:r>
        <w:rPr>
          <w:lang w:val="ru-RU"/>
        </w:rPr>
        <w:t>Требования к документации по ценообразованию</w:t>
      </w:r>
      <w:bookmarkEnd w:id="44"/>
      <w:r>
        <w:rPr>
          <w:lang w:val="ru-RU"/>
        </w:rPr>
        <w:t xml:space="preserve"> на этапе закупки</w:t>
      </w:r>
      <w:bookmarkEnd w:id="43"/>
    </w:p>
    <w:p>
      <w:pPr>
        <w:pStyle w:val="ListParagraph"/>
        <w:numPr>
          <w:ilvl w:val="1"/>
          <w:numId w:val="6"/>
        </w:numPr>
        <w:spacing w:before="0" w:after="120"/>
        <w:contextualSpacing w:val="false"/>
        <w:jc w:val="both"/>
        <w:rPr>
          <w:bCs/>
          <w:i/>
          <w:i/>
          <w:iCs/>
          <w:lang w:eastAsia="x-none"/>
        </w:rPr>
      </w:pPr>
      <w:r>
        <w:rPr>
          <w:bCs/>
          <w:i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numPr>
          <w:ilvl w:val="1"/>
          <w:numId w:val="6"/>
        </w:numPr>
        <w:spacing w:before="0" w:after="120"/>
        <w:contextualSpacing w:val="false"/>
        <w:jc w:val="both"/>
        <w:rPr>
          <w:bCs/>
          <w:i/>
          <w:i/>
          <w:iCs/>
          <w:lang w:eastAsia="x-none"/>
        </w:rPr>
      </w:pPr>
      <w:r>
        <w:rPr>
          <w:bCs/>
          <w:i/>
          <w:iCs/>
          <w:lang w:eastAsia="x-none"/>
        </w:rPr>
        <w:t xml:space="preserve">Ориентировочный объем («расчетный заказ»), указываемый в Коммерческом предложении в соответствии с Приложением № 1 к настоящим Техническим требованиям «Ассортиментный перечень Товаров», служит только для оценки и сопоставления предложений Участников по ценовому (стоимостному) критерию оценки «Цена» в соответствии с Приложением №6 к Документации о закупке «Порядок и критерии оценки и сопоставления заявок» (в договоре закрепляются </w:t>
      </w:r>
      <w:bookmarkStart w:id="45" w:name="_Hlk87531818"/>
      <w:r>
        <w:rPr>
          <w:bCs/>
          <w:i/>
          <w:iCs/>
          <w:lang w:eastAsia="x-none"/>
        </w:rPr>
        <w:t>единичные расценки товаров, предложенные в заявке Победителем</w:t>
      </w:r>
      <w:bookmarkEnd w:id="45"/>
      <w:r>
        <w:rPr>
          <w:bCs/>
          <w:i/>
          <w:iCs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>
      <w:pPr>
        <w:pStyle w:val="ListParagraph"/>
        <w:numPr>
          <w:ilvl w:val="1"/>
          <w:numId w:val="6"/>
        </w:numPr>
        <w:jc w:val="both"/>
        <w:rPr>
          <w:bCs/>
          <w:i/>
          <w:i/>
          <w:iCs/>
          <w:lang w:eastAsia="x-none"/>
        </w:rPr>
      </w:pPr>
      <w:bookmarkStart w:id="46" w:name="_Toc51339699"/>
      <w:bookmarkStart w:id="47" w:name="_Toc46743519"/>
      <w:r>
        <w:rPr>
          <w:bCs/>
          <w:i/>
          <w:iCs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товара, предусмотренные Проектом договора (Приложение №2 к Документации о закупке)</w:t>
      </w:r>
      <w:bookmarkStart w:id="48" w:name="_Ref40301253"/>
      <w:bookmarkEnd w:id="46"/>
      <w:bookmarkEnd w:id="47"/>
    </w:p>
    <w:p>
      <w:pPr>
        <w:pStyle w:val="Normal"/>
        <w:jc w:val="both"/>
        <w:rPr>
          <w:bCs/>
          <w:i/>
          <w:i/>
          <w:iCs/>
          <w:lang w:eastAsia="x-none"/>
        </w:rPr>
      </w:pPr>
      <w:r>
        <w:rPr>
          <w:bCs/>
          <w:i/>
          <w:iCs/>
          <w:lang w:eastAsia="x-none"/>
        </w:rPr>
      </w:r>
    </w:p>
    <w:p>
      <w:pPr>
        <w:pStyle w:val="Normal"/>
        <w:jc w:val="both"/>
        <w:rPr>
          <w:bCs/>
          <w:i/>
          <w:i/>
          <w:iCs/>
          <w:lang w:eastAsia="x-none"/>
        </w:rPr>
      </w:pPr>
      <w:r>
        <w:rPr>
          <w:bCs/>
          <w:i/>
          <w:iCs/>
          <w:lang w:eastAsia="x-none"/>
        </w:rPr>
      </w:r>
    </w:p>
    <w:tbl>
      <w:tblPr>
        <w:tblStyle w:val="affff4"/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11305"/>
      </w:tblGrid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Инженер-химик С ИЗПИ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________/В.П. Николаева/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«___»_________2026г.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Согласовал: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Начальник С ИЗПИ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________/И.П. Ушаков/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«___»_________2026г.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Согласовал: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Начальник ОКС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>
          <w:trHeight w:val="80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________/Э.А. Татаринов/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x-none" w:bidi="ar-SA"/>
              </w:rPr>
              <w:t>«___»_________2026г.</w:t>
            </w:r>
          </w:p>
        </w:tc>
        <w:tc>
          <w:tcPr>
            <w:tcW w:w="1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604" w:hanging="0"/>
              <w:jc w:val="both"/>
              <w:rPr>
                <w:bCs/>
                <w:iCs/>
                <w:lang w:eastAsia="x-none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val="ru-RU" w:eastAsia="x-none" w:bidi="ar-SA"/>
              </w:rPr>
            </w:r>
          </w:p>
        </w:tc>
      </w:tr>
    </w:tbl>
    <w:p>
      <w:pPr>
        <w:pStyle w:val="Normal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</w:r>
    </w:p>
    <w:p>
      <w:pPr>
        <w:pStyle w:val="Normal"/>
        <w:spacing w:before="0" w:after="240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sz w:val="15"/>
          <w:szCs w:val="15"/>
        </w:rPr>
      </w:r>
    </w:p>
    <w:p>
      <w:pPr>
        <w:pStyle w:val="Normal"/>
        <w:jc w:val="both"/>
        <w:rPr>
          <w:rFonts w:eastAsia="Calibri"/>
          <w:bCs/>
          <w:i/>
          <w:i/>
          <w:iCs/>
          <w:lang w:eastAsia="x-none"/>
        </w:rPr>
      </w:pPr>
      <w:r>
        <w:rPr>
          <w:rFonts w:eastAsia="Calibri"/>
          <w:bCs/>
          <w:i/>
          <w:iCs/>
          <w:lang w:eastAsia="x-none"/>
        </w:rPr>
      </w:r>
    </w:p>
    <w:p>
      <w:pPr>
        <w:pStyle w:val="Normal"/>
        <w:jc w:val="both"/>
        <w:rPr>
          <w:rFonts w:eastAsia="Calibri"/>
          <w:bCs/>
          <w:i/>
          <w:i/>
          <w:iCs/>
          <w:lang w:eastAsia="x-none"/>
        </w:rPr>
      </w:pPr>
      <w:r>
        <w:rPr>
          <w:rFonts w:eastAsia="Calibri"/>
          <w:bCs/>
          <w:i/>
          <w:iCs/>
          <w:lang w:eastAsia="x-none"/>
        </w:rPr>
      </w:r>
      <w:bookmarkEnd w:id="48"/>
    </w:p>
    <w:p>
      <w:pPr>
        <w:pStyle w:val="Normal"/>
        <w:spacing w:before="0" w:after="240"/>
        <w:rPr>
          <w:rFonts w:ascii="Arial" w:hAnsi="Arial" w:cs="Arial"/>
          <w:sz w:val="15"/>
          <w:szCs w:val="15"/>
          <w:lang w:val="en-US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77" w:leader="none"/>
        <w:tab w:val="right" w:pos="9355" w:leader="none"/>
        <w:tab w:val="left" w:pos="14742" w:leader="none"/>
      </w:tabs>
      <w:ind w:right="537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77" w:leader="none"/>
        <w:tab w:val="right" w:pos="9355" w:leader="none"/>
        <w:tab w:val="left" w:pos="14742" w:leader="none"/>
      </w:tabs>
      <w:ind w:right="537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77" w:leader="none"/>
        <w:tab w:val="right" w:pos="9355" w:leader="none"/>
        <w:tab w:val="left" w:pos="14742" w:leader="none"/>
      </w:tabs>
      <w:ind w:right="537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737B85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37B850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sid w:val="00430a0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5276ac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19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7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EndnoteReference" w:customStyle="1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2" w:customStyle="1">
    <w:name w:val="Ссылка указателя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5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6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7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9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0" w:customStyle="1">
    <w:name w:val="Раздел регламента"/>
    <w:basedOn w:val="Normal"/>
    <w:qFormat/>
    <w:rsid w:val="00e228fa"/>
    <w:pPr/>
    <w:rPr/>
  </w:style>
  <w:style w:type="paragraph" w:styleId="Style2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4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7" w:customStyle="1">
    <w:name w:val="Подподпункт"/>
    <w:basedOn w:val="Style19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8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9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0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1" w:customStyle="1">
    <w:name w:val="Содержимое врезки"/>
    <w:basedOn w:val="Normal"/>
    <w:qFormat/>
    <w:pPr/>
    <w:rPr/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1-3" w:customStyle="1">
    <w:name w:val="текст1-3"/>
    <w:basedOn w:val="Normal"/>
    <w:qFormat/>
    <w:rsid w:val="005504d4"/>
    <w:pPr>
      <w:spacing w:lineRule="auto" w:line="288" w:before="0" w:after="60"/>
      <w:ind w:firstLine="709"/>
      <w:jc w:val="both"/>
    </w:pPr>
    <w:rPr>
      <w:rFonts w:ascii="Times New Roman CYR" w:hAnsi="Times New Roman CYR" w:cs="Times New Roman CYR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BBB0-58E7-4513-A4D3-5AC7A777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AlterOffice/3.4.0.9$Linux_X86_64 LibreOffice_project/b8daf9e823b1a5463a2f48435ddc2e8696e7d4fc</Application>
  <AppVersion>15.0000</AppVersion>
  <Pages>9</Pages>
  <Words>1408</Words>
  <Characters>9749</Characters>
  <CharactersWithSpaces>10941</CharactersWithSpaces>
  <Paragraphs>233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2024-10-16T23:43:00Z</dcterms:created>
  <dc:creator>Быстров Олег Геннадьевич</dc:creator>
  <dc:description/>
  <dc:language>ru-RU</dc:language>
  <cp:lastModifiedBy>vasilevaiv@Elektra.local</cp:lastModifiedBy>
  <cp:lastPrinted>2025-05-21T07:13:00Z</cp:lastPrinted>
  <dcterms:modified xsi:type="dcterms:W3CDTF">2026-05-12T17:24:05Z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