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2" w:left="4678"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98562871"/>
      <w:bookmarkStart w:id="8" w:name="_Toc1375545841"/>
      <w:bookmarkStart w:id="9" w:name="_Toc1416967041"/>
      <w:bookmarkStart w:id="10" w:name="_Toc1398562871"/>
      <w:bookmarkStart w:id="11" w:name="_Toc1375545841"/>
      <w:bookmarkEnd w:id="9"/>
      <w:bookmarkEnd w:id="10"/>
      <w:bookmarkEnd w:id="11"/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bookmarkStart w:id="12" w:name="_Toc124846883"/>
      <w:bookmarkStart w:id="13" w:name="_Toc124592000"/>
      <w:bookmarkStart w:id="14" w:name="_Toc124591877"/>
      <w:r>
        <w:rPr>
          <w:b/>
        </w:rPr>
        <w:t>ТИПОВЫЕ ТЕХНИЧЕСКИЕ ТРЕБОВАНИЯ</w:t>
      </w:r>
      <w:bookmarkEnd w:id="12"/>
      <w:bookmarkEnd w:id="13"/>
      <w:bookmarkEnd w:id="14"/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9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</w:t>
      </w:r>
      <w:r>
        <w:rPr>
          <w:rStyle w:val="Style9"/>
          <w:rFonts w:eastAsia="Calibri"/>
          <w:b w:val="false"/>
          <w:i w:val="false"/>
          <w:sz w:val="26"/>
          <w:szCs w:val="26"/>
          <w:shd w:fill="auto" w:val="clear"/>
        </w:rPr>
        <w:t>26.</w:t>
      </w:r>
      <w:r>
        <w:rPr>
          <w:rStyle w:val="Style9"/>
          <w:rFonts w:eastAsia="Calibri"/>
          <w:b w:val="false"/>
          <w:i w:val="false"/>
          <w:sz w:val="26"/>
          <w:szCs w:val="26"/>
          <w:shd w:fill="auto" w:val="clear"/>
        </w:rPr>
        <w:t>20</w:t>
      </w:r>
      <w:r>
        <w:rPr>
          <w:rStyle w:val="Style9"/>
          <w:rFonts w:eastAsia="Calibri"/>
          <w:sz w:val="26"/>
          <w:szCs w:val="26"/>
          <w:shd w:fill="auto" w:val="clear"/>
        </w:rPr>
        <w:t xml:space="preserve"> </w:t>
      </w:r>
      <w:r>
        <w:rPr>
          <w:rStyle w:val="Style9"/>
          <w:rFonts w:eastAsia="Calibri"/>
          <w:b w:val="false"/>
          <w:i w:val="false"/>
          <w:sz w:val="26"/>
          <w:szCs w:val="26"/>
          <w:shd w:fill="auto" w:val="clear"/>
        </w:rPr>
        <w:t>Поставка радиоэлектронной продукции для нужд Исполнительного аппарата АО "Гидроремонт-ВКК"</w:t>
      </w:r>
    </w:p>
    <w:p>
      <w:pPr>
        <w:pStyle w:val="Normal"/>
        <w:keepNext w:val="true"/>
        <w:keepLines/>
        <w:jc w:val="center"/>
        <w:rPr>
          <w:i w:val="false"/>
          <w:i w:val="false"/>
          <w:iCs w:val="false"/>
        </w:rPr>
      </w:pPr>
      <w:r>
        <w:rPr>
          <w:rFonts w:eastAsia="Calibri"/>
          <w:b/>
          <w:i w:val="false"/>
          <w:iCs w:val="false"/>
          <w:sz w:val="26"/>
          <w:szCs w:val="26"/>
        </w:rPr>
        <w:t>Лот № 400</w:t>
      </w:r>
      <w:r>
        <w:rPr>
          <w:rFonts w:eastAsia="Calibri"/>
          <w:b/>
          <w:i w:val="false"/>
          <w:iCs w:val="false"/>
          <w:sz w:val="26"/>
          <w:szCs w:val="26"/>
        </w:rPr>
        <w:t>7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-ЭКСП ДИТ-2026-ГРВКК </w:t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14"/>
        </w:numPr>
        <w:ind w:hanging="360" w:left="3621"/>
        <w:rPr/>
      </w:pPr>
      <w:bookmarkStart w:id="15" w:name="_Toc124846884"/>
      <w:r>
        <w:rPr>
          <w:iCs/>
        </w:rPr>
        <w:t>Общие</w:t>
      </w:r>
      <w:r>
        <w:rPr/>
        <w:t xml:space="preserve"> сведения</w:t>
      </w:r>
      <w:bookmarkEnd w:id="15"/>
    </w:p>
    <w:p>
      <w:pPr>
        <w:pStyle w:val="Heading4"/>
        <w:numPr>
          <w:ilvl w:val="1"/>
          <w:numId w:val="15"/>
        </w:numPr>
        <w:rPr/>
      </w:pPr>
      <w:bookmarkStart w:id="16" w:name="_Toc75446568"/>
      <w:bookmarkStart w:id="17" w:name="_Toc46743506"/>
      <w:r>
        <w:rPr/>
        <w:t>Наименование закупаемой РЭП</w:t>
      </w:r>
      <w:bookmarkEnd w:id="16"/>
      <w:bookmarkEnd w:id="1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>ОКПД2 26.</w:t>
      </w:r>
      <w:r>
        <w:rPr/>
        <w:t>20</w:t>
      </w:r>
      <w:r>
        <w:rPr/>
        <w:t xml:space="preserve"> Поставка радиоэлектронной продукции для нужд АО «Гидроремонт-ВКК»: Оргтехника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</w:r>
    </w:p>
    <w:p>
      <w:pPr>
        <w:pStyle w:val="Heading4"/>
        <w:numPr>
          <w:ilvl w:val="1"/>
          <w:numId w:val="16"/>
        </w:numPr>
        <w:rPr/>
      </w:pPr>
      <w:bookmarkStart w:id="18" w:name="_Toc75446569"/>
      <w:bookmarkStart w:id="19" w:name="_Toc46743507"/>
      <w:r>
        <w:rPr/>
        <w:t xml:space="preserve">Цель </w:t>
      </w:r>
      <w:bookmarkEnd w:id="19"/>
      <w:r>
        <w:rPr/>
        <w:t xml:space="preserve">использования закупаемой РЭП </w:t>
      </w:r>
      <w:bookmarkEnd w:id="18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 xml:space="preserve">Обеспечение сотрудников АО «Гидроремонт-ВКК» (далее – Общество) РЭП для работы с информационными системами Общества.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9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Heading1"/>
        <w:numPr>
          <w:ilvl w:val="0"/>
          <w:numId w:val="17"/>
        </w:numPr>
        <w:ind w:hanging="360" w:left="3621"/>
        <w:rPr>
          <w:caps/>
        </w:rPr>
      </w:pPr>
      <w:bookmarkStart w:id="20" w:name="_Toc124846885"/>
      <w:bookmarkStart w:id="21" w:name="_Toc75446573"/>
      <w:bookmarkStart w:id="22" w:name="_Toc51339693"/>
      <w:bookmarkStart w:id="23" w:name="_Toc46743510"/>
      <w:bookmarkStart w:id="24" w:name="_Toc50125126"/>
      <w:bookmarkEnd w:id="23"/>
      <w:bookmarkEnd w:id="24"/>
      <w:r>
        <w:rPr/>
        <w:t xml:space="preserve">Требования к </w:t>
      </w:r>
      <w:bookmarkEnd w:id="20"/>
      <w:bookmarkEnd w:id="21"/>
      <w:bookmarkEnd w:id="22"/>
      <w:r>
        <w:rPr/>
        <w:t>РЭП</w:t>
      </w:r>
    </w:p>
    <w:p>
      <w:pPr>
        <w:pStyle w:val="Heading4"/>
        <w:numPr>
          <w:ilvl w:val="1"/>
          <w:numId w:val="18"/>
        </w:numPr>
        <w:rPr/>
      </w:pPr>
      <w:bookmarkStart w:id="25" w:name="_Toc75446574"/>
      <w:r>
        <w:rPr/>
        <w:t>Требования к объемам и срокам поставки</w:t>
      </w:r>
      <w:bookmarkEnd w:id="25"/>
    </w:p>
    <w:p>
      <w:pPr>
        <w:pStyle w:val="Heading3"/>
        <w:numPr>
          <w:ilvl w:val="2"/>
          <w:numId w:val="19"/>
        </w:numPr>
        <w:ind w:hanging="709" w:left="709"/>
        <w:rPr/>
      </w:pPr>
      <w:bookmarkStart w:id="26" w:name="_Toc124846886"/>
      <w:bookmarkStart w:id="27" w:name="_Toc75446575"/>
      <w:r>
        <w:rPr/>
        <w:t xml:space="preserve">Перечень и объем закупаемой </w:t>
      </w:r>
      <w:bookmarkEnd w:id="26"/>
      <w:bookmarkEnd w:id="27"/>
      <w:r>
        <w:rPr/>
        <w:t>РЭП</w:t>
      </w:r>
    </w:p>
    <w:p>
      <w:pPr>
        <w:pStyle w:val="Heading1"/>
        <w:tabs>
          <w:tab w:val="clear" w:pos="0"/>
        </w:tabs>
        <w:ind w:hanging="0" w:left="0"/>
        <w:rPr>
          <w:b w:val="false"/>
          <w:sz w:val="24"/>
          <w:szCs w:val="24"/>
        </w:rPr>
      </w:pPr>
      <w:bookmarkStart w:id="28" w:name="_Toc124846887"/>
      <w:bookmarkStart w:id="29" w:name="_Toc124591881"/>
      <w:bookmarkStart w:id="30" w:name="_Toc124591777"/>
      <w:bookmarkStart w:id="31" w:name="_Toc75446576"/>
      <w:bookmarkStart w:id="32" w:name="_Toc51339695"/>
      <w:r>
        <w:rPr>
          <w:b w:val="false"/>
          <w:sz w:val="24"/>
          <w:szCs w:val="24"/>
        </w:rPr>
        <w:t xml:space="preserve">Таблица 1.1. Перечень </w:t>
      </w:r>
      <w:bookmarkEnd w:id="32"/>
      <w:r>
        <w:rPr>
          <w:b w:val="false"/>
          <w:sz w:val="24"/>
          <w:szCs w:val="24"/>
        </w:rPr>
        <w:t xml:space="preserve">и объем закупаемой </w:t>
      </w:r>
      <w:bookmarkEnd w:id="28"/>
      <w:bookmarkEnd w:id="29"/>
      <w:bookmarkEnd w:id="30"/>
      <w:bookmarkEnd w:id="31"/>
      <w:r>
        <w:rPr>
          <w:b w:val="false"/>
          <w:sz w:val="24"/>
          <w:szCs w:val="24"/>
        </w:rPr>
        <w:t>РЭП</w:t>
      </w:r>
    </w:p>
    <w:tbl>
      <w:tblPr>
        <w:tblW w:w="99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8"/>
        <w:gridCol w:w="6861"/>
        <w:gridCol w:w="1242"/>
        <w:gridCol w:w="1083"/>
      </w:tblGrid>
      <w:tr>
        <w:trPr>
          <w:trHeight w:val="641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bookmarkStart w:id="33" w:name="_Toc75446578"/>
            <w:r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п/п</w:t>
              <w:tab/>
              <w:t>№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РЭП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>
        <w:trPr>
          <w:trHeight w:val="163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ОКПД2 26.20.17.110 Монитор стандартный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/>
            </w:pPr>
            <w:r>
              <w:rPr/>
              <w:t>12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</w:tr>
      <w:tr>
        <w:trPr>
          <w:trHeight w:val="163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ОКПД2 26.20.11.110 Ноутбук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</w:tr>
    </w:tbl>
    <w:p>
      <w:pPr>
        <w:pStyle w:val="Heading3"/>
        <w:numPr>
          <w:ilvl w:val="2"/>
          <w:numId w:val="20"/>
        </w:numPr>
        <w:ind w:hanging="709" w:left="709"/>
        <w:rPr/>
      </w:pPr>
      <w:bookmarkStart w:id="34" w:name="_Toc124846888"/>
      <w:bookmarkStart w:id="35" w:name="_Toc51339696"/>
      <w:r>
        <w:rPr/>
        <w:t xml:space="preserve">Требования </w:t>
      </w:r>
      <w:bookmarkEnd w:id="35"/>
      <w:r>
        <w:rPr/>
        <w:t xml:space="preserve">к срокам поставки </w:t>
      </w:r>
      <w:bookmarkEnd w:id="34"/>
      <w:r>
        <w:rPr/>
        <w:t xml:space="preserve">РЭП 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hanging="0" w:left="0"/>
        <w:rPr>
          <w:b w:val="false"/>
          <w:sz w:val="24"/>
          <w:szCs w:val="24"/>
        </w:rPr>
      </w:pPr>
      <w:bookmarkStart w:id="36" w:name="_Toc75446579"/>
      <w:bookmarkStart w:id="37" w:name="_Toc124591779"/>
      <w:bookmarkStart w:id="38" w:name="_Toc124591883"/>
      <w:bookmarkStart w:id="39" w:name="_Toc124846889"/>
      <w:bookmarkStart w:id="40" w:name="_Toc50125127"/>
      <w:bookmarkStart w:id="41" w:name="_Toc51339697"/>
      <w:r>
        <w:rPr>
          <w:b w:val="false"/>
          <w:sz w:val="24"/>
          <w:szCs w:val="24"/>
        </w:rPr>
        <w:t xml:space="preserve">Таблица 2.1 </w:t>
      </w:r>
      <w:bookmarkStart w:id="42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40"/>
      <w:bookmarkEnd w:id="41"/>
      <w:bookmarkEnd w:id="42"/>
      <w:r>
        <w:rPr>
          <w:b w:val="false"/>
          <w:sz w:val="24"/>
          <w:szCs w:val="24"/>
        </w:rPr>
        <w:t xml:space="preserve">поставки </w:t>
      </w:r>
      <w:bookmarkEnd w:id="36"/>
      <w:bookmarkEnd w:id="37"/>
      <w:bookmarkEnd w:id="38"/>
      <w:bookmarkEnd w:id="39"/>
      <w:r>
        <w:rPr>
          <w:b w:val="false"/>
          <w:sz w:val="24"/>
          <w:szCs w:val="24"/>
        </w:rPr>
        <w:t xml:space="preserve">РЭП </w:t>
      </w:r>
    </w:p>
    <w:tbl>
      <w:tblPr>
        <w:tblW w:w="99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4699"/>
        <w:gridCol w:w="2162"/>
        <w:gridCol w:w="2325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РЭП / партии РЭП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РЭП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РЭП</w:t>
            </w:r>
          </w:p>
        </w:tc>
      </w:tr>
      <w:tr>
        <w:trPr>
          <w:trHeight w:val="130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jc w:val="center"/>
              <w:rPr/>
            </w:pPr>
            <w:r>
              <w:rPr/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Оборудование, указанное в таблице 1.1. технических требований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позднее 30 календарных дней c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37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22"/>
        </w:numPr>
        <w:rPr>
          <w:lang w:val="x-none" w:eastAsia="x-none"/>
        </w:rPr>
      </w:pPr>
      <w:bookmarkStart w:id="43" w:name="_Toc75446581"/>
      <w:bookmarkStart w:id="44" w:name="_Toc46743511"/>
      <w:bookmarkStart w:id="45" w:name="_Toc51339698"/>
      <w:bookmarkStart w:id="46" w:name="_Toc4674351011"/>
      <w:bookmarkStart w:id="47" w:name="_Toc5012512611"/>
      <w:bookmarkStart w:id="48" w:name="_Toc501251311"/>
      <w:bookmarkEnd w:id="45"/>
      <w:bookmarkEnd w:id="46"/>
      <w:bookmarkEnd w:id="47"/>
      <w:bookmarkEnd w:id="48"/>
      <w:r>
        <w:rPr/>
        <w:t xml:space="preserve">Требования к </w:t>
      </w:r>
      <w:bookmarkEnd w:id="44"/>
      <w:r>
        <w:rPr/>
        <w:t>качеству РЭП</w:t>
      </w:r>
      <w:bookmarkEnd w:id="43"/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</w:r>
      <w:bookmarkStart w:id="49" w:name="_Toc5012513111"/>
      <w:bookmarkStart w:id="50" w:name="_Toc513396981"/>
      <w:bookmarkStart w:id="51" w:name="_Toc5012513111"/>
      <w:bookmarkStart w:id="52" w:name="_Toc513396981"/>
      <w:bookmarkEnd w:id="51"/>
      <w:bookmarkEnd w:id="52"/>
    </w:p>
    <w:p>
      <w:pPr>
        <w:pStyle w:val="Normal"/>
        <w:jc w:val="both"/>
        <w:rPr>
          <w:b/>
          <w:bCs/>
          <w:iCs/>
        </w:rPr>
      </w:pPr>
      <w:bookmarkStart w:id="53" w:name="_Toc124591884"/>
      <w:bookmarkStart w:id="54" w:name="_Toc75446582"/>
      <w:bookmarkStart w:id="55" w:name="_Hlk139011554"/>
      <w:r>
        <w:rPr>
          <w:b/>
          <w:bCs/>
          <w:iCs/>
        </w:rPr>
        <w:t>Таблица 3. Требования к РЭП</w:t>
      </w:r>
      <w:bookmarkEnd w:id="53"/>
      <w:bookmarkEnd w:id="54"/>
      <w:bookmarkEnd w:id="55"/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  <w:t xml:space="preserve">Наименование РЭП (в соответствие с данными таблицы 1.1. «Перечень и объем закупаемой РЭП») </w:t>
      </w:r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</w:r>
      <w:bookmarkStart w:id="56" w:name="_Hlk139010596"/>
      <w:bookmarkStart w:id="57" w:name="_Hlk139010596"/>
      <w:bookmarkEnd w:id="57"/>
    </w:p>
    <w:tbl>
      <w:tblPr>
        <w:tblStyle w:val="aff7"/>
        <w:tblW w:w="15165" w:type="dxa"/>
        <w:jc w:val="left"/>
        <w:tblInd w:w="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288"/>
        <w:gridCol w:w="4550"/>
        <w:gridCol w:w="2812"/>
        <w:gridCol w:w="2400"/>
        <w:gridCol w:w="2265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2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Наименование параметра</w:t>
            </w:r>
          </w:p>
        </w:tc>
        <w:tc>
          <w:tcPr>
            <w:tcW w:w="45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Требование заказчика</w:t>
            </w:r>
          </w:p>
        </w:tc>
        <w:tc>
          <w:tcPr>
            <w:tcW w:w="74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lang w:val="ru-RU" w:bidi="ar-SA"/>
              </w:rPr>
              <w:t>1</w:t>
            </w:r>
          </w:p>
        </w:tc>
        <w:tc>
          <w:tcPr>
            <w:tcW w:w="2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2</w:t>
            </w:r>
          </w:p>
        </w:tc>
        <w:tc>
          <w:tcPr>
            <w:tcW w:w="4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3</w:t>
            </w:r>
          </w:p>
        </w:tc>
        <w:tc>
          <w:tcPr>
            <w:tcW w:w="2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4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5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8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8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ОКПД2 26.20.17.110 Монитор стандартный с характеристиками: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Основные характеристики</w:t>
            </w:r>
          </w:p>
        </w:tc>
        <w:tc>
          <w:tcPr>
            <w:tcW w:w="455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Тип – настольный широкоформатный жидкокристаллический монитор;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Подсветка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LED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Диагональ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27 дюймов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Поддерживаемое разрешение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2560×1440 точек гор*верт или больше (2к, 4к)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Соотношение сторон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16:9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Глубина цвета матрицы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16.7 млн цветов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Тип матрицы экрана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IPS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Угол обзора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178°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Яркость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300 кд/м2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Контрастность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1000:1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Время отклика матрицы монитора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более 5 мс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Наличие входов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HDMI не менее 1 и/или DisplayPort не менее 1 Подключение монитора к поставляемому системному блоку должно производиться посредством кабеля без использования дополнительных переходников.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Страна происхождения оборудования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Поставляемое оборудование должно быть внесено в Единый реестр радиоэлектронной продукции, что подтверждается реестровой записью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Предоставить действующую запись из реестра Минпромторга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83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ОКПД2 26.20.11.110 Ноутбук с характеристиками: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Диагональ экрана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15 дюймов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Процессор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Intel® Core i5- 12 поколения или выше, или аналог по производительности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Поддержка ОС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ОС семейства Linux AlterOS из единого реестра российских программ для электронных вычислительных машин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Оперативная память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не менее 16 Gb DDR4 с частотой не менее 2666 МГц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Жесткий диск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SSD, не менее 512 ГБ, форм-фактор M.2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Звук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встроенный аудио контроллер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Тип графического контроллера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Интегрированный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Fonts w:eastAsia="Tahoma"/>
                <w:color w:val="000000"/>
                <w:kern w:val="0"/>
                <w:sz w:val="20"/>
                <w:lang w:val="ru-RU" w:bidi="ru-RU"/>
              </w:rPr>
              <w:t>ОС, программное обеспечение,</w:t>
            </w:r>
            <w:r>
              <w:rPr>
                <w:kern w:val="0"/>
                <w:sz w:val="20"/>
                <w:lang w:val="ru-RU" w:bidi="ar-SA"/>
              </w:rPr>
              <w:t xml:space="preserve"> поставляемое с системным блоком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Без операционной системы или Free DOS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Сумка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Наличие сумки для транспортировки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bidi w:val="0"/>
              <w:spacing w:before="60" w:after="60"/>
              <w:ind w:firstLine="57" w:left="-113" w:right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Страна происхождения оборудования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Поставляемое оборудование должно быть внесено в Единый реестр радиоэлектронной продукции, что подтверждается реестровой записью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Предоставить действующую запись из реестра Минпромторга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Предоставить действующую запись из реестра Минпромторга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доставке, транспортировке, приемке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628" w:hRule="atLeast"/>
        </w:trPr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Start w:id="58" w:name="_Hlk131603857"/>
            <w:bookmarkStart w:id="59" w:name="_Hlk131603857"/>
            <w:bookmarkEnd w:id="59"/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Место поставки</w:t>
            </w:r>
          </w:p>
        </w:tc>
        <w:tc>
          <w:tcPr>
            <w:tcW w:w="4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АО «Гидроремонт – ВКК», РФ, г Нижний Новгород, пер Мотальный 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Рабочие дни с 9-00 до 15-00 по предварительному уведомлению</w:t>
            </w: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по телефону или электронной почте не позднее предыдущего рабочего дня до прибытия транспорта.</w:t>
            </w:r>
          </w:p>
        </w:tc>
        <w:tc>
          <w:tcPr>
            <w:tcW w:w="28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7" w:hRule="atLeast"/>
        </w:trPr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Поставка</w:t>
            </w:r>
          </w:p>
        </w:tc>
        <w:tc>
          <w:tcPr>
            <w:tcW w:w="4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Сроки поставки на объект согласно пункту 2.1.2</w:t>
            </w:r>
          </w:p>
        </w:tc>
        <w:tc>
          <w:tcPr>
            <w:tcW w:w="28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92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Приемка</w:t>
            </w:r>
          </w:p>
        </w:tc>
        <w:tc>
          <w:tcPr>
            <w:tcW w:w="4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Приемка РЭП осуществляется только в рабочие дни: понедельник – пятница с 9 до 12-00 и с 13-00 до 17-00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Проверяется соответствие РЭП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x-none" w:bidi="ar-SA"/>
              </w:rPr>
              <w:t>- РЭП должна быть новой, ранее не использовавшейся.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0" w:name="_Hlk1316038571"/>
            <w:bookmarkStart w:id="61" w:name="_Hlk1316038571"/>
            <w:bookmarkEnd w:id="61"/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628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Гарантия</w:t>
            </w:r>
          </w:p>
        </w:tc>
        <w:tc>
          <w:tcPr>
            <w:tcW w:w="4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не менее </w:t>
            </w:r>
            <w:r>
              <w:rPr>
                <w:kern w:val="0"/>
                <w:sz w:val="20"/>
                <w:szCs w:val="20"/>
                <w:lang w:val="ru-RU" w:bidi="ar-SA"/>
              </w:rPr>
              <w:t>12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изготовителя(производителя) РЭП.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 состав гарантии должно входить следующее: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— </w:t>
            </w:r>
            <w:r>
              <w:rPr>
                <w:kern w:val="0"/>
                <w:sz w:val="20"/>
                <w:szCs w:val="20"/>
                <w:lang w:val="ru-RU" w:bidi="ar-SA"/>
              </w:rPr>
              <w:t>замена вышедшего из строя модуля (меняется деталь в оборудовании) в течении 2-х недель;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— </w:t>
            </w:r>
            <w:r>
              <w:rPr>
                <w:kern w:val="0"/>
                <w:sz w:val="20"/>
                <w:szCs w:val="20"/>
                <w:lang w:val="ru-RU" w:bidi="ar-SA"/>
              </w:rPr>
              <w:t>полная замена оборудования (если аппарат неисправен, перестал работать) в течении 2-х недель;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— </w:t>
            </w:r>
            <w:r>
              <w:rPr>
                <w:kern w:val="0"/>
                <w:sz w:val="20"/>
                <w:szCs w:val="20"/>
                <w:lang w:val="ru-RU" w:bidi="ar-SA"/>
              </w:rPr>
              <w:t>удаленная диагностика (консультация по телефону);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— </w:t>
            </w:r>
            <w:r>
              <w:rPr>
                <w:kern w:val="0"/>
                <w:sz w:val="20"/>
                <w:szCs w:val="20"/>
                <w:lang w:val="ru-RU" w:bidi="ar-SA"/>
              </w:rPr>
              <w:t>забор оборудования у клиента для последующей диагностики и ремонта.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Время приема обращений — 8/5 по московскому времени, максимальное время реакции на обращение — следующий рабочий день.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комплектации и документам, поставляемым вместе с РЭП</w:t>
            </w:r>
          </w:p>
        </w:tc>
        <w:tc>
          <w:tcPr>
            <w:tcW w:w="28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Документ о качестве РЭП</w:t>
            </w:r>
          </w:p>
        </w:tc>
        <w:tc>
          <w:tcPr>
            <w:tcW w:w="455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При поставке РЭП должна быть укомплектована документами на русском языке, удостоверяющими качество РЭП и гарантийные обязательства производителя, выданными производителем РЭП.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Предоставляется при поставке РЭП: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- Паспорт и Руководство пользователя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Предоставить документы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Документы, ссылка на РЭП в реестре РЭП</w:t>
            </w:r>
          </w:p>
        </w:tc>
        <w:tc>
          <w:tcPr>
            <w:tcW w:w="45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Копия заключения Минпромторга России о подтверждении производства промышленной РЭП на территории Российской Федерации или ссылка страницу РЭП в едином реестре российской радиоэлектронной РЭП: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6">
              <w:r>
                <w:rPr>
                  <w:kern w:val="0"/>
                  <w:sz w:val="20"/>
                  <w:szCs w:val="20"/>
                  <w:lang w:val="ru-RU" w:bidi="ar-SA"/>
                </w:rPr>
                <w:t>https://gisp.gov.ru/</w:t>
              </w:r>
            </w:hyperlink>
          </w:p>
        </w:tc>
        <w:tc>
          <w:tcPr>
            <w:tcW w:w="2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Предоставить действующую запись из реестра Минпромторга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23"/>
        </w:numPr>
        <w:ind w:hanging="0" w:left="0"/>
        <w:rPr>
          <w:lang w:val="x-none" w:eastAsia="x-none"/>
        </w:rPr>
      </w:pPr>
      <w:bookmarkStart w:id="62" w:name="_Toc124846890"/>
      <w:r>
        <w:rPr/>
        <w:t>Требования к документации по ценообразованию на этапе закупки.</w:t>
      </w:r>
      <w:bookmarkEnd w:id="6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3.1. В обоснование стоимости своей заявки Участник предоставляет Коммерческое предложение в свободной форме.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lang w:eastAsia="x-none"/>
        </w:rPr>
      </w:pPr>
      <w:bookmarkStart w:id="63" w:name="_Hlk88327292"/>
      <w:r>
        <w:rPr>
          <w:rFonts w:eastAsia="Calibri"/>
          <w:lang w:eastAsia="x-none"/>
        </w:rPr>
        <w:t>3.2. Дополнительные документы по ценообразованию</w:t>
      </w:r>
      <w:bookmarkEnd w:id="63"/>
      <w:r>
        <w:rPr>
          <w:rFonts w:eastAsia="Calibri"/>
          <w:lang w:eastAsia="x-none"/>
        </w:rPr>
        <w:t xml:space="preserve"> в состав заявки не включаются.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Разработал главный эксперт</w:t>
      </w:r>
    </w:p>
    <w:p>
      <w:pPr>
        <w:pStyle w:val="Normal"/>
        <w:rPr>
          <w:lang w:val="x-none" w:eastAsia="x-none"/>
        </w:rPr>
      </w:pPr>
      <w:r>
        <w:rPr/>
        <w:t xml:space="preserve">отдела цифровой трансформации </w:t>
        <w:tab/>
        <w:tab/>
        <w:tab/>
        <w:tab/>
        <w:tab/>
        <w:t>Федоров В.А.</w:t>
      </w:r>
    </w:p>
    <w:p>
      <w:pPr>
        <w:pStyle w:val="Normal"/>
        <w:rPr>
          <w:lang w:val="x-none" w:eastAsia="x-none"/>
        </w:rPr>
      </w:pPr>
      <w:r>
        <w:rPr/>
        <w:t xml:space="preserve">Согласовано начальник </w:t>
      </w:r>
    </w:p>
    <w:p>
      <w:pPr>
        <w:pStyle w:val="Normal"/>
        <w:rPr>
          <w:b/>
        </w:rPr>
      </w:pPr>
      <w:r>
        <w:rPr/>
        <w:t>отдела цифровой трансформации</w:t>
        <w:tab/>
        <w:tab/>
        <w:tab/>
        <w:tab/>
        <w:tab/>
        <w:t>Волков М.Е.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992" w:right="567" w:gutter="0" w:header="680" w:top="737" w:footer="794" w:bottom="135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9701447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7911250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  <w:rFonts w:ascii="Times New Roman" w:hAnsi="Times New Roman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15" w:hanging="432"/>
      </w:pPr>
      <w:rPr>
        <w:sz w:val="20"/>
        <w:b w:val="false"/>
        <w:szCs w:val="20"/>
        <w:bCs/>
        <w:rFonts w:ascii="Times New Roman" w:hAnsi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0"/>
    <w:lvlOverride w:ilvl="0">
      <w:startOverride w:val="1"/>
    </w:lvlOverride>
  </w:num>
  <w:num w:numId="22">
    <w:abstractNumId w:val="3"/>
  </w:num>
  <w:num w:numId="2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d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8c19e2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5201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8c19e2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</w:rPr>
  </w:style>
  <w:style w:type="paragraph" w:styleId="Heading4">
    <w:name w:val="Heading 4"/>
    <w:basedOn w:val="Heading3"/>
    <w:next w:val="Normal"/>
    <w:link w:val="4"/>
    <w:qFormat/>
    <w:rsid w:val="008c19e2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c19e2"/>
    <w:rPr>
      <w:rFonts w:ascii="Times New Roman" w:hAnsi="Times New Roman" w:eastAsia="Calibri" w:cs="Times New Roman"/>
      <w:b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8c19e2"/>
    <w:rPr>
      <w:rFonts w:ascii="Times New Roman" w:hAnsi="Times New Roman" w:eastAsia="Calibri" w:cs="Times New Roman"/>
      <w:b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e5201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8c19e2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Style5" w:customStyle="1">
    <w:name w:val="Абзац списка Знак"/>
    <w:link w:val="ListParagraph"/>
    <w:uiPriority w:val="34"/>
    <w:qFormat/>
    <w:locked/>
    <w:rsid w:val="00726006"/>
    <w:rPr>
      <w:rFonts w:ascii="Symbol" w:hAnsi="Symbol" w:eastAsia="Times New Roman" w:cs="Times New Roman"/>
      <w:sz w:val="26"/>
      <w:szCs w:val="26"/>
      <w:lang w:eastAsia="ru-RU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2350a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55ce0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qFormat/>
    <w:rsid w:val="00555ce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555ce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комментарий"/>
    <w:qFormat/>
    <w:rsid w:val="00726006"/>
    <w:rPr>
      <w:b/>
      <w:i/>
      <w:shd w:fill="FFFF99" w:val="clear"/>
    </w:rPr>
  </w:style>
  <w:style w:type="character" w:styleId="11" w:customStyle="1">
    <w:name w:val="Гиперссылка1"/>
    <w:uiPriority w:val="99"/>
    <w:qFormat/>
    <w:rsid w:val="00e52016"/>
    <w:rPr>
      <w:color w:val="0000FF"/>
      <w:u w:val="single"/>
    </w:rPr>
  </w:style>
  <w:style w:type="character" w:styleId="Style10" w:customStyle="1">
    <w:name w:val="Верхний колонтитул Знак"/>
    <w:basedOn w:val="DefaultParagraphFont"/>
    <w:qFormat/>
    <w:rsid w:val="00c443e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c443e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443ea"/>
    <w:rPr/>
  </w:style>
  <w:style w:type="character" w:styleId="Style12" w:customStyle="1">
    <w:name w:val="Текст сноски Знак"/>
    <w:basedOn w:val="DefaultParagraphFont"/>
    <w:qFormat/>
    <w:rsid w:val="00ec27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ec2704"/>
    <w:rPr>
      <w:vertAlign w:val="superscript"/>
    </w:rPr>
  </w:style>
  <w:style w:type="character" w:styleId="Linenumber1" w:customStyle="1">
    <w:name w:val="line number1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uiPriority w:val="99"/>
    <w:unhideWhenUsed/>
    <w:qFormat/>
    <w:rsid w:val="002b3d55"/>
    <w:pPr>
      <w:spacing w:beforeAutospacing="1" w:afterAutospacing="1"/>
    </w:pPr>
    <w:rPr/>
  </w:style>
  <w:style w:type="paragraph" w:styleId="ListParagraph">
    <w:name w:val="List Paragraph"/>
    <w:basedOn w:val="Normal"/>
    <w:link w:val="Style5"/>
    <w:uiPriority w:val="34"/>
    <w:qFormat/>
    <w:rsid w:val="002b3d55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2350a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7"/>
    <w:uiPriority w:val="99"/>
    <w:unhideWhenUsed/>
    <w:qFormat/>
    <w:rsid w:val="00555c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555ce0"/>
    <w:pPr/>
    <w:rPr>
      <w:b/>
      <w:bCs/>
    </w:rPr>
  </w:style>
  <w:style w:type="paragraph" w:styleId="Revision">
    <w:name w:val="Revision"/>
    <w:uiPriority w:val="99"/>
    <w:semiHidden/>
    <w:qFormat/>
    <w:rsid w:val="002674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rsid w:val="00e52016"/>
    <w:pPr>
      <w:spacing w:before="120" w:after="0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e52016"/>
    <w:pPr>
      <w:ind w:hanging="0" w:left="28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52016"/>
    <w:pPr>
      <w:ind w:hanging="0" w:left="560"/>
    </w:pPr>
    <w:rPr>
      <w:rFonts w:cs="Calibri" w:cstheme="minorHAnsi"/>
      <w:sz w:val="20"/>
      <w:szCs w:val="20"/>
    </w:rPr>
  </w:style>
  <w:style w:type="paragraph" w:styleId="NoSpacing">
    <w:name w:val="No Spacing"/>
    <w:uiPriority w:val="1"/>
    <w:qFormat/>
    <w:rsid w:val="009070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c443e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rsid w:val="00c443ea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Style18" w:customStyle="1">
    <w:name w:val="Таблица шапка"/>
    <w:basedOn w:val="Normal"/>
    <w:qFormat/>
    <w:rsid w:val="00c443ea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2"/>
    <w:rsid w:val="00ec2704"/>
    <w:pPr>
      <w:suppressAutoHyphens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uiPriority w:val="39"/>
    <w:rsid w:val="002b3d5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yperlink" Target="https://gisp.gov.ru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97D8-0678-48BD-8652-83F09C4E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AlterOffice/2026.1.0.0$Linux_X86_64 LibreOffice_project/a0185688e0f3f228c7940c57a96eaa0ebba58757</Application>
  <AppVersion>15.0000</AppVersion>
  <Pages>6</Pages>
  <Words>918</Words>
  <Characters>6045</Characters>
  <CharactersWithSpaces>6735</CharactersWithSpaces>
  <Paragraphs>249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2024-06-03T14:17:00Z</dcterms:created>
  <dc:creator>Лопаткин Роман Александрович</dc:creator>
  <dc:description/>
  <dc:language>ru-RU</dc:language>
  <cp:lastModifiedBy>fedorovva@corp.gidroogk.com</cp:lastModifiedBy>
  <cp:lastPrinted>2025-08-18T12:38:00Z</cp:lastPrinted>
  <dcterms:modified xsi:type="dcterms:W3CDTF">2026-05-12T11:52:19Z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