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6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  <Override PartName="/customXml/_rels/item6.xml.rels" ContentType="application/vnd.openxmlformats-package.relationships+xml"/>
  <Override PartName="/customXml/_rels/item5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6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954" w:firstLine="427"/>
        <w:jc w:val="both"/>
        <w:rPr>
          <w:rFonts w:ascii="Times New Roman" w:hAnsi="Times New Roman" w:cs="Times New Roman"/>
          <w:b/>
          <w:sz w:val="24"/>
          <w:szCs w:val="24"/>
          <w:lang w:val="x-none" w:eastAsia="ru-RU"/>
        </w:rPr>
      </w:pPr>
      <w:r>
        <w:rPr>
          <w:rFonts w:cs="Times New Roman"/>
          <w:b/>
          <w:sz w:val="24"/>
          <w:szCs w:val="24"/>
          <w:lang w:val="x-none" w:eastAsia="ru-RU"/>
        </w:rPr>
      </w:r>
    </w:p>
    <w:p>
      <w:pPr>
        <w:pStyle w:val="Normal"/>
        <w:ind w:left="5954" w:firstLine="427"/>
        <w:jc w:val="both"/>
        <w:rPr>
          <w:rFonts w:ascii="Times New Roman" w:hAnsi="Times New Roman" w:cs="Times New Roman"/>
          <w:b/>
          <w:sz w:val="24"/>
          <w:szCs w:val="24"/>
          <w:lang w:val="x-none" w:eastAsia="ru-RU"/>
        </w:rPr>
      </w:pPr>
      <w:r>
        <w:rPr>
          <w:rFonts w:cs="Times New Roman"/>
          <w:b/>
          <w:sz w:val="24"/>
          <w:szCs w:val="24"/>
          <w:lang w:val="x-none" w:eastAsia="ru-RU"/>
        </w:rPr>
      </w:r>
    </w:p>
    <w:p>
      <w:pPr>
        <w:pStyle w:val="Normal"/>
        <w:ind w:left="5954" w:firstLine="427"/>
        <w:jc w:val="both"/>
        <w:rPr>
          <w:rFonts w:ascii="Times New Roman" w:hAnsi="Times New Roman" w:cs="Times New Roman"/>
          <w:b/>
          <w:sz w:val="24"/>
          <w:szCs w:val="24"/>
          <w:lang w:val="x-none" w:eastAsia="ru-RU"/>
        </w:rPr>
      </w:pPr>
      <w:r>
        <w:rPr>
          <w:rFonts w:cs="Times New Roman"/>
          <w:b/>
          <w:sz w:val="24"/>
          <w:szCs w:val="24"/>
          <w:lang w:val="x-none" w:eastAsia="ru-RU"/>
        </w:rPr>
      </w:r>
    </w:p>
    <w:p>
      <w:pPr>
        <w:pStyle w:val="Normal"/>
        <w:ind w:left="5954" w:firstLine="427"/>
        <w:jc w:val="both"/>
        <w:rPr>
          <w:rFonts w:ascii="Times New Roman" w:hAnsi="Times New Roman" w:cs="Times New Roman"/>
          <w:b/>
          <w:sz w:val="24"/>
          <w:szCs w:val="24"/>
          <w:lang w:val="x-none" w:eastAsia="ru-RU"/>
        </w:rPr>
      </w:pPr>
      <w:r>
        <w:rPr>
          <w:rFonts w:cs="Times New Roman"/>
          <w:b/>
          <w:sz w:val="24"/>
          <w:szCs w:val="24"/>
          <w:lang w:val="x-none" w:eastAsia="ru-RU"/>
        </w:rPr>
      </w:r>
    </w:p>
    <w:p>
      <w:pPr>
        <w:pStyle w:val="Normal"/>
        <w:ind w:left="5954" w:firstLine="427"/>
        <w:jc w:val="both"/>
        <w:rPr>
          <w:rFonts w:ascii="Times New Roman" w:hAnsi="Times New Roman" w:cs="Times New Roman"/>
          <w:b/>
          <w:sz w:val="24"/>
          <w:szCs w:val="24"/>
          <w:lang w:val="x-none" w:eastAsia="ru-RU"/>
        </w:rPr>
      </w:pPr>
      <w:r>
        <w:rPr>
          <w:rFonts w:cs="Times New Roman"/>
          <w:b/>
          <w:sz w:val="24"/>
          <w:szCs w:val="24"/>
          <w:lang w:val="x-none" w:eastAsia="ru-RU"/>
        </w:rPr>
      </w:r>
    </w:p>
    <w:p>
      <w:pPr>
        <w:pStyle w:val="Normal"/>
        <w:ind w:left="5954" w:firstLine="427"/>
        <w:jc w:val="both"/>
        <w:rPr>
          <w:rFonts w:ascii="Times New Roman" w:hAnsi="Times New Roman" w:cs="Times New Roman"/>
          <w:b/>
          <w:sz w:val="24"/>
          <w:szCs w:val="24"/>
          <w:lang w:val="x-none" w:eastAsia="ru-RU"/>
        </w:rPr>
      </w:pPr>
      <w:r>
        <w:rPr>
          <w:rFonts w:cs="Times New Roman"/>
          <w:b/>
          <w:sz w:val="24"/>
          <w:szCs w:val="24"/>
          <w:lang w:val="x-none" w:eastAsia="ru-RU"/>
        </w:rPr>
      </w:r>
    </w:p>
    <w:p>
      <w:pPr>
        <w:pStyle w:val="Normal"/>
        <w:ind w:left="5954" w:firstLine="427"/>
        <w:jc w:val="both"/>
        <w:rPr>
          <w:rFonts w:ascii="Times New Roman" w:hAnsi="Times New Roman" w:cs="Times New Roman"/>
          <w:b/>
          <w:sz w:val="24"/>
          <w:szCs w:val="24"/>
          <w:lang w:val="x-none" w:eastAsia="ru-RU"/>
        </w:rPr>
      </w:pPr>
      <w:r>
        <w:rPr>
          <w:rFonts w:cs="Times New Roman"/>
          <w:b/>
          <w:sz w:val="24"/>
          <w:szCs w:val="24"/>
          <w:lang w:val="x-none" w:eastAsia="ru-RU"/>
        </w:rPr>
      </w:r>
    </w:p>
    <w:p>
      <w:pPr>
        <w:pStyle w:val="Normal"/>
        <w:ind w:left="5954" w:firstLine="427"/>
        <w:jc w:val="both"/>
        <w:rPr>
          <w:rFonts w:ascii="Times New Roman" w:hAnsi="Times New Roman" w:cs="Times New Roman"/>
          <w:b/>
          <w:sz w:val="24"/>
          <w:szCs w:val="24"/>
          <w:lang w:val="x-none" w:eastAsia="ru-RU"/>
        </w:rPr>
      </w:pPr>
      <w:r>
        <w:rPr>
          <w:rFonts w:cs="Times New Roman"/>
          <w:b/>
          <w:sz w:val="24"/>
          <w:szCs w:val="24"/>
          <w:lang w:val="x-none" w:eastAsia="ru-RU"/>
        </w:rPr>
      </w:r>
    </w:p>
    <w:p>
      <w:pPr>
        <w:pStyle w:val="Normal"/>
        <w:ind w:left="5954" w:firstLine="427"/>
        <w:jc w:val="both"/>
        <w:rPr>
          <w:rFonts w:ascii="Times New Roman" w:hAnsi="Times New Roman" w:cs="Times New Roman"/>
          <w:b/>
          <w:sz w:val="24"/>
          <w:szCs w:val="24"/>
          <w:lang w:val="x-none" w:eastAsia="ru-RU"/>
        </w:rPr>
      </w:pPr>
      <w:r>
        <w:rPr>
          <w:rFonts w:cs="Times New Roman"/>
          <w:b/>
          <w:sz w:val="24"/>
          <w:szCs w:val="24"/>
          <w:lang w:val="x-none" w:eastAsia="ru-RU"/>
        </w:rPr>
      </w:r>
    </w:p>
    <w:p>
      <w:pPr>
        <w:pStyle w:val="Normal"/>
        <w:ind w:left="5954" w:firstLine="427"/>
        <w:jc w:val="both"/>
        <w:rPr>
          <w:rFonts w:ascii="Times New Roman" w:hAnsi="Times New Roman" w:cs="Times New Roman"/>
          <w:b/>
          <w:sz w:val="24"/>
          <w:szCs w:val="24"/>
          <w:lang w:val="x-none" w:eastAsia="ru-RU"/>
        </w:rPr>
      </w:pPr>
      <w:r>
        <w:rPr>
          <w:rFonts w:cs="Times New Roman"/>
          <w:b/>
          <w:sz w:val="24"/>
          <w:szCs w:val="24"/>
          <w:lang w:val="x-none" w:eastAsia="ru-RU"/>
        </w:rPr>
      </w:r>
    </w:p>
    <w:p>
      <w:pPr>
        <w:pStyle w:val="Normal"/>
        <w:ind w:left="5954" w:firstLine="427"/>
        <w:jc w:val="both"/>
        <w:rPr>
          <w:rFonts w:ascii="Times New Roman" w:hAnsi="Times New Roman" w:cs="Times New Roman"/>
          <w:b/>
          <w:sz w:val="24"/>
          <w:szCs w:val="24"/>
          <w:lang w:val="x-none" w:eastAsia="ru-RU"/>
        </w:rPr>
      </w:pPr>
      <w:r>
        <w:rPr>
          <w:rFonts w:cs="Times New Roman"/>
          <w:b/>
          <w:sz w:val="24"/>
          <w:szCs w:val="24"/>
          <w:lang w:val="x-none"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x-none" w:eastAsia="ru-RU"/>
        </w:rPr>
      </w:pPr>
      <w:r>
        <w:rPr>
          <w:rFonts w:cs="Times New Roman" w:ascii="Times New Roman" w:hAnsi="Times New Roman"/>
          <w:b/>
          <w:sz w:val="24"/>
          <w:szCs w:val="24"/>
          <w:lang w:val="x-none" w:eastAsia="ru-RU"/>
        </w:rPr>
      </w:r>
      <w:bookmarkStart w:id="0" w:name="_Toc141696708"/>
      <w:bookmarkStart w:id="1" w:name="_Toc137554588"/>
      <w:bookmarkStart w:id="2" w:name="_Toc139856291"/>
      <w:bookmarkStart w:id="3" w:name="_Toc141696708"/>
      <w:bookmarkStart w:id="4" w:name="_Toc137554588"/>
      <w:bookmarkStart w:id="5" w:name="_Toc139856291"/>
      <w:bookmarkEnd w:id="3"/>
      <w:bookmarkEnd w:id="4"/>
      <w:bookmarkEnd w:id="5"/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>ТЕХНИЧЕСКИЕ ТРЕБОВАНИЯ</w:t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Лот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«ОКПД2 </w:t>
      </w:r>
      <w:r>
        <w:rPr>
          <w:rFonts w:cs="Times New Roman" w:ascii="Times New Roman" w:hAnsi="Times New Roman"/>
          <w:b/>
          <w:bCs/>
          <w:color w:val="222222"/>
          <w:sz w:val="24"/>
          <w:szCs w:val="24"/>
        </w:rPr>
        <w:t xml:space="preserve">95.21.10.120 </w:t>
      </w:r>
      <w:r>
        <w:rPr>
          <w:rFonts w:cs="Times New Roman" w:ascii="Times New Roman" w:hAnsi="Times New Roman"/>
          <w:b/>
          <w:bCs/>
          <w:sz w:val="24"/>
          <w:szCs w:val="24"/>
        </w:rPr>
        <w:t>Услуги по обслуживанию и ремонту видеорегистраторов и терминалов»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г.Каспийск 2026г.</w:t>
      </w:r>
      <w:r>
        <w:br w:type="page"/>
      </w:r>
    </w:p>
    <w:p>
      <w:pPr>
        <w:pStyle w:val="Normal"/>
        <w:widowControl w:val="false"/>
        <w:numPr>
          <w:ilvl w:val="0"/>
          <w:numId w:val="2"/>
        </w:numPr>
        <w:spacing w:before="120" w:after="0"/>
        <w:ind w:left="357" w:hanging="357"/>
        <w:rPr>
          <w:b/>
          <w:bCs/>
          <w:lang w:eastAsia="en-US"/>
        </w:rPr>
      </w:pPr>
      <w:r>
        <w:rPr>
          <w:b/>
          <w:bCs/>
          <w:lang w:eastAsia="en-US"/>
        </w:rPr>
        <w:t>Наименование закупаемой услуги</w:t>
      </w:r>
    </w:p>
    <w:p>
      <w:pPr>
        <w:pStyle w:val="Normal"/>
        <w:widowControl w:val="false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Услуги по обслуживанию и ремонту видеорегистраторов МАВР Юпитер 7410 и терминалов зарядки и выгрузки данных Юпитер 7436, находящихся в офисах филиала ПАО «РусГидро» - «Дагестанский филиал».</w:t>
      </w:r>
    </w:p>
    <w:p>
      <w:pPr>
        <w:pStyle w:val="Normal"/>
        <w:widowControl w:val="false"/>
        <w:numPr>
          <w:ilvl w:val="0"/>
          <w:numId w:val="2"/>
        </w:numPr>
        <w:spacing w:before="120" w:after="0"/>
        <w:ind w:left="357" w:hanging="357"/>
        <w:rPr>
          <w:b/>
          <w:bCs/>
          <w:lang w:eastAsia="en-US"/>
        </w:rPr>
      </w:pPr>
      <w:r>
        <w:rPr>
          <w:b/>
          <w:bCs/>
          <w:lang w:eastAsia="en-US"/>
        </w:rPr>
        <w:t>Заказчик (подразделение Заказчика)</w:t>
      </w:r>
    </w:p>
    <w:p>
      <w:pPr>
        <w:pStyle w:val="Normal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2.1 Заказчик: Публичное акционерное общество «Федеральная гидрогенерирующая компания-РусГидро» (ПАО «РусГидро»).</w:t>
      </w:r>
    </w:p>
    <w:p>
      <w:pPr>
        <w:pStyle w:val="Normal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Подразделение Заказчика: </w:t>
      </w:r>
    </w:p>
    <w:p>
      <w:pPr>
        <w:pStyle w:val="Normal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Филиал ПАО «РусГидро» - «Дагестанский филиал», (далее - Покупатель), 368300, Республика Дагестан, г. Каспийск, ул. Халилова д.5.</w:t>
      </w:r>
    </w:p>
    <w:p>
      <w:pPr>
        <w:pStyle w:val="Normal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2.2 Адрес месторасположения подразделения Заказчика:</w:t>
      </w:r>
    </w:p>
    <w:p>
      <w:pPr>
        <w:pStyle w:val="ListParagraph"/>
        <w:ind w:left="360" w:hanging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Республика Дагестан:</w:t>
      </w:r>
    </w:p>
    <w:p>
      <w:pPr>
        <w:pStyle w:val="ListParagraph"/>
        <w:ind w:left="360" w:hanging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 Аппарат управления филиала, 368300, г.Каспийск, ул.Халилова д.5;</w:t>
      </w:r>
    </w:p>
    <w:p>
      <w:pPr>
        <w:pStyle w:val="ListParagraph"/>
        <w:ind w:left="360" w:hanging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 ОП «Чиркейская ГЭС», 368152, Казбековский район, п.Дубки;</w:t>
      </w:r>
    </w:p>
    <w:p>
      <w:pPr>
        <w:pStyle w:val="ListParagraph"/>
        <w:ind w:left="360" w:hanging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 ОП «Ирганайская ГЭС», 368950, Унцукульский район, пос.Шамилькала;</w:t>
      </w:r>
    </w:p>
    <w:p>
      <w:pPr>
        <w:pStyle w:val="ListParagraph"/>
        <w:ind w:left="360" w:hanging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 ОП «Каскад Сулакских ГЭС», 368101, г.Кизилюрт, сел.Ст.Бавтугай, ул.Интернатская, 1в.</w:t>
      </w:r>
    </w:p>
    <w:p>
      <w:pPr>
        <w:pStyle w:val="Normal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Здания с ограниченным допуском. Проход в здания осуществляется на основании пропусков, оформленных на основании паспортов Российской Федерации.</w:t>
      </w:r>
    </w:p>
    <w:p>
      <w:pPr>
        <w:pStyle w:val="Normal"/>
        <w:widowControl w:val="false"/>
        <w:numPr>
          <w:ilvl w:val="0"/>
          <w:numId w:val="2"/>
        </w:numPr>
        <w:spacing w:before="120" w:after="0"/>
        <w:ind w:left="357" w:hanging="357"/>
        <w:rPr>
          <w:b/>
          <w:bCs/>
          <w:lang w:eastAsia="en-US"/>
        </w:rPr>
      </w:pPr>
      <w:r>
        <w:rPr>
          <w:b/>
          <w:bCs/>
          <w:lang w:eastAsia="en-US"/>
        </w:rPr>
        <w:t>Цели и задачи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/>
        <w:t>Восстановление технических свойств оборудования;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/>
        <w:t>Возобновление потребительских качеств оборудования;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/>
        <w:t>Снижение затрат на покупку нового дорогостоящего оборудования, в тех случаях где возможен ремонт;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/>
        <w:t>Ремонт оборудования, являющегося частью программно-аппаратного комплекса;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/>
        <w:t>Диагностика и экспертное заключение по целесообразности проведения ремонтных работ.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9"/>
          <w:tab w:val="left" w:pos="426" w:leader="none"/>
        </w:tabs>
        <w:spacing w:before="120" w:after="0"/>
        <w:ind w:left="357" w:hanging="357"/>
        <w:rPr>
          <w:b/>
          <w:bCs/>
          <w:lang w:eastAsia="en-US"/>
        </w:rPr>
      </w:pPr>
      <w:r>
        <w:rPr>
          <w:b/>
          <w:bCs/>
          <w:lang w:eastAsia="en-US"/>
        </w:rPr>
        <w:t>Требования к закупаемым услугам (технические и иные характеристики)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/>
        <w:t>Ремонт оборудования производится по заявке Заказчика (Приложение №1).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/>
        <w:t xml:space="preserve">При передаче оборудования в ремонт сервисный инженер подрядной организации должен оформить акт приема оборудования с указанием даты время и внешних характеристик объекта. 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/>
        <w:t xml:space="preserve">В конце каждого квартала подрядная организация должна выставить счет Заказчику согласно перечню выполненных работ по заявкам, в котором отражается все отремонтированное оборудование. </w:t>
      </w:r>
    </w:p>
    <w:p>
      <w:pPr>
        <w:pStyle w:val="Normal"/>
        <w:numPr>
          <w:ilvl w:val="1"/>
          <w:numId w:val="4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>
          <w:spacing w:val="-6"/>
        </w:rPr>
        <w:t xml:space="preserve">Перечень услуг по ремонту </w:t>
      </w:r>
      <w:r>
        <w:rPr/>
        <w:t>оборудования</w:t>
      </w:r>
      <w:r>
        <w:rPr>
          <w:spacing w:val="-6"/>
        </w:rPr>
        <w:t xml:space="preserve"> приведен в Приложении №2.</w:t>
      </w:r>
    </w:p>
    <w:p>
      <w:pPr>
        <w:pStyle w:val="Normal"/>
        <w:numPr>
          <w:ilvl w:val="1"/>
          <w:numId w:val="5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>
          <w:spacing w:val="-6"/>
        </w:rPr>
        <w:t>Передача оборудования в ремонт производится по адресу, указанному в пункте 2.2 в соответствии с наименованием подразделения Заказчика в согласованной Сторонами заявке на ремонт (Приложение №1).</w:t>
      </w:r>
    </w:p>
    <w:p>
      <w:pPr>
        <w:pStyle w:val="Normal"/>
        <w:numPr>
          <w:ilvl w:val="1"/>
          <w:numId w:val="5"/>
        </w:numPr>
        <w:tabs>
          <w:tab w:val="clear" w:pos="709"/>
          <w:tab w:val="left" w:pos="426" w:leader="none"/>
        </w:tabs>
        <w:ind w:left="0" w:hanging="0"/>
        <w:jc w:val="both"/>
        <w:rPr/>
      </w:pPr>
      <w:r>
        <w:rPr/>
        <w:t>Ремонт должен быть произведён с использованием только высококачественных материалов и комплектующих, быть сертифицированным и обеспеченным гарантийными талонами сервисных центров производителя, ввезённым по официальным каналам поставок производителя.</w:t>
      </w:r>
    </w:p>
    <w:p>
      <w:pPr>
        <w:pStyle w:val="Normal"/>
        <w:widowControl w:val="false"/>
        <w:numPr>
          <w:ilvl w:val="0"/>
          <w:numId w:val="5"/>
        </w:numPr>
        <w:spacing w:before="120" w:after="0"/>
        <w:ind w:left="357" w:hanging="357"/>
        <w:rPr>
          <w:b/>
          <w:bCs/>
          <w:lang w:eastAsia="en-US"/>
        </w:rPr>
      </w:pPr>
      <w:r>
        <w:rPr>
          <w:b/>
          <w:bCs/>
          <w:lang w:eastAsia="en-US"/>
        </w:rPr>
        <w:t>Сроки выполнения работ (поставки товаров, оказания услуг)</w:t>
      </w:r>
    </w:p>
    <w:p>
      <w:pPr>
        <w:pStyle w:val="Normal"/>
        <w:tabs>
          <w:tab w:val="clear" w:pos="709"/>
          <w:tab w:val="left" w:pos="142" w:leader="none"/>
          <w:tab w:val="left" w:pos="426" w:leader="none"/>
        </w:tabs>
        <w:spacing w:before="0" w:after="0"/>
        <w:contextualSpacing/>
        <w:jc w:val="both"/>
        <w:rPr>
          <w:color w:val="000000"/>
        </w:rPr>
      </w:pPr>
      <w:r>
        <w:rPr/>
        <w:t xml:space="preserve">5.1. </w:t>
      </w:r>
      <w:r>
        <w:rPr>
          <w:color w:val="000000"/>
        </w:rPr>
        <w:t>Сроки оказания Услуг:</w:t>
      </w:r>
    </w:p>
    <w:p>
      <w:pPr>
        <w:pStyle w:val="ListParagraph"/>
        <w:numPr>
          <w:ilvl w:val="0"/>
          <w:numId w:val="8"/>
        </w:numPr>
        <w:spacing w:before="120" w:after="0"/>
        <w:contextualSpacing/>
        <w:jc w:val="both"/>
        <w:rPr/>
      </w:pPr>
      <w:r>
        <w:rPr/>
        <w:t xml:space="preserve">Начало оказания Услуг: </w:t>
      </w:r>
      <w:r>
        <w:rPr>
          <w:color w:val="000000"/>
        </w:rPr>
        <w:t>день, следующий за днем заключения Договора</w:t>
      </w:r>
      <w:r>
        <w:rPr/>
        <w:t>;</w:t>
      </w:r>
    </w:p>
    <w:p>
      <w:pPr>
        <w:pStyle w:val="ListParagraph"/>
        <w:numPr>
          <w:ilvl w:val="0"/>
          <w:numId w:val="8"/>
        </w:numPr>
        <w:spacing w:before="120" w:after="0"/>
        <w:contextualSpacing/>
        <w:jc w:val="both"/>
        <w:rPr/>
      </w:pPr>
      <w:r>
        <w:rPr/>
        <w:t xml:space="preserve">Окончание оказания Услуг: 31.12.2026. </w:t>
      </w:r>
    </w:p>
    <w:p>
      <w:pPr>
        <w:pStyle w:val="ListParagraph"/>
        <w:spacing w:before="120" w:after="0"/>
        <w:ind w:left="720" w:hanging="0"/>
        <w:contextualSpacing/>
        <w:jc w:val="both"/>
        <w:rPr/>
      </w:pPr>
      <w:r>
        <w:rPr/>
      </w:r>
    </w:p>
    <w:p>
      <w:pPr>
        <w:pStyle w:val="ListParagraph"/>
        <w:numPr>
          <w:ilvl w:val="1"/>
          <w:numId w:val="9"/>
        </w:numPr>
        <w:spacing w:before="120" w:after="0"/>
        <w:ind w:left="0" w:hanging="0"/>
        <w:contextualSpacing/>
        <w:jc w:val="both"/>
        <w:rPr/>
      </w:pPr>
      <w:r>
        <w:rPr/>
        <w:t>Требования по срокам ремонта: сервисный инженер подрядной организации при получении оборудования в ремонт должен приступить к ремонту в течение 48 часов с момента получения заявки;</w:t>
      </w:r>
    </w:p>
    <w:p>
      <w:pPr>
        <w:pStyle w:val="ListParagraph"/>
        <w:numPr>
          <w:ilvl w:val="1"/>
          <w:numId w:val="9"/>
        </w:numPr>
        <w:ind w:left="0" w:hanging="0"/>
        <w:jc w:val="both"/>
        <w:rPr/>
      </w:pPr>
      <w:r>
        <w:rPr/>
        <w:t xml:space="preserve">Срок ремонта определяется в зависимости от сложности и наличия запасных частей, однако после определения причины неисправности он не должен превышать 30 рабочих дней. </w:t>
      </w:r>
    </w:p>
    <w:p>
      <w:pPr>
        <w:pStyle w:val="Normal"/>
        <w:numPr>
          <w:ilvl w:val="0"/>
          <w:numId w:val="9"/>
        </w:numPr>
        <w:spacing w:before="120" w:after="0"/>
        <w:ind w:left="0" w:hanging="0"/>
        <w:rPr>
          <w:b/>
          <w:bCs/>
          <w:lang w:eastAsia="en-US"/>
        </w:rPr>
      </w:pPr>
      <w:r>
        <w:rPr>
          <w:b/>
          <w:bCs/>
          <w:lang w:eastAsia="en-US"/>
        </w:rPr>
        <w:t>Требования к предоставлению гарантий качества услуг:</w:t>
      </w:r>
    </w:p>
    <w:p>
      <w:pPr>
        <w:pStyle w:val="NormalWeb"/>
        <w:numPr>
          <w:ilvl w:val="1"/>
          <w:numId w:val="11"/>
        </w:numPr>
        <w:spacing w:beforeAutospacing="0" w:before="0" w:afterAutospacing="0" w:after="0"/>
        <w:ind w:left="0" w:hanging="0"/>
        <w:jc w:val="both"/>
        <w:rPr/>
      </w:pPr>
      <w:r>
        <w:rPr/>
        <w:t xml:space="preserve">Гарантийный срок на оказываемые услуги должен составлять не менее 3 (трех) календарных месяцев с даты подписания Сторонами Акта об оказании Услуг. Исполнитель обеспечивает качество ремонта, в том числе нормальную и бесперебойную работу, в течение всего гарантийного срока при условии соблюдения Заказчиком правил эксплуатации оборудования. </w:t>
      </w:r>
    </w:p>
    <w:p>
      <w:pPr>
        <w:pStyle w:val="NormalWeb"/>
        <w:numPr>
          <w:ilvl w:val="1"/>
          <w:numId w:val="11"/>
        </w:numPr>
        <w:spacing w:beforeAutospacing="0" w:before="0" w:afterAutospacing="0" w:after="0"/>
        <w:ind w:left="0" w:hanging="0"/>
        <w:jc w:val="both"/>
        <w:rPr/>
      </w:pPr>
      <w:r>
        <w:rPr/>
        <w:t>Выявление при независимой экспертной оценке неквалифицированного ремонта, повлекшего повторный выход из строя оборудования влечёт за собой возврат всей техники, находящейся у подрядчика и является основанием для расторжения договора в одностороннем порядке.</w:t>
      </w:r>
    </w:p>
    <w:p>
      <w:pPr>
        <w:pStyle w:val="ListParagraph"/>
        <w:keepNext w:val="true"/>
        <w:numPr>
          <w:ilvl w:val="0"/>
          <w:numId w:val="10"/>
        </w:numPr>
        <w:spacing w:before="120" w:after="0"/>
        <w:ind w:left="0" w:hanging="0"/>
        <w:jc w:val="both"/>
        <w:rPr>
          <w:b/>
        </w:rPr>
      </w:pPr>
      <w:r>
        <w:rPr>
          <w:b/>
        </w:rPr>
        <w:t>Требования к запасным частям и упаковке:</w:t>
      </w:r>
    </w:p>
    <w:p>
      <w:pPr>
        <w:pStyle w:val="ListParagraph"/>
        <w:keepNext w:val="true"/>
        <w:numPr>
          <w:ilvl w:val="1"/>
          <w:numId w:val="10"/>
        </w:numPr>
        <w:ind w:left="0" w:hanging="0"/>
        <w:jc w:val="both"/>
        <w:rPr/>
      </w:pPr>
      <w:r>
        <w:rPr/>
        <w:t>Все используемые при ремонте запасные части должны быть новыми, не использованными ранее.</w:t>
      </w:r>
    </w:p>
    <w:p>
      <w:pPr>
        <w:pStyle w:val="ListParagraph"/>
        <w:keepNext w:val="true"/>
        <w:numPr>
          <w:ilvl w:val="1"/>
          <w:numId w:val="10"/>
        </w:numPr>
        <w:ind w:left="0" w:hanging="0"/>
        <w:jc w:val="both"/>
        <w:rPr/>
      </w:pPr>
      <w:r>
        <w:rPr/>
        <w:t>Запасные части по своим потребительским и техническим свойствам должны быть не хуже требований заказчика, либо превосходить их.</w:t>
      </w:r>
    </w:p>
    <w:p>
      <w:pPr>
        <w:pStyle w:val="ListParagraph"/>
        <w:keepNext w:val="true"/>
        <w:numPr>
          <w:ilvl w:val="1"/>
          <w:numId w:val="10"/>
        </w:numPr>
        <w:ind w:left="0" w:hanging="0"/>
        <w:jc w:val="both"/>
        <w:rPr/>
      </w:pPr>
      <w:r>
        <w:rPr/>
        <w:t>Все запасные части должны отвечать требованиям международных стандартов и иметь сертификаты, разрешающие их применение в Российской Федерации.</w:t>
      </w:r>
    </w:p>
    <w:p>
      <w:pPr>
        <w:pStyle w:val="ListParagraph"/>
        <w:keepNext w:val="true"/>
        <w:numPr>
          <w:ilvl w:val="1"/>
          <w:numId w:val="10"/>
        </w:numPr>
        <w:ind w:left="0" w:hanging="0"/>
        <w:jc w:val="both"/>
        <w:rPr/>
      </w:pPr>
      <w:r>
        <w:rPr/>
        <w:t>В случае если запасные части на указанные модели устройств в Приложении №2 к техническим требованиям сняты с производства, Участник должен известить Заказчика и предложить другую соответствующую техническими параметрами модель.</w:t>
      </w:r>
    </w:p>
    <w:p>
      <w:pPr>
        <w:pStyle w:val="Normal"/>
        <w:keepNext w:val="true"/>
        <w:ind w:left="360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426" w:leader="none"/>
        </w:tabs>
        <w:rPr>
          <w:b/>
        </w:rPr>
      </w:pPr>
      <w:r>
        <w:rPr>
          <w:b/>
        </w:rPr>
      </w:r>
    </w:p>
    <w:p>
      <w:pPr>
        <w:pStyle w:val="Normal"/>
        <w:keepNext w:val="true"/>
        <w:numPr>
          <w:ilvl w:val="0"/>
          <w:numId w:val="3"/>
        </w:num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Требования к Участнику (поставщику, исполнителю)</w:t>
      </w:r>
    </w:p>
    <w:p>
      <w:pPr>
        <w:pStyle w:val="ListParagraph"/>
        <w:widowControl w:val="false"/>
        <w:numPr>
          <w:ilvl w:val="0"/>
          <w:numId w:val="7"/>
        </w:numPr>
        <w:tabs>
          <w:tab w:val="left" w:pos="709" w:leader="none"/>
        </w:tabs>
        <w:spacing w:before="120" w:after="120"/>
        <w:contextualSpacing/>
        <w:rPr>
          <w:b/>
          <w:bCs/>
          <w:vanish/>
          <w:lang w:eastAsia="en-US"/>
        </w:rPr>
      </w:pPr>
      <w:r>
        <w:rPr>
          <w:b/>
          <w:bCs/>
          <w:vanish/>
          <w:lang w:eastAsia="en-US"/>
        </w:rPr>
      </w:r>
    </w:p>
    <w:p>
      <w:pPr>
        <w:pStyle w:val="ListParagraph"/>
        <w:widowControl w:val="false"/>
        <w:numPr>
          <w:ilvl w:val="0"/>
          <w:numId w:val="7"/>
        </w:numPr>
        <w:tabs>
          <w:tab w:val="left" w:pos="709" w:leader="none"/>
        </w:tabs>
        <w:spacing w:before="120" w:after="120"/>
        <w:contextualSpacing/>
        <w:rPr>
          <w:b/>
          <w:bCs/>
          <w:vanish/>
          <w:lang w:eastAsia="en-US"/>
        </w:rPr>
      </w:pPr>
      <w:r>
        <w:rPr>
          <w:b/>
          <w:bCs/>
          <w:vanish/>
          <w:lang w:eastAsia="en-US"/>
        </w:rPr>
      </w:r>
    </w:p>
    <w:p>
      <w:pPr>
        <w:pStyle w:val="Normal"/>
        <w:widowControl w:val="false"/>
        <w:numPr>
          <w:ilvl w:val="1"/>
          <w:numId w:val="16"/>
        </w:numPr>
        <w:tabs>
          <w:tab w:val="left" w:pos="709" w:leader="none"/>
        </w:tabs>
        <w:spacing w:before="120" w:after="120"/>
        <w:contextualSpacing/>
        <w:rPr/>
      </w:pPr>
      <w:r>
        <w:rPr>
          <w:b/>
          <w:bCs/>
          <w:lang w:eastAsia="en-US"/>
        </w:rPr>
        <w:t>Квалификационные обязательные требования:</w:t>
      </w:r>
    </w:p>
    <w:p>
      <w:pPr>
        <w:pStyle w:val="Normal"/>
        <w:widowControl w:val="false"/>
        <w:numPr>
          <w:ilvl w:val="2"/>
          <w:numId w:val="17"/>
        </w:numPr>
        <w:spacing w:before="0" w:after="0"/>
        <w:contextualSpacing/>
        <w:jc w:val="both"/>
        <w:rPr>
          <w:shd w:fill="FFFF00" w:val="clear"/>
        </w:rPr>
      </w:pPr>
      <w:r>
        <w:rPr/>
        <w:t>Представительство и сервисный центр должны находиться в г. Махачкале и г. Каспийске.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"/>
        <w:keepNext w:val="true"/>
        <w:numPr>
          <w:ilvl w:val="0"/>
          <w:numId w:val="3"/>
        </w:numPr>
        <w:spacing w:before="120" w:after="0"/>
        <w:ind w:left="357" w:hanging="357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Требования к документам по ценообразованию</w:t>
      </w:r>
    </w:p>
    <w:p>
      <w:pPr>
        <w:pStyle w:val="ListParagraph"/>
        <w:numPr>
          <w:ilvl w:val="0"/>
          <w:numId w:val="6"/>
        </w:numPr>
        <w:jc w:val="both"/>
        <w:rPr>
          <w:vanish/>
        </w:rPr>
      </w:pPr>
      <w:r>
        <w:rPr>
          <w:vanish/>
        </w:rPr>
      </w:r>
    </w:p>
    <w:p>
      <w:pPr>
        <w:pStyle w:val="ListParagraph"/>
        <w:numPr>
          <w:ilvl w:val="0"/>
          <w:numId w:val="6"/>
        </w:numPr>
        <w:jc w:val="both"/>
        <w:rPr>
          <w:vanish/>
        </w:rPr>
      </w:pPr>
      <w:r>
        <w:rPr>
          <w:vanish/>
        </w:rPr>
      </w:r>
    </w:p>
    <w:p>
      <w:pPr>
        <w:pStyle w:val="Normal"/>
        <w:ind w:right="57" w:hanging="0"/>
        <w:jc w:val="both"/>
        <w:rPr/>
      </w:pPr>
      <w:r>
        <w:rPr/>
        <w:t>9.1 Участник должен подготовить и обязательно предоставить в составе своей заявки «Сводную таблицу стоимости оказываемых Услуг - Расчет ассортиментного перечня Услуг с учетом ориентировочного годового объема поставки» в соответствии с Приложением №2 к настоящим Техническим требованиям, в котором должны быть заполнены все столбцы (с первого по восьмой).</w:t>
      </w:r>
    </w:p>
    <w:p>
      <w:pPr>
        <w:pStyle w:val="Normal"/>
        <w:ind w:right="57" w:hanging="0"/>
        <w:jc w:val="both"/>
        <w:rPr/>
      </w:pPr>
      <w:r>
        <w:rPr/>
        <w:t>9.2 В стоимость предлагаемых услуг должны войти все предполагаемые расходы и затраты, связанные с исполнением условий договора, включая расходы на доставку по адресу, погрузочно-разгрузочные работы, налоги, сборы, страхование, таможенные пошлины и иные платежи.</w:t>
      </w:r>
    </w:p>
    <w:p>
      <w:pPr>
        <w:pStyle w:val="Normal"/>
        <w:ind w:right="57" w:hanging="0"/>
        <w:jc w:val="both"/>
        <w:rPr/>
      </w:pPr>
      <w:r>
        <w:rPr/>
        <w:t>9.3 Ориентировочный годовой объем закупаемой Услуги («расчетный заказ»), указанный в столбце 6 (шесть) Приложения № 2 настоящего Технического требования служит только для оценки и сопоставления предложений Участников, единичные расценки из приведенного в Приложении №2 к настоящим Техническим требованиям перечня услуг закрепляются в договоре.</w:t>
      </w:r>
    </w:p>
    <w:p>
      <w:pPr>
        <w:pStyle w:val="Normal"/>
        <w:jc w:val="both"/>
        <w:rPr/>
      </w:pPr>
      <w:r>
        <w:rPr/>
        <w:t>9.4 Расчет стоимости заявки Участника осуществляется согласно единичным расценкам из заявки победителя.</w:t>
      </w:r>
    </w:p>
    <w:p>
      <w:pPr>
        <w:pStyle w:val="Normal"/>
        <w:ind w:right="57" w:hanging="0"/>
        <w:jc w:val="both"/>
        <w:rPr/>
      </w:pPr>
      <w:r>
        <w:rPr/>
        <w:t>9.5 При условии соответствия заявок Участников требованиям Документации о закупке, выбор победителя будет осуществляться исходя из минимально предложенной Участником общей суммы заявки, представленной в соответствии с Приложением №2 настоящих Технических требований по итоговой/общей стоимости в руб. без НДС.</w:t>
      </w:r>
    </w:p>
    <w:p>
      <w:pPr>
        <w:pStyle w:val="Normal"/>
        <w:tabs>
          <w:tab w:val="clear" w:pos="709"/>
          <w:tab w:val="left" w:pos="284" w:leader="none"/>
        </w:tabs>
        <w:spacing w:lineRule="auto" w:line="252" w:before="0" w:after="160"/>
        <w:ind w:right="57" w:hanging="0"/>
        <w:jc w:val="both"/>
        <w:rPr>
          <w:b/>
        </w:rPr>
      </w:pPr>
      <w:r>
        <w:rPr>
          <w:rFonts w:eastAsia="Calibri"/>
          <w:lang w:eastAsia="en-US"/>
        </w:rPr>
        <w:t xml:space="preserve">9.6 </w:t>
      </w:r>
      <w:r>
        <w:rPr/>
        <w:t>В случае победы Участника, величина предложенных им единичных расценок без НДС, приведенных в Приложении №2 (столбец 4) настоящих Технических требованиях, будет закреплена в Договоре с предельной стоимостью начальной максимальной цены лота.</w:t>
      </w:r>
    </w:p>
    <w:p>
      <w:pPr>
        <w:pStyle w:val="Normal"/>
        <w:widowControl w:val="false"/>
        <w:numPr>
          <w:ilvl w:val="0"/>
          <w:numId w:val="12"/>
        </w:numPr>
        <w:spacing w:before="120" w:after="12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Иные требования и условия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10.1 Перечень предоставляемых услуг по ремонту оборудования, указанный в Приложении №2 является ориентировочным и не ограничивается им.</w:t>
      </w:r>
      <w:r>
        <w:br w:type="page"/>
      </w:r>
    </w:p>
    <w:p>
      <w:pPr>
        <w:pStyle w:val="NormalWeb"/>
        <w:spacing w:beforeAutospacing="0" w:before="0" w:afterAutospacing="0" w:after="0"/>
        <w:ind w:firstLine="709"/>
        <w:jc w:val="right"/>
        <w:rPr/>
      </w:pPr>
      <w:r>
        <w:rPr>
          <w:b/>
        </w:rPr>
        <w:t>Приложение №1</w:t>
      </w:r>
    </w:p>
    <w:p>
      <w:pPr>
        <w:pStyle w:val="Normal"/>
        <w:ind w:firstLine="709"/>
        <w:jc w:val="right"/>
        <w:rPr/>
      </w:pPr>
      <w:r>
        <w:rPr/>
        <w:t>к Техническим требованиям</w:t>
      </w:r>
    </w:p>
    <w:p>
      <w:pPr>
        <w:pStyle w:val="Normal"/>
        <w:ind w:firstLine="709"/>
        <w:jc w:val="right"/>
        <w:rPr/>
      </w:pPr>
      <w:r>
        <w:rPr/>
      </w:r>
    </w:p>
    <w:p>
      <w:pPr>
        <w:pStyle w:val="Normal"/>
        <w:ind w:firstLine="709"/>
        <w:jc w:val="right"/>
        <w:rPr/>
      </w:pPr>
      <w:r>
        <w:rPr/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  <w:t>Заявка на ремонт № ___ от  «___» ________ 20__ г.</w:t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  <w:t>по Договору № ____ от  «___» _______ 20__ г.</w:t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  <w:t>_______________________________________</w:t>
      </w:r>
    </w:p>
    <w:p>
      <w:pPr>
        <w:pStyle w:val="Normal"/>
        <w:ind w:firstLine="709"/>
        <w:jc w:val="center"/>
        <w:rPr>
          <w:vertAlign w:val="superscript"/>
        </w:rPr>
      </w:pPr>
      <w:r>
        <w:rPr>
          <w:vertAlign w:val="superscript"/>
        </w:rPr>
        <w:t>название и адрес подразделения Заказчика</w:t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</w:r>
    </w:p>
    <w:tbl>
      <w:tblPr>
        <w:tblW w:w="97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0"/>
        <w:gridCol w:w="3026"/>
        <w:gridCol w:w="1370"/>
        <w:gridCol w:w="893"/>
        <w:gridCol w:w="1149"/>
        <w:gridCol w:w="2774"/>
      </w:tblGrid>
      <w:tr>
        <w:trPr>
          <w:trHeight w:val="887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п/п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Наименование, комплектность устройства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Серийный номер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Ед. изм.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</w:t>
            </w:r>
            <w:r>
              <w:rPr>
                <w:bCs/>
                <w:color w:val="000000"/>
                <w:lang w:val="en-US"/>
              </w:rPr>
              <w:t>ичест</w:t>
            </w:r>
            <w:r>
              <w:rPr>
                <w:bCs/>
                <w:color w:val="000000"/>
              </w:rPr>
              <w:t>во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Заявленная проблема</w:t>
            </w:r>
          </w:p>
        </w:tc>
      </w:tr>
      <w:tr>
        <w:trPr>
          <w:trHeight w:val="29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</w:tr>
      <w:tr>
        <w:trPr>
          <w:trHeight w:val="29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</w:tr>
      <w:tr>
        <w:trPr>
          <w:trHeight w:val="29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</w:tr>
      <w:tr>
        <w:trPr>
          <w:trHeight w:val="29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</w:tc>
      </w:tr>
    </w:tbl>
    <w:p>
      <w:pPr>
        <w:pStyle w:val="Normal"/>
        <w:ind w:firstLine="709"/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ind w:firstLine="709"/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</w:rPr>
      </w:pPr>
      <w:r>
        <w:rPr>
          <w:b/>
        </w:rPr>
        <w:t>Передано всего оборудования в ремонт ___________ позиций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Особые условия поставки: ____________________________</w:t>
      </w:r>
    </w:p>
    <w:p>
      <w:pPr>
        <w:pStyle w:val="Normal"/>
        <w:ind w:left="2127" w:firstLine="709"/>
        <w:rPr>
          <w:b/>
        </w:rPr>
      </w:pPr>
      <w:r>
        <w:rPr>
          <w:b/>
        </w:rPr>
        <w:t>(если не предполагаются, указать «НЕТ»)</w:t>
      </w:r>
    </w:p>
    <w:p>
      <w:pPr>
        <w:pStyle w:val="Normal"/>
        <w:ind w:left="709" w:firstLine="709"/>
        <w:jc w:val="center"/>
        <w:rPr>
          <w:b/>
        </w:rPr>
      </w:pPr>
      <w:r>
        <w:rPr>
          <w:b/>
        </w:rPr>
      </w:r>
    </w:p>
    <w:p>
      <w:pPr>
        <w:pStyle w:val="Normal"/>
        <w:ind w:left="709" w:firstLine="709"/>
        <w:jc w:val="center"/>
        <w:rPr>
          <w:b/>
        </w:rPr>
      </w:pPr>
      <w:r>
        <w:rPr>
          <w:b/>
        </w:rPr>
      </w:r>
    </w:p>
    <w:p>
      <w:pPr>
        <w:pStyle w:val="Normal"/>
        <w:ind w:left="709" w:firstLine="709"/>
        <w:jc w:val="center"/>
        <w:rPr>
          <w:b/>
        </w:rPr>
      </w:pPr>
      <w:r>
        <w:rPr>
          <w:b/>
        </w:rPr>
      </w:r>
    </w:p>
    <w:p>
      <w:pPr>
        <w:pStyle w:val="Normal"/>
        <w:ind w:left="709" w:firstLine="709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  <w:t>ПОДПИСИ СТОРОН:</w:t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Оборудование сдал:</w:t>
        <w:tab/>
        <w:tab/>
        <w:t>______________________</w:t>
        <w:tab/>
        <w:tab/>
        <w:t>_____________________</w:t>
      </w:r>
    </w:p>
    <w:p>
      <w:pPr>
        <w:pStyle w:val="Normal"/>
        <w:rPr>
          <w:vertAlign w:val="superscript"/>
        </w:rPr>
      </w:pPr>
      <w:r>
        <w:rPr/>
        <w:tab/>
        <w:tab/>
        <w:tab/>
        <w:tab/>
        <w:tab/>
      </w:r>
      <w:r>
        <w:rPr>
          <w:vertAlign w:val="superscript"/>
        </w:rPr>
        <w:t>Подпись</w:t>
        <w:tab/>
        <w:tab/>
        <w:tab/>
        <w:tab/>
        <w:tab/>
        <w:t>Расшифровка подписи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Оборудование принял:</w:t>
        <w:tab/>
        <w:t>______________________</w:t>
        <w:tab/>
        <w:tab/>
        <w:t>_____________________</w:t>
      </w:r>
    </w:p>
    <w:p>
      <w:pPr>
        <w:pStyle w:val="Normal"/>
        <w:rPr>
          <w:vertAlign w:val="superscript"/>
        </w:rPr>
      </w:pPr>
      <w:r>
        <w:rPr/>
        <w:tab/>
        <w:tab/>
        <w:tab/>
        <w:tab/>
        <w:tab/>
      </w:r>
      <w:r>
        <w:rPr>
          <w:vertAlign w:val="superscript"/>
        </w:rPr>
        <w:t>Подпись</w:t>
        <w:tab/>
        <w:tab/>
        <w:tab/>
        <w:tab/>
        <w:tab/>
        <w:t>Расшифровка подписи</w:t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sectPr>
          <w:footerReference w:type="even" r:id="rId2"/>
          <w:footerReference w:type="default" r:id="rId3"/>
          <w:type w:val="nextPage"/>
          <w:pgSz w:w="11906" w:h="16838"/>
          <w:pgMar w:left="1134" w:right="851" w:gutter="0" w:header="0" w:top="851" w:footer="720" w:bottom="2268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rPr/>
      </w:pPr>
      <w:r>
        <w:rPr/>
      </w:r>
      <w:r>
        <w:br w:type="page"/>
      </w:r>
    </w:p>
    <w:p>
      <w:pPr>
        <w:pStyle w:val="NormalWeb"/>
        <w:spacing w:beforeAutospacing="0" w:before="0" w:afterAutospacing="0" w:after="0"/>
        <w:ind w:firstLine="709"/>
        <w:jc w:val="right"/>
        <w:rPr/>
      </w:pPr>
      <w:r>
        <w:rPr>
          <w:b/>
        </w:rPr>
        <w:t>Приложение №2</w:t>
      </w:r>
    </w:p>
    <w:p>
      <w:pPr>
        <w:pStyle w:val="Normal"/>
        <w:ind w:firstLine="709"/>
        <w:jc w:val="right"/>
        <w:rPr/>
      </w:pPr>
      <w:r>
        <w:rPr/>
        <w:t>к Техническим требованиям</w:t>
      </w:r>
    </w:p>
    <w:p>
      <w:pPr>
        <w:pStyle w:val="Normal"/>
        <w:rPr/>
      </w:pPr>
      <w:r>
        <w:rPr/>
      </w:r>
    </w:p>
    <w:p>
      <w:pPr>
        <w:pStyle w:val="Normal"/>
        <w:ind w:firstLine="709"/>
        <w:jc w:val="center"/>
        <w:rPr>
          <w:b/>
          <w:spacing w:val="-6"/>
        </w:rPr>
      </w:pPr>
      <w:r>
        <w:rPr>
          <w:b/>
          <w:spacing w:val="-6"/>
        </w:rPr>
        <w:t>«Сводная таблица стоимости оказываемых Услуг</w:t>
      </w:r>
    </w:p>
    <w:p>
      <w:pPr>
        <w:pStyle w:val="Normal"/>
        <w:ind w:firstLine="709"/>
        <w:jc w:val="center"/>
        <w:rPr>
          <w:b/>
          <w:spacing w:val="-6"/>
        </w:rPr>
      </w:pPr>
      <w:r>
        <w:rPr>
          <w:b/>
          <w:spacing w:val="-6"/>
        </w:rPr>
        <w:t>Расчет ассортиментного перечня Услуг с учетом ориентировочного годового объема поставки»</w:t>
      </w:r>
    </w:p>
    <w:p>
      <w:pPr>
        <w:pStyle w:val="Normal"/>
        <w:ind w:firstLine="709"/>
        <w:jc w:val="center"/>
        <w:rPr>
          <w:b/>
          <w:spacing w:val="-6"/>
        </w:rPr>
      </w:pPr>
      <w:r>
        <w:rPr>
          <w:b/>
          <w:spacing w:val="-6"/>
        </w:rPr>
      </w:r>
    </w:p>
    <w:tbl>
      <w:tblPr>
        <w:tblW w:w="149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97"/>
        <w:gridCol w:w="5111"/>
        <w:gridCol w:w="840"/>
        <w:gridCol w:w="1238"/>
        <w:gridCol w:w="1275"/>
        <w:gridCol w:w="1468"/>
        <w:gridCol w:w="2268"/>
        <w:gridCol w:w="2074"/>
      </w:tblGrid>
      <w:tr>
        <w:trPr>
          <w:trHeight w:val="1999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№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Наименование Услуги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Ед. изм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Цена за ед., руб. без НДС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Цена за ед., руб. с НДС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Ориентировочный годовой объем закупаемой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Стоимость с учетом ориентировочного годового объема, руб. без НДС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Стоимость с учетом ориентировочного годового объема, руб. с НДС</w:t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7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8</w:t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color w:val="000000"/>
              </w:rPr>
              <w:t xml:space="preserve">Видеорегистратор </w:t>
            </w:r>
            <w:r>
              <w:rPr>
                <w:b/>
                <w:color w:val="000000"/>
                <w:lang w:eastAsia="en-US"/>
              </w:rPr>
              <w:t>МАВР Юпитер 7410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170" w:hanging="0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Диагностика портативного носимого видеорегистратора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170" w:hanging="0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Замена материнской платы (версия 1.3) без дисплея, совместимость с лицензионным ПО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170" w:hanging="0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Замена аккумуляторной батареи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170" w:hanging="0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механической кнопки регистратора (резина/пластик)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170" w:hanging="0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корпуса лицевой панели в сборе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170" w:hanging="0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Установка заглушек корпуса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170" w:hanging="0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разъем GPS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170" w:hanging="0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шлейфа (верхнего/нижнего)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170" w:hanging="0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Пайка разъема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170" w:hanging="0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светодиода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170" w:hanging="0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Микрофона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170" w:hanging="0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динамика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170" w:hanging="0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Разборка/сборка устройства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  <w:lang w:eastAsia="en-US"/>
              </w:rPr>
              <w:t>Терминал зарядки и выгрузки данных Юпитер 7436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170" w:hanging="0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док станций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170" w:hanging="0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 xml:space="preserve">Замена USB HUB с настройкой портов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170" w:hanging="0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Соединительного кабеля «пружинка» терминала зарядки, архивирования и хранения данных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170" w:hanging="0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Системы охлаждения терминала зарядки, архивирования и хранения данных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170" w:hanging="0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Контроллера питания и передачи данных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170" w:hanging="0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Сборка/разборка, чистка терминала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170" w:hanging="0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Замена корзины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ind w:left="170" w:hanging="0"/>
              <w:rPr/>
            </w:pPr>
            <w:r>
              <w:rPr/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Доставка 1 места до 10 кг, габаритами не более 280*255*450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ind w:right="686" w:hanging="0"/>
        <w:jc w:val="both"/>
        <w:rPr/>
      </w:pPr>
      <w:r>
        <w:rPr/>
      </w:r>
    </w:p>
    <w:p>
      <w:pPr>
        <w:pStyle w:val="Normal"/>
        <w:ind w:right="686" w:hanging="0"/>
        <w:jc w:val="both"/>
        <w:rPr/>
      </w:pPr>
      <w:r>
        <w:rPr/>
      </w:r>
    </w:p>
    <w:sectPr>
      <w:footerReference w:type="default" r:id="rId4"/>
      <w:footerReference w:type="first" r:id="rId5"/>
      <w:type w:val="nextPage"/>
      <w:pgSz w:orient="landscape" w:w="16838" w:h="11906"/>
      <w:pgMar w:left="1134" w:right="851" w:gutter="0" w:header="0" w:top="851" w:footer="720" w:bottom="2268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Peterburg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10" wp14:anchorId="5EF5D09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 wp14:anchorId="5EF5D09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8" wp14:anchorId="559426F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494.8pt;margin-top:0.05pt;width:1.1pt;height:13.65pt;mso-wrap-style:none;v-text-anchor:middle;mso-position-horizontal:right;mso-position-horizontal-relative:margin" wp14:anchorId="559426F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11" wp14:anchorId="40E1DC4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5" name="Врезка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1" path="m0,0l-2147483645,0l-2147483645,-2147483646l0,-2147483646xe" stroked="f" o:allowincell="f" style="position:absolute;margin-left:741.4pt;margin-top:0.05pt;width:1.1pt;height:13.65pt;mso-wrap-style:none;v-text-anchor:middle;mso-position-horizontal:right;mso-position-horizontal-relative:margin" wp14:anchorId="40E1DC4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  <w:rPr/>
    </w:lvl>
  </w:abstractNum>
  <w:abstractNum w:abstractNumId="3"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6"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/>
    </w:lvl>
  </w:abstractNum>
  <w:abstractNum w:abstractNumId="7"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0"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70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1"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12"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5"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7"/>
    <w:lvlOverride w:ilvl="0">
      <w:startOverride w:val="7"/>
    </w:lvlOverride>
    <w:lvlOverride w:ilvl="1">
      <w:startOverride w:val="1"/>
    </w:lvlOverride>
  </w:num>
  <w:num w:numId="1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w="http://schemas.openxmlformats.org/wordprocessingml/2006/main">
  <w:zoom w:percent="76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c47841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qFormat/>
    <w:pPr>
      <w:keepNext w:val="true"/>
      <w:jc w:val="center"/>
      <w:outlineLvl w:val="2"/>
    </w:pPr>
    <w:rPr>
      <w:u w:val="single"/>
    </w:rPr>
  </w:style>
  <w:style w:type="paragraph" w:styleId="Heading9">
    <w:name w:val="Heading 9"/>
    <w:basedOn w:val="Normal"/>
    <w:next w:val="Normal"/>
    <w:link w:val="9"/>
    <w:semiHidden/>
    <w:unhideWhenUsed/>
    <w:qFormat/>
    <w:rsid w:val="00473339"/>
    <w:pPr>
      <w:spacing w:before="240" w:after="60"/>
      <w:outlineLvl w:val="8"/>
    </w:pPr>
    <w:rPr>
      <w:rFonts w:ascii="Calibri Light" w:hAnsi="Calibri Light" w:eastAsia="" w:cs=""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semiHidden/>
    <w:qFormat/>
    <w:rsid w:val="00035152"/>
    <w:rPr>
      <w:sz w:val="16"/>
      <w:szCs w:val="16"/>
    </w:rPr>
  </w:style>
  <w:style w:type="character" w:styleId="Style5" w:customStyle="1">
    <w:name w:val="Символ сноски"/>
    <w:semiHidden/>
    <w:qFormat/>
    <w:rsid w:val="00c0342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a13ab9"/>
    <w:rPr/>
  </w:style>
  <w:style w:type="character" w:styleId="Menuitem2nolink" w:customStyle="1">
    <w:name w:val="menu_item2_nolink"/>
    <w:basedOn w:val="DefaultParagraphFont"/>
    <w:qFormat/>
    <w:rsid w:val="005d5687"/>
    <w:rPr/>
  </w:style>
  <w:style w:type="character" w:styleId="Style6" w:customStyle="1">
    <w:name w:val="Заголовок Знак"/>
    <w:qFormat/>
    <w:rsid w:val="002f1e89"/>
    <w:rPr>
      <w:sz w:val="28"/>
    </w:rPr>
  </w:style>
  <w:style w:type="character" w:styleId="Style7" w:customStyle="1">
    <w:name w:val="Основной текст Знак"/>
    <w:qFormat/>
    <w:rsid w:val="009c7ab7"/>
    <w:rPr>
      <w:sz w:val="24"/>
    </w:rPr>
  </w:style>
  <w:style w:type="character" w:styleId="Hyperlink">
    <w:name w:val="Hyperlink"/>
    <w:uiPriority w:val="99"/>
    <w:unhideWhenUsed/>
    <w:rsid w:val="00ab4436"/>
    <w:rPr>
      <w:color w:val="0000FF"/>
      <w:u w:val="single"/>
    </w:rPr>
  </w:style>
  <w:style w:type="character" w:styleId="FollowedHyperlink">
    <w:name w:val="FollowedHyperlink"/>
    <w:uiPriority w:val="99"/>
    <w:unhideWhenUsed/>
    <w:rsid w:val="00ab4436"/>
    <w:rPr>
      <w:color w:val="800080"/>
      <w:u w:val="single"/>
    </w:rPr>
  </w:style>
  <w:style w:type="character" w:styleId="Style8" w:customStyle="1">
    <w:name w:val="Верхний колонтитул Знак"/>
    <w:qFormat/>
    <w:rsid w:val="000005d0"/>
    <w:rPr>
      <w:sz w:val="24"/>
      <w:szCs w:val="24"/>
    </w:rPr>
  </w:style>
  <w:style w:type="character" w:styleId="2" w:customStyle="1">
    <w:name w:val="Заголовок 2 Знак"/>
    <w:semiHidden/>
    <w:qFormat/>
    <w:rsid w:val="00c47841"/>
    <w:rPr>
      <w:rFonts w:ascii="Calibri Light" w:hAnsi="Calibri Light"/>
      <w:b/>
      <w:bCs/>
      <w:i/>
      <w:iCs/>
      <w:sz w:val="28"/>
      <w:szCs w:val="28"/>
    </w:rPr>
  </w:style>
  <w:style w:type="character" w:styleId="1" w:customStyle="1">
    <w:name w:val="Заголовок 1 Знак"/>
    <w:qFormat/>
    <w:rsid w:val="00c47841"/>
    <w:rPr>
      <w:b/>
      <w:sz w:val="24"/>
    </w:rPr>
  </w:style>
  <w:style w:type="character" w:styleId="3" w:customStyle="1">
    <w:name w:val="Заголовок 3 Знак"/>
    <w:qFormat/>
    <w:rsid w:val="00c47841"/>
    <w:rPr>
      <w:sz w:val="24"/>
      <w:szCs w:val="24"/>
      <w:u w:val="single"/>
    </w:rPr>
  </w:style>
  <w:style w:type="character" w:styleId="Style9" w:customStyle="1">
    <w:name w:val="Основной текст с отступом Знак"/>
    <w:qFormat/>
    <w:rsid w:val="00c47841"/>
    <w:rPr>
      <w:sz w:val="24"/>
      <w:szCs w:val="24"/>
    </w:rPr>
  </w:style>
  <w:style w:type="character" w:styleId="21" w:customStyle="1">
    <w:name w:val="Основной текст 2 Знак"/>
    <w:link w:val="BodyText2"/>
    <w:qFormat/>
    <w:rsid w:val="00c47841"/>
    <w:rPr>
      <w:b/>
      <w:sz w:val="24"/>
    </w:rPr>
  </w:style>
  <w:style w:type="character" w:styleId="Style10" w:customStyle="1">
    <w:name w:val="Текст примечания Знак"/>
    <w:link w:val="Annotationtext"/>
    <w:semiHidden/>
    <w:qFormat/>
    <w:rsid w:val="00c47841"/>
    <w:rPr/>
  </w:style>
  <w:style w:type="character" w:styleId="Style11" w:customStyle="1">
    <w:name w:val="Тема примечания Знак"/>
    <w:link w:val="Annotationsubject"/>
    <w:semiHidden/>
    <w:qFormat/>
    <w:rsid w:val="00c47841"/>
    <w:rPr>
      <w:b/>
      <w:bCs/>
    </w:rPr>
  </w:style>
  <w:style w:type="character" w:styleId="Style12" w:customStyle="1">
    <w:name w:val="Текст выноски Знак"/>
    <w:link w:val="BalloonText"/>
    <w:semiHidden/>
    <w:qFormat/>
    <w:rsid w:val="00c47841"/>
    <w:rPr>
      <w:rFonts w:ascii="Tahoma" w:hAnsi="Tahoma" w:cs="Tahoma"/>
      <w:sz w:val="16"/>
      <w:szCs w:val="16"/>
    </w:rPr>
  </w:style>
  <w:style w:type="character" w:styleId="Style13" w:customStyle="1">
    <w:name w:val="Текст сноски Знак"/>
    <w:semiHidden/>
    <w:qFormat/>
    <w:rsid w:val="00c47841"/>
    <w:rPr/>
  </w:style>
  <w:style w:type="character" w:styleId="Style14" w:customStyle="1">
    <w:name w:val="Нижний колонтитул Знак"/>
    <w:uiPriority w:val="99"/>
    <w:qFormat/>
    <w:rsid w:val="00c47841"/>
    <w:rPr>
      <w:sz w:val="24"/>
      <w:szCs w:val="24"/>
    </w:rPr>
  </w:style>
  <w:style w:type="character" w:styleId="9" w:customStyle="1">
    <w:name w:val="Заголовок 9 Знак"/>
    <w:basedOn w:val="DefaultParagraphFont"/>
    <w:semiHidden/>
    <w:qFormat/>
    <w:rsid w:val="00473339"/>
    <w:rPr>
      <w:rFonts w:ascii="Calibri Light" w:hAnsi="Calibri Light" w:eastAsia="" w:cs="" w:asciiTheme="majorHAnsi" w:cstheme="majorBidi" w:eastAsiaTheme="majorEastAsia" w:hAnsiTheme="majorHAnsi"/>
      <w:sz w:val="22"/>
      <w:szCs w:val="22"/>
    </w:rPr>
  </w:style>
  <w:style w:type="character" w:styleId="WW8Num1z1" w:customStyle="1">
    <w:name w:val="WW8Num1z1"/>
    <w:qFormat/>
    <w:rsid w:val="00be57b5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7"/>
    <w:pPr/>
    <w:rPr>
      <w:szCs w:val="20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link w:val="Style6"/>
    <w:qFormat/>
    <w:rsid w:val="002f1e89"/>
    <w:pPr>
      <w:jc w:val="center"/>
    </w:pPr>
    <w:rPr>
      <w:sz w:val="28"/>
      <w:szCs w:val="20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BodyTextIndent">
    <w:name w:val="Body Text Indent"/>
    <w:basedOn w:val="Normal"/>
    <w:link w:val="Style9"/>
    <w:pPr>
      <w:ind w:firstLine="540"/>
      <w:jc w:val="both"/>
    </w:pPr>
    <w:rPr/>
  </w:style>
  <w:style w:type="paragraph" w:styleId="BodyText2">
    <w:name w:val="Body Text 2"/>
    <w:basedOn w:val="Normal"/>
    <w:link w:val="21"/>
    <w:qFormat/>
    <w:pPr/>
    <w:rPr>
      <w:b/>
      <w:szCs w:val="20"/>
    </w:rPr>
  </w:style>
  <w:style w:type="paragraph" w:styleId="NormalWeb">
    <w:name w:val="Normal (Web)"/>
    <w:basedOn w:val="Normal"/>
    <w:uiPriority w:val="99"/>
    <w:qFormat/>
    <w:rsid w:val="00035152"/>
    <w:pPr>
      <w:spacing w:beforeAutospacing="1" w:afterAutospacing="1"/>
    </w:pPr>
    <w:rPr/>
  </w:style>
  <w:style w:type="paragraph" w:styleId="Annotationtext">
    <w:name w:val="annotation text"/>
    <w:basedOn w:val="Normal"/>
    <w:link w:val="Style10"/>
    <w:semiHidden/>
    <w:qFormat/>
    <w:rsid w:val="0003515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1"/>
    <w:semiHidden/>
    <w:qFormat/>
    <w:rsid w:val="00035152"/>
    <w:pPr/>
    <w:rPr>
      <w:b/>
      <w:bCs/>
    </w:rPr>
  </w:style>
  <w:style w:type="paragraph" w:styleId="BalloonText">
    <w:name w:val="Balloon Text"/>
    <w:basedOn w:val="Normal"/>
    <w:link w:val="Style12"/>
    <w:semiHidden/>
    <w:qFormat/>
    <w:rsid w:val="00035152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Style13"/>
    <w:semiHidden/>
    <w:rsid w:val="00c0342d"/>
    <w:pPr/>
    <w:rPr>
      <w:sz w:val="20"/>
      <w:szCs w:val="20"/>
    </w:rPr>
  </w:style>
  <w:style w:type="paragraph" w:styleId="11" w:customStyle="1">
    <w:name w:val="Текст1"/>
    <w:basedOn w:val="Normal"/>
    <w:qFormat/>
    <w:rsid w:val="00c47841"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Style17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uiPriority w:val="99"/>
    <w:rsid w:val="00a13ab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8" w:customStyle="1">
    <w:name w:val="Знак"/>
    <w:basedOn w:val="Normal"/>
    <w:qFormat/>
    <w:rsid w:val="000b0b98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7c1f"/>
    <w:pPr>
      <w:ind w:left="708" w:hanging="0"/>
    </w:pPr>
    <w:rPr/>
  </w:style>
  <w:style w:type="paragraph" w:styleId="Xl71" w:customStyle="1">
    <w:name w:val="xl71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2" w:customStyle="1">
    <w:name w:val="xl72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3" w:customStyle="1">
    <w:name w:val="xl73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4" w:customStyle="1">
    <w:name w:val="xl74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5" w:customStyle="1">
    <w:name w:val="xl75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6" w:customStyle="1">
    <w:name w:val="xl76"/>
    <w:basedOn w:val="Normal"/>
    <w:qFormat/>
    <w:rsid w:val="00ab4436"/>
    <w:pP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7" w:customStyle="1">
    <w:name w:val="xl77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8" w:customStyle="1">
    <w:name w:val="xl78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9" w:customStyle="1">
    <w:name w:val="xl79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80" w:customStyle="1">
    <w:name w:val="xl80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81" w:customStyle="1">
    <w:name w:val="xl81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82" w:customStyle="1">
    <w:name w:val="xl82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83" w:customStyle="1">
    <w:name w:val="xl83"/>
    <w:basedOn w:val="Normal"/>
    <w:qFormat/>
    <w:rsid w:val="00ab4436"/>
    <w:pP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84" w:customStyle="1">
    <w:name w:val="xl84"/>
    <w:basedOn w:val="Normal"/>
    <w:qFormat/>
    <w:rsid w:val="00ab4436"/>
    <w:pP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85" w:customStyle="1">
    <w:name w:val="xl85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86" w:customStyle="1">
    <w:name w:val="xl86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87" w:customStyle="1">
    <w:name w:val="xl87"/>
    <w:basedOn w:val="Normal"/>
    <w:qFormat/>
    <w:rsid w:val="00ab44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88" w:customStyle="1">
    <w:name w:val="xl88"/>
    <w:basedOn w:val="Normal"/>
    <w:qFormat/>
    <w:rsid w:val="00ab44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89" w:customStyle="1">
    <w:name w:val="xl89"/>
    <w:basedOn w:val="Normal"/>
    <w:qFormat/>
    <w:rsid w:val="00ab443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90" w:customStyle="1">
    <w:name w:val="xl90"/>
    <w:basedOn w:val="Normal"/>
    <w:qFormat/>
    <w:rsid w:val="00ab44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9" w:customStyle="1">
    <w:name w:val="xl69"/>
    <w:basedOn w:val="Normal"/>
    <w:qFormat/>
    <w:rsid w:val="00fd09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70" w:customStyle="1">
    <w:name w:val="xl70"/>
    <w:basedOn w:val="Normal"/>
    <w:qFormat/>
    <w:rsid w:val="00fd09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Header">
    <w:name w:val="Header"/>
    <w:basedOn w:val="Normal"/>
    <w:link w:val="Style8"/>
    <w:rsid w:val="000005d0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672f39"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Font5" w:customStyle="1">
    <w:name w:val="font5"/>
    <w:basedOn w:val="Normal"/>
    <w:qFormat/>
    <w:rsid w:val="00c47841"/>
    <w:pPr>
      <w:spacing w:beforeAutospacing="1" w:afterAutospacing="1"/>
    </w:pPr>
    <w:rPr>
      <w:color w:val="000000"/>
      <w:sz w:val="22"/>
      <w:szCs w:val="22"/>
    </w:rPr>
  </w:style>
  <w:style w:type="paragraph" w:styleId="Xl65" w:customStyle="1">
    <w:name w:val="xl65"/>
    <w:basedOn w:val="Normal"/>
    <w:qFormat/>
    <w:rsid w:val="00c47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</w:rPr>
  </w:style>
  <w:style w:type="paragraph" w:styleId="Xl66" w:customStyle="1">
    <w:name w:val="xl66"/>
    <w:basedOn w:val="Normal"/>
    <w:qFormat/>
    <w:rsid w:val="00c47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styleId="Xl67" w:customStyle="1">
    <w:name w:val="xl67"/>
    <w:basedOn w:val="Normal"/>
    <w:qFormat/>
    <w:rsid w:val="00c47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68" w:customStyle="1">
    <w:name w:val="xl68"/>
    <w:basedOn w:val="Normal"/>
    <w:qFormat/>
    <w:rsid w:val="00c47841"/>
    <w:pPr>
      <w:spacing w:beforeAutospacing="1" w:afterAutospacing="1"/>
    </w:pPr>
    <w:rPr/>
  </w:style>
  <w:style w:type="paragraph" w:styleId="Xl63" w:customStyle="1">
    <w:name w:val="xl63"/>
    <w:basedOn w:val="Normal"/>
    <w:qFormat/>
    <w:rsid w:val="00c47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</w:rPr>
  </w:style>
  <w:style w:type="paragraph" w:styleId="Xl64" w:customStyle="1">
    <w:name w:val="xl64"/>
    <w:basedOn w:val="Normal"/>
    <w:qFormat/>
    <w:rsid w:val="00c47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styleId="RSText" w:customStyle="1">
    <w:name w:val="RSText"/>
    <w:basedOn w:val="Normal"/>
    <w:qFormat/>
    <w:rsid w:val="00c1755c"/>
    <w:pPr>
      <w:spacing w:before="0" w:after="60"/>
      <w:jc w:val="both"/>
    </w:pPr>
    <w:rPr>
      <w:rFonts w:ascii="Peterburg" w:hAnsi="Peterburg"/>
      <w:szCs w:val="20"/>
    </w:rPr>
  </w:style>
  <w:style w:type="paragraph" w:styleId="Revision">
    <w:name w:val="Revision"/>
    <w:uiPriority w:val="99"/>
    <w:semiHidden/>
    <w:qFormat/>
    <w:rsid w:val="0066344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1"/>
    <w:qFormat/>
    <w:rsid w:val="005d038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Style19" w:customStyle="1">
    <w:name w:val="Содержимое врезки"/>
    <w:basedOn w:val="Normal"/>
    <w:qFormat/>
    <w:pPr/>
    <w:rPr/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uiPriority w:val="1"/>
    <w:qFormat/>
    <w:rsid w:val="00e338f8"/>
    <w:pPr>
      <w:widowControl w:val="false"/>
      <w:ind w:left="107" w:hanging="0"/>
      <w:jc w:val="center"/>
    </w:pPr>
    <w:rPr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Table Grid"/>
    <w:basedOn w:val="a1"/>
    <w:rsid w:val="008a6a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13" Type="http://schemas.openxmlformats.org/officeDocument/2006/relationships/customXml" Target="../customXml/item4.xml"/><Relationship Id="rId14" Type="http://schemas.openxmlformats.org/officeDocument/2006/relationships/customXml" Target="../customXml/item5.xml"/><Relationship Id="rId15" Type="http://schemas.openxmlformats.org/officeDocument/2006/relationships/customXml" Target="../customXml/item6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_rels/item6.xml.rels><?xml version="1.0" encoding="UTF-8"?>
<Relationships xmlns="http://schemas.openxmlformats.org/package/2006/relationships"><Relationship Id="rId1" Type="http://schemas.openxmlformats.org/officeDocument/2006/relationships/customXmlProps" Target="itemProps6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Id xmlns="bdd2d9d2-8d5d-4e69-9502-4a5cfab5734a">02FD19100FA74D059EB1C6D5FD064493</Documen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DA2CBF20A3A40BAF77ADC6A3ED08D" ma:contentTypeVersion="1" ma:contentTypeDescription="Create a new document." ma:contentTypeScope="" ma:versionID="efe3ca896a6943ca6f6126deedac48a9">
  <xsd:schema xmlns:xsd="http://www.w3.org/2001/XMLSchema" xmlns:xs="http://www.w3.org/2001/XMLSchema" xmlns:p="http://schemas.microsoft.com/office/2006/metadata/properties" xmlns:ns2="42e259db-da5e-4d1c-9712-575f74b3c36f" xmlns:ns3="bdd2d9d2-8d5d-4e69-9502-4a5cfab5734a" targetNamespace="http://schemas.microsoft.com/office/2006/metadata/properties" ma:root="true" ma:fieldsID="e775c9d7122599f62abfa80d161ec528" ns2:_="" ns3:_="">
    <xsd:import namespace="42e259db-da5e-4d1c-9712-575f74b3c36f"/>
    <xsd:import namespace="bdd2d9d2-8d5d-4e69-9502-4a5cfab573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I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59db-da5e-4d1c-9712-575f74b3c3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2d9d2-8d5d-4e69-9502-4a5cfab5734a" elementFormDefault="qualified">
    <xsd:import namespace="http://schemas.microsoft.com/office/2006/documentManagement/types"/>
    <xsd:import namespace="http://schemas.microsoft.com/office/infopath/2007/PartnerControls"/>
    <xsd:element name="DocumentId" ma:index="11" ma:displayName="DocumentId" ma:indexed="true" ma:internalName="Docume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CE91C92-9B32-4FA2-942C-B698B2D54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89373-86A8-455C-88B5-C23E49356E7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03AF88-7668-4FB5-AABD-B6FED22EAD0D}">
  <ds:schemaRefs>
    <ds:schemaRef ds:uri="http://schemas.microsoft.com/office/2006/metadata/properties"/>
    <ds:schemaRef ds:uri="http://schemas.microsoft.com/office/infopath/2007/PartnerControls"/>
    <ds:schemaRef ds:uri="bdd2d9d2-8d5d-4e69-9502-4a5cfab5734a"/>
  </ds:schemaRefs>
</ds:datastoreItem>
</file>

<file path=customXml/itemProps4.xml><?xml version="1.0" encoding="utf-8"?>
<ds:datastoreItem xmlns:ds="http://schemas.openxmlformats.org/officeDocument/2006/customXml" ds:itemID="{EF3212F9-4CE8-4AB6-A2EE-6104620B91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BFEBD2-762F-43E2-B6F9-D0605A3EC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259db-da5e-4d1c-9712-575f74b3c36f"/>
    <ds:schemaRef ds:uri="bdd2d9d2-8d5d-4e69-9502-4a5cfab57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641E165-3DE5-414A-A20D-66D934B4D0A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Application>AlterOffice/2025.2.1.0$Linux_X86_64 LibreOffice_project/d2c615264c9535987c375e0f04a158be6015ce3d</Application>
  <AppVersion>15.0000</AppVersion>
  <Pages>7</Pages>
  <Words>1129</Words>
  <Characters>7578</Characters>
  <CharactersWithSpaces>8523</CharactersWithSpaces>
  <Paragraphs>192</Paragraphs>
  <Company>ОАО "Воткинская ГЭС"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2026-01-30T06:00:00Z</dcterms:created>
  <dc:creator>AlmazovBV@rushydro.ru</dc:creator>
  <dc:description/>
  <dc:language>ru-RU</dc:language>
  <cp:lastModifiedBy>chintilovamm@corp.gidroogk.com</cp:lastModifiedBy>
  <cp:lastPrinted>2021-02-04T10:53:00Z</cp:lastPrinted>
  <dcterms:modified xsi:type="dcterms:W3CDTF">2026-05-12T16:05:26Z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  <property fmtid="{D5CDD505-2E9C-101B-9397-08002B2CF9AE}" pid="3" name="_dlc_DocId">
    <vt:lpwstr>EWZZHUPVRMST-3-40231</vt:lpwstr>
  </property>
  <property fmtid="{D5CDD505-2E9C-101B-9397-08002B2CF9AE}" pid="4" name="_dlc_DocIdItemGuid">
    <vt:lpwstr>cc165d01-ae37-4a23-8dd2-f63dc34a2667</vt:lpwstr>
  </property>
  <property fmtid="{D5CDD505-2E9C-101B-9397-08002B2CF9AE}" pid="5" name="_dlc_DocIdUrl">
    <vt:lpwstr>http://sr-dc-020/_layouts/15/DocIdRedir.aspx?ID=EWZZHUPVRMST-3-40231, EWZZHUPVRMST-3-40231</vt:lpwstr>
  </property>
</Properties>
</file>