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0" w:right="96" w:firstLine="5103"/>
        <w:jc w:val="right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Приложение № 3</w:t>
      </w:r>
    </w:p>
    <w:p>
      <w:pPr>
        <w:pStyle w:val="Normal"/>
        <w:ind w:left="0" w:right="96" w:firstLine="5103"/>
        <w:jc w:val="right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к Договору поставки</w:t>
      </w:r>
    </w:p>
    <w:p>
      <w:pPr>
        <w:pStyle w:val="Normal"/>
        <w:ind w:left="0" w:right="96" w:firstLine="5103"/>
        <w:jc w:val="right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от «____» __________ 20 _ г. № ____</w:t>
      </w:r>
    </w:p>
    <w:p>
      <w:pPr>
        <w:pStyle w:val="Normal"/>
        <w:keepNext w:val="true"/>
        <w:keepLines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</w:r>
    </w:p>
    <w:p>
      <w:pPr>
        <w:pStyle w:val="Normal"/>
        <w:keepNext w:val="true"/>
        <w:keepLines/>
        <w:jc w:val="center"/>
        <w:rPr>
          <w:rFonts w:ascii="Liberation Serif" w:hAnsi="Liberation Serif"/>
          <w:sz w:val="20"/>
          <w:szCs w:val="20"/>
        </w:rPr>
      </w:pPr>
      <w:r>
        <w:rPr>
          <w:rFonts w:eastAsia="Calibri" w:ascii="Liberation Serif" w:hAnsi="Liberation Serif"/>
          <w:b/>
          <w:sz w:val="20"/>
          <w:szCs w:val="20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ascii="Liberation Serif" w:hAnsi="Liberation Serif" w:eastAsia="Calibri"/>
          <w:b/>
          <w:sz w:val="20"/>
          <w:szCs w:val="20"/>
        </w:rPr>
      </w:pPr>
      <w:r>
        <w:rPr>
          <w:rFonts w:eastAsia="Calibri" w:ascii="Liberation Serif" w:hAnsi="Liberation Serif"/>
          <w:b/>
          <w:sz w:val="20"/>
          <w:szCs w:val="20"/>
        </w:rPr>
      </w:r>
    </w:p>
    <w:p>
      <w:pPr>
        <w:pStyle w:val="Normal"/>
        <w:keepNext w:val="true"/>
        <w:keepLines/>
        <w:jc w:val="center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b/>
          <w:i/>
          <w:sz w:val="20"/>
          <w:szCs w:val="20"/>
        </w:rPr>
        <w:t xml:space="preserve">ОКПД 2: 26.20.40.143 </w:t>
      </w:r>
      <w:r>
        <w:rPr>
          <w:rFonts w:ascii="Liberation Serif" w:hAnsi="Liberation Serif"/>
          <w:i/>
          <w:iCs/>
          <w:sz w:val="20"/>
          <w:szCs w:val="20"/>
        </w:rPr>
        <w:t xml:space="preserve">Приобретение оборудования и ПО, обеспечивающего защиту каналов </w:t>
      </w:r>
      <w:r>
        <w:rPr>
          <w:rFonts w:ascii="Liberation Serif" w:hAnsi="Liberation Serif"/>
          <w:i/>
          <w:iCs/>
          <w:sz w:val="20"/>
          <w:szCs w:val="20"/>
          <w:shd w:fill="auto" w:val="clear"/>
        </w:rPr>
        <w:t>связи в технологической сети филиала</w:t>
      </w:r>
      <w:r>
        <w:rPr>
          <w:rFonts w:ascii="Liberation Serif" w:hAnsi="Liberation Serif"/>
          <w:i/>
          <w:iCs/>
          <w:sz w:val="20"/>
          <w:szCs w:val="20"/>
        </w:rPr>
        <w:t xml:space="preserve"> АО "ДРСК" "</w:t>
      </w:r>
      <w:r>
        <w:rPr>
          <w:rFonts w:ascii="Liberation Serif" w:hAnsi="Liberation Serif"/>
          <w:i/>
          <w:iCs/>
          <w:sz w:val="20"/>
          <w:szCs w:val="20"/>
        </w:rPr>
        <w:t>П</w:t>
      </w:r>
      <w:r>
        <w:rPr>
          <w:rFonts w:ascii="Liberation Serif" w:hAnsi="Liberation Serif"/>
          <w:i/>
          <w:iCs/>
          <w:sz w:val="20"/>
          <w:szCs w:val="20"/>
        </w:rPr>
        <w:t>ЭС"</w:t>
      </w:r>
      <w:r>
        <w:rPr>
          <w:rFonts w:ascii="Liberation Serif" w:hAnsi="Liberation Serif"/>
          <w:b/>
          <w:i/>
          <w:sz w:val="20"/>
          <w:szCs w:val="20"/>
        </w:rPr>
        <w:t xml:space="preserve"> </w:t>
      </w:r>
    </w:p>
    <w:p>
      <w:pPr>
        <w:pStyle w:val="Normal"/>
        <w:jc w:val="center"/>
        <w:rPr>
          <w:rFonts w:ascii="Liberation Serif" w:hAnsi="Liberation Serif"/>
          <w:color w:val="000000"/>
          <w:sz w:val="20"/>
          <w:szCs w:val="20"/>
        </w:rPr>
      </w:pPr>
      <w:r>
        <w:rPr>
          <w:rFonts w:ascii="Liberation Serif" w:hAnsi="Liberation Serif"/>
          <w:color w:val="000000"/>
          <w:sz w:val="20"/>
          <w:szCs w:val="20"/>
        </w:rPr>
      </w:r>
    </w:p>
    <w:p>
      <w:pPr>
        <w:pStyle w:val="Normal"/>
        <w:jc w:val="center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rFonts w:ascii="Liberation Serif" w:hAnsi="Liberation Serif"/>
          <w:sz w:val="20"/>
          <w:szCs w:val="20"/>
        </w:rPr>
      </w:pPr>
      <w:bookmarkStart w:id="0" w:name="_Toc75446566"/>
      <w:bookmarkStart w:id="1" w:name="_Toc51339692"/>
      <w:r>
        <w:rPr>
          <w:rFonts w:ascii="Liberation Serif" w:hAnsi="Liberation Serif"/>
          <w:sz w:val="20"/>
          <w:szCs w:val="20"/>
          <w:lang w:val="ru-RU"/>
        </w:rPr>
        <w:t>Общие сведения</w:t>
      </w:r>
      <w:bookmarkEnd w:id="0"/>
      <w:bookmarkEnd w:id="1"/>
    </w:p>
    <w:p>
      <w:pPr>
        <w:pStyle w:val="Normal"/>
        <w:ind w:firstLine="454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 xml:space="preserve">Настоящее приложение определяет требования к составу поставляемого оборудования для </w:t>
      </w:r>
      <w:r>
        <w:rPr>
          <w:rFonts w:ascii="Liberation Serif" w:hAnsi="Liberation Serif"/>
          <w:bCs/>
          <w:sz w:val="20"/>
          <w:szCs w:val="20"/>
        </w:rPr>
        <w:t>модернизации защищенной сети передачи данных</w:t>
      </w:r>
      <w:r>
        <w:rPr>
          <w:rFonts w:ascii="Liberation Serif" w:hAnsi="Liberation Serif"/>
          <w:sz w:val="20"/>
          <w:szCs w:val="20"/>
        </w:rPr>
        <w:t xml:space="preserve"> с использованием СКЗИ.</w:t>
      </w:r>
    </w:p>
    <w:p>
      <w:pPr>
        <w:pStyle w:val="Heading4"/>
        <w:numPr>
          <w:ilvl w:val="1"/>
          <w:numId w:val="3"/>
        </w:numPr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Обозначения и сокращения</w:t>
      </w:r>
    </w:p>
    <w:tbl>
      <w:tblPr>
        <w:tblW w:w="1452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902"/>
        <w:gridCol w:w="11625"/>
      </w:tblGrid>
      <w:tr>
        <w:trPr>
          <w:trHeight w:val="268" w:hRule="atLeast"/>
          <w:cantSplit w:val="true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iCs/>
                <w:sz w:val="20"/>
                <w:szCs w:val="20"/>
                <w:lang w:eastAsia="x-none"/>
              </w:rPr>
              <w:t>Компл.</w:t>
            </w:r>
          </w:p>
        </w:tc>
        <w:tc>
          <w:tcPr>
            <w:tcW w:w="1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iCs/>
                <w:sz w:val="20"/>
                <w:szCs w:val="20"/>
                <w:lang w:eastAsia="x-none"/>
              </w:rPr>
              <w:t>комплект</w:t>
            </w:r>
          </w:p>
        </w:tc>
      </w:tr>
      <w:tr>
        <w:trPr>
          <w:trHeight w:val="268" w:hRule="atLeast"/>
          <w:cantSplit w:val="true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шт.</w:t>
            </w:r>
          </w:p>
        </w:tc>
        <w:tc>
          <w:tcPr>
            <w:tcW w:w="1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штуки</w:t>
            </w:r>
          </w:p>
        </w:tc>
      </w:tr>
      <w:tr>
        <w:trPr>
          <w:trHeight w:val="268" w:hRule="atLeast"/>
          <w:cantSplit w:val="true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iCs/>
                <w:sz w:val="20"/>
                <w:szCs w:val="20"/>
                <w:lang w:eastAsia="x-none"/>
              </w:rPr>
              <w:t>УПД</w:t>
            </w:r>
          </w:p>
        </w:tc>
        <w:tc>
          <w:tcPr>
            <w:tcW w:w="1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Универсальный передаточный документ</w:t>
            </w:r>
          </w:p>
        </w:tc>
      </w:tr>
      <w:tr>
        <w:trPr>
          <w:trHeight w:val="268" w:hRule="atLeast"/>
          <w:cantSplit w:val="true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Ед.измер.</w:t>
            </w:r>
          </w:p>
        </w:tc>
        <w:tc>
          <w:tcPr>
            <w:tcW w:w="1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Единица измерения</w:t>
            </w:r>
          </w:p>
        </w:tc>
      </w:tr>
      <w:tr>
        <w:trPr>
          <w:trHeight w:val="268" w:hRule="atLeast"/>
          <w:cantSplit w:val="true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1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Количество</w:t>
            </w:r>
          </w:p>
        </w:tc>
      </w:tr>
      <w:tr>
        <w:trPr>
          <w:trHeight w:val="253" w:hRule="atLeast"/>
          <w:cantSplit w:val="true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СКЗИ</w:t>
            </w:r>
          </w:p>
        </w:tc>
        <w:tc>
          <w:tcPr>
            <w:tcW w:w="1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средства криптографической защиты информации</w:t>
            </w:r>
          </w:p>
        </w:tc>
      </w:tr>
      <w:tr>
        <w:trPr>
          <w:trHeight w:val="238" w:hRule="atLeast"/>
          <w:cantSplit w:val="true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ЗСПД</w:t>
            </w:r>
          </w:p>
        </w:tc>
        <w:tc>
          <w:tcPr>
            <w:tcW w:w="1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защищенная сеть передачи данных</w:t>
            </w:r>
          </w:p>
        </w:tc>
      </w:tr>
      <w:tr>
        <w:trPr>
          <w:trHeight w:val="253" w:hRule="atLeast"/>
          <w:cantSplit w:val="true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ПО</w:t>
            </w:r>
          </w:p>
        </w:tc>
        <w:tc>
          <w:tcPr>
            <w:tcW w:w="1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программное обеспечение</w:t>
            </w:r>
          </w:p>
        </w:tc>
      </w:tr>
      <w:tr>
        <w:trPr>
          <w:trHeight w:val="238" w:hRule="atLeast"/>
          <w:cantSplit w:val="true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ПО УКС</w:t>
            </w:r>
          </w:p>
        </w:tc>
        <w:tc>
          <w:tcPr>
            <w:tcW w:w="1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программное обеспечение управления криптографической сетью</w:t>
            </w:r>
          </w:p>
        </w:tc>
      </w:tr>
      <w:tr>
        <w:trPr>
          <w:trHeight w:val="253" w:hRule="atLeast"/>
          <w:cantSplit w:val="true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АПКШ</w:t>
            </w:r>
          </w:p>
        </w:tc>
        <w:tc>
          <w:tcPr>
            <w:tcW w:w="1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аппаратно-программный комплекс шифрования</w:t>
            </w:r>
          </w:p>
        </w:tc>
      </w:tr>
      <w:tr>
        <w:trPr>
          <w:trHeight w:val="238" w:hRule="atLeast"/>
          <w:cantSplit w:val="true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ФСБ</w:t>
            </w:r>
          </w:p>
        </w:tc>
        <w:tc>
          <w:tcPr>
            <w:tcW w:w="1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Федеральная служба безопасности России</w:t>
            </w:r>
          </w:p>
        </w:tc>
      </w:tr>
      <w:tr>
        <w:trPr>
          <w:trHeight w:val="238" w:hRule="atLeast"/>
          <w:cantSplit w:val="true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ФСТЭК</w:t>
            </w:r>
          </w:p>
        </w:tc>
        <w:tc>
          <w:tcPr>
            <w:tcW w:w="1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Федеральная служба по техническому и экспортному контролю России</w:t>
            </w:r>
          </w:p>
        </w:tc>
      </w:tr>
    </w:tbl>
    <w:p>
      <w:pPr>
        <w:pStyle w:val="Heading4"/>
        <w:numPr>
          <w:ilvl w:val="1"/>
          <w:numId w:val="3"/>
        </w:numPr>
        <w:rPr>
          <w:rFonts w:ascii="Liberation Serif" w:hAnsi="Liberation Serif"/>
          <w:sz w:val="20"/>
          <w:szCs w:val="20"/>
        </w:rPr>
      </w:pPr>
      <w:bookmarkStart w:id="2" w:name="_Toc75446568"/>
      <w:bookmarkStart w:id="3" w:name="_Toc46743506"/>
      <w:r>
        <w:rPr>
          <w:rFonts w:ascii="Liberation Serif" w:hAnsi="Liberation Serif"/>
          <w:sz w:val="20"/>
          <w:szCs w:val="20"/>
        </w:rPr>
        <w:t>Наименование закупаемой продукции</w:t>
      </w:r>
      <w:bookmarkEnd w:id="2"/>
      <w:bookmarkEnd w:id="3"/>
      <w:r>
        <w:rPr>
          <w:rFonts w:ascii="Liberation Serif" w:hAnsi="Liberation Serif"/>
          <w:i/>
          <w:sz w:val="20"/>
          <w:szCs w:val="20"/>
        </w:rPr>
        <w:t xml:space="preserve"> </w:t>
      </w:r>
    </w:p>
    <w:p>
      <w:pPr>
        <w:pStyle w:val="Normal"/>
        <w:keepNext w:val="true"/>
        <w:keepLines/>
        <w:widowControl/>
        <w:suppressAutoHyphens w:val="true"/>
        <w:bidi w:val="0"/>
        <w:spacing w:lineRule="auto" w:line="240" w:before="0" w:after="0"/>
        <w:ind w:left="0" w:right="0" w:firstLine="397"/>
        <w:jc w:val="both"/>
        <w:rPr>
          <w:rFonts w:ascii="Liberation Serif" w:hAnsi="Liberation Serif"/>
          <w:sz w:val="20"/>
          <w:szCs w:val="20"/>
        </w:rPr>
      </w:pPr>
      <w:r>
        <w:rPr>
          <w:rFonts w:eastAsia="Times New Roman" w:ascii="Liberation Serif" w:hAnsi="Liberation Serif"/>
          <w:b/>
          <w:bCs/>
          <w:i/>
          <w:iCs/>
          <w:strike w:val="false"/>
          <w:dstrike w:val="false"/>
          <w:outline w:val="false"/>
          <w:shadow w:val="false"/>
          <w:sz w:val="20"/>
          <w:szCs w:val="20"/>
          <w:u w:val="none"/>
          <w:em w:val="none"/>
        </w:rPr>
        <w:t xml:space="preserve">ОКПД 2: 26.20.40.143 </w:t>
      </w:r>
      <w:r>
        <w:rPr>
          <w:rFonts w:eastAsia="Times New Roman" w:ascii="Liberation Serif" w:hAnsi="Liberation Serif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sz w:val="20"/>
          <w:szCs w:val="20"/>
          <w:u w:val="none"/>
          <w:em w:val="none"/>
        </w:rPr>
        <w:t>Приобретение оборудования и ПО, обеспечивающего защиту каналов связи в технологической сети филиала АО "ДРСК" "</w:t>
      </w:r>
      <w:r>
        <w:rPr>
          <w:rFonts w:eastAsia="Times New Roman" w:ascii="Liberation Serif" w:hAnsi="Liberation Serif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sz w:val="20"/>
          <w:szCs w:val="20"/>
          <w:u w:val="none"/>
          <w:em w:val="none"/>
        </w:rPr>
        <w:t>П</w:t>
      </w:r>
      <w:r>
        <w:rPr>
          <w:rFonts w:eastAsia="Times New Roman" w:ascii="Liberation Serif" w:hAnsi="Liberation Serif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sz w:val="20"/>
          <w:szCs w:val="20"/>
          <w:u w:val="none"/>
          <w:em w:val="none"/>
        </w:rPr>
        <w:t>ЭС"</w:t>
      </w:r>
      <w:r>
        <w:rPr>
          <w:rFonts w:eastAsia="Times New Roman" w:ascii="Liberation Serif" w:hAnsi="Liberation Serif"/>
          <w:b/>
          <w:i w:val="false"/>
          <w:iCs w:val="false"/>
          <w:sz w:val="20"/>
          <w:szCs w:val="20"/>
        </w:rPr>
        <w:t xml:space="preserve"> </w:t>
      </w:r>
    </w:p>
    <w:p>
      <w:pPr>
        <w:pStyle w:val="Heading4"/>
        <w:numPr>
          <w:ilvl w:val="1"/>
          <w:numId w:val="3"/>
        </w:numPr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Цель закупки и назначение поставляемого оборудования</w:t>
      </w:r>
    </w:p>
    <w:p>
      <w:pPr>
        <w:pStyle w:val="Heading4"/>
        <w:numPr>
          <w:ilvl w:val="0"/>
        </w:numPr>
        <w:tabs>
          <w:tab w:val="clear" w:pos="0"/>
        </w:tabs>
        <w:ind w:left="0" w:firstLine="432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b w:val="false"/>
          <w:sz w:val="20"/>
          <w:szCs w:val="20"/>
          <w:lang w:val="ru-RU"/>
        </w:rPr>
        <w:t>Соблюдение</w:t>
      </w:r>
      <w:r>
        <w:rPr>
          <w:rFonts w:ascii="Liberation Serif" w:hAnsi="Liberation Serif"/>
          <w:b w:val="false"/>
          <w:sz w:val="20"/>
          <w:szCs w:val="20"/>
        </w:rPr>
        <w:t xml:space="preserve"> требований законодательства Российской Федерации в области защиты информации к обеспечению безопасности информации при её обработке в информационных системах, обеспечивающих исключение несанкционированного доступа, уничтожения, изменения, блокирования, копирования и распространения конфиденциальной информации</w:t>
      </w:r>
      <w:r>
        <w:rPr>
          <w:rFonts w:ascii="Liberation Serif" w:hAnsi="Liberation Serif"/>
          <w:b w:val="false"/>
          <w:sz w:val="20"/>
          <w:szCs w:val="20"/>
          <w:lang w:val="ru-RU"/>
        </w:rPr>
        <w:t>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ab/>
        <w:t xml:space="preserve">Назначением поставляемого оборудования является </w:t>
      </w:r>
      <w:r>
        <w:rPr>
          <w:rFonts w:ascii="Liberation Serif" w:hAnsi="Liberation Serif"/>
          <w:bCs/>
          <w:sz w:val="20"/>
          <w:szCs w:val="20"/>
        </w:rPr>
        <w:t>модернизация защищенной сети передачи данных</w:t>
      </w:r>
      <w:r>
        <w:rPr>
          <w:rFonts w:ascii="Liberation Serif" w:hAnsi="Liberation Serif"/>
          <w:sz w:val="20"/>
          <w:szCs w:val="20"/>
        </w:rPr>
        <w:t xml:space="preserve"> для обеспечения конфиденциальности и защиты информации в инфраструктуре Заказчика в процессе ее обмена между пользователями.</w:t>
      </w:r>
    </w:p>
    <w:p>
      <w:pPr>
        <w:pStyle w:val="Normal"/>
        <w:spacing w:lineRule="auto" w:line="259"/>
        <w:ind w:firstLine="454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Защищенная сеть передачи данных должна обеспечить защиту информации, хранящейся на рабочих станциях пользователей. Сеть должна быть масштабируема, с возможностью дальнейшего приобретения дополнительных лицензий и подключения дополнительных рабочих станций силами Заказчика при необходимости.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rFonts w:ascii="Liberation Serif" w:hAnsi="Liberation Serif"/>
          <w:sz w:val="20"/>
          <w:szCs w:val="20"/>
        </w:rPr>
      </w:pPr>
      <w:bookmarkStart w:id="4" w:name="_Toc75446573"/>
      <w:bookmarkStart w:id="5" w:name="_Toc51339693"/>
      <w:bookmarkStart w:id="6" w:name="_Toc46743510"/>
      <w:bookmarkStart w:id="7" w:name="_Toc50125126"/>
      <w:bookmarkEnd w:id="6"/>
      <w:bookmarkEnd w:id="7"/>
      <w:r>
        <w:rPr>
          <w:rFonts w:ascii="Liberation Serif" w:hAnsi="Liberation Serif"/>
          <w:iCs/>
          <w:sz w:val="20"/>
          <w:szCs w:val="20"/>
        </w:rPr>
        <w:t>Требования к продукции</w:t>
      </w:r>
      <w:bookmarkEnd w:id="4"/>
      <w:bookmarkEnd w:id="5"/>
    </w:p>
    <w:p>
      <w:pPr>
        <w:pStyle w:val="Heading4"/>
        <w:numPr>
          <w:ilvl w:val="1"/>
          <w:numId w:val="3"/>
        </w:numPr>
        <w:rPr>
          <w:rFonts w:ascii="Liberation Serif" w:hAnsi="Liberation Serif"/>
          <w:sz w:val="20"/>
          <w:szCs w:val="20"/>
        </w:rPr>
      </w:pPr>
      <w:bookmarkStart w:id="8" w:name="_Toc75446574"/>
      <w:r>
        <w:rPr>
          <w:rFonts w:ascii="Liberation Serif" w:hAnsi="Liberation Serif"/>
          <w:sz w:val="20"/>
          <w:szCs w:val="20"/>
        </w:rPr>
        <w:t xml:space="preserve">Требования к объемам и срокам </w:t>
      </w:r>
      <w:r>
        <w:rPr>
          <w:rFonts w:ascii="Liberation Serif" w:hAnsi="Liberation Serif"/>
          <w:sz w:val="20"/>
          <w:szCs w:val="20"/>
          <w:lang w:val="ru-RU"/>
        </w:rPr>
        <w:t>поставки</w:t>
      </w:r>
      <w:bookmarkEnd w:id="8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Fonts w:ascii="Liberation Serif" w:hAnsi="Liberation Serif"/>
          <w:sz w:val="20"/>
          <w:szCs w:val="20"/>
        </w:rPr>
      </w:pPr>
      <w:bookmarkStart w:id="9" w:name="_Toc75446576"/>
      <w:bookmarkStart w:id="10" w:name="_Toc51339695"/>
      <w:r>
        <w:rPr>
          <w:rFonts w:ascii="Liberation Serif" w:hAnsi="Liberation Serif"/>
          <w:sz w:val="20"/>
          <w:szCs w:val="20"/>
        </w:rPr>
        <w:t xml:space="preserve">Таблица </w:t>
      </w:r>
      <w:r>
        <w:rPr>
          <w:rFonts w:ascii="Liberation Serif" w:hAnsi="Liberation Serif"/>
          <w:sz w:val="20"/>
          <w:szCs w:val="20"/>
          <w:lang w:val="ru-RU"/>
        </w:rPr>
        <w:t>1.1</w:t>
      </w:r>
      <w:r>
        <w:rPr>
          <w:rFonts w:ascii="Liberation Serif" w:hAnsi="Liberation Serif"/>
          <w:sz w:val="20"/>
          <w:szCs w:val="20"/>
        </w:rPr>
        <w:t xml:space="preserve"> </w:t>
      </w:r>
      <w:r>
        <w:rPr>
          <w:rFonts w:ascii="Liberation Serif" w:hAnsi="Liberation Serif"/>
          <w:sz w:val="20"/>
          <w:szCs w:val="20"/>
          <w:lang w:val="ru-RU"/>
        </w:rPr>
        <w:t xml:space="preserve">Перечень </w:t>
      </w:r>
      <w:bookmarkEnd w:id="10"/>
      <w:r>
        <w:rPr>
          <w:rFonts w:ascii="Liberation Serif" w:hAnsi="Liberation Serif"/>
          <w:sz w:val="20"/>
          <w:szCs w:val="20"/>
          <w:lang w:val="ru-RU"/>
        </w:rPr>
        <w:t>и объем закупаемой продукции</w:t>
      </w:r>
      <w:bookmarkEnd w:id="9"/>
    </w:p>
    <w:tbl>
      <w:tblPr>
        <w:tblW w:w="1488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708"/>
        <w:gridCol w:w="11057"/>
        <w:gridCol w:w="1703"/>
        <w:gridCol w:w="1415"/>
      </w:tblGrid>
      <w:tr>
        <w:trPr/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п/п</w:t>
            </w:r>
          </w:p>
        </w:tc>
        <w:tc>
          <w:tcPr>
            <w:tcW w:w="14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Требование Заказчика</w:t>
            </w:r>
            <w:r>
              <w:rPr>
                <w:rStyle w:val="FootnoteReference"/>
                <w:rFonts w:ascii="Liberation Serif" w:hAnsi="Liberation Serif"/>
                <w:b/>
                <w:sz w:val="20"/>
                <w:szCs w:val="20"/>
              </w:rPr>
              <w:footnoteReference w:id="2"/>
            </w:r>
          </w:p>
        </w:tc>
      </w:tr>
      <w:tr>
        <w:trPr/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Наименование продукции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Ед. измер.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Кол-во</w:t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</w:t>
            </w: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4</w:t>
            </w:r>
          </w:p>
        </w:tc>
      </w:tr>
      <w:tr>
        <w:trPr>
          <w:trHeight w:val="56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pacing w:before="60" w:after="60"/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АПКШ «Континент». Версия 3.9. Аппаратная платформа IPC-R1000.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шт.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</w:tr>
      <w:tr>
        <w:trPr>
          <w:trHeight w:val="56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pacing w:before="60" w:after="60"/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1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Право на использование "АПКШ "Континент". Версия 3.9" на платформе IPC-R1000. Базовая лицензия. Криптошлюз. КС3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шт.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</w:tr>
      <w:tr>
        <w:trPr>
          <w:trHeight w:val="56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pacing w:before="60" w:after="60"/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1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АПКШ "Континент". Версия 3.9. Аппаратная платформа IPC-R50.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шт.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</w:tr>
      <w:tr>
        <w:trPr>
          <w:trHeight w:val="56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pacing w:before="60" w:after="60"/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1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Право на использование "АПКШ "Континент". Версия 3.9" на платформе IPC-R50. Базовая лицензия. Криптошлюз. КС3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шт.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</w:tr>
    </w:tbl>
    <w:p>
      <w:pPr>
        <w:pStyle w:val="Normal"/>
        <w:rPr>
          <w:rFonts w:ascii="Liberation Serif" w:hAnsi="Liberation Serif"/>
          <w:sz w:val="20"/>
          <w:szCs w:val="20"/>
          <w:lang w:eastAsia="x-none"/>
        </w:rPr>
      </w:pPr>
      <w:r>
        <w:rPr>
          <w:rFonts w:ascii="Liberation Serif" w:hAnsi="Liberation Serif"/>
          <w:sz w:val="20"/>
          <w:szCs w:val="20"/>
          <w:lang w:eastAsia="x-none"/>
        </w:rPr>
      </w:r>
    </w:p>
    <w:p>
      <w:pPr>
        <w:pStyle w:val="Heading3"/>
        <w:numPr>
          <w:ilvl w:val="0"/>
          <w:numId w:val="0"/>
        </w:numPr>
        <w:ind w:left="0" w:hanging="0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  <w:lang w:val="ru-RU"/>
        </w:rPr>
        <w:t>2.1.1. Требования к срокам поставки продукции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Fonts w:ascii="Liberation Serif" w:hAnsi="Liberation Serif"/>
          <w:sz w:val="20"/>
          <w:szCs w:val="20"/>
        </w:rPr>
      </w:pPr>
      <w:bookmarkStart w:id="11" w:name="_Toc75446579"/>
      <w:bookmarkStart w:id="12" w:name="_Toc50125127"/>
      <w:bookmarkStart w:id="13" w:name="_Toc51339697"/>
      <w:bookmarkStart w:id="14" w:name="_Toc50125126_Копия_1"/>
      <w:bookmarkEnd w:id="14"/>
      <w:r>
        <w:rPr>
          <w:rFonts w:ascii="Liberation Serif" w:hAnsi="Liberation Serif"/>
          <w:sz w:val="20"/>
          <w:szCs w:val="20"/>
        </w:rPr>
        <w:t xml:space="preserve">Таблица </w:t>
      </w:r>
      <w:r>
        <w:rPr>
          <w:rFonts w:ascii="Liberation Serif" w:hAnsi="Liberation Serif"/>
          <w:sz w:val="20"/>
          <w:szCs w:val="20"/>
          <w:lang w:val="ru-RU"/>
        </w:rPr>
        <w:t>2</w:t>
      </w:r>
      <w:r>
        <w:rPr>
          <w:rFonts w:ascii="Liberation Serif" w:hAnsi="Liberation Serif"/>
          <w:sz w:val="20"/>
          <w:szCs w:val="20"/>
        </w:rPr>
        <w:t>.</w:t>
      </w:r>
      <w:r>
        <w:rPr>
          <w:rFonts w:ascii="Liberation Serif" w:hAnsi="Liberation Serif"/>
          <w:sz w:val="20"/>
          <w:szCs w:val="20"/>
          <w:lang w:val="ru-RU"/>
        </w:rPr>
        <w:t>1</w:t>
      </w:r>
      <w:r>
        <w:rPr>
          <w:rFonts w:ascii="Liberation Serif" w:hAnsi="Liberation Serif"/>
          <w:sz w:val="20"/>
          <w:szCs w:val="20"/>
        </w:rPr>
        <w:t xml:space="preserve"> </w:t>
      </w:r>
      <w:bookmarkStart w:id="15" w:name="_Hlk50465284"/>
      <w:r>
        <w:rPr>
          <w:rFonts w:ascii="Liberation Serif" w:hAnsi="Liberation Serif"/>
          <w:sz w:val="20"/>
          <w:szCs w:val="20"/>
        </w:rPr>
        <w:t xml:space="preserve">Требования по срокам </w:t>
      </w:r>
      <w:bookmarkEnd w:id="12"/>
      <w:bookmarkEnd w:id="13"/>
      <w:bookmarkEnd w:id="15"/>
      <w:r>
        <w:rPr>
          <w:rFonts w:ascii="Liberation Serif" w:hAnsi="Liberation Serif"/>
          <w:sz w:val="20"/>
          <w:szCs w:val="20"/>
          <w:lang w:val="ru-RU"/>
        </w:rPr>
        <w:t>поставки продукции</w:t>
      </w:r>
      <w:bookmarkEnd w:id="11"/>
    </w:p>
    <w:p>
      <w:pPr>
        <w:pStyle w:val="Normal"/>
        <w:rPr>
          <w:rFonts w:ascii="Liberation Serif" w:hAnsi="Liberation Serif"/>
          <w:sz w:val="20"/>
          <w:szCs w:val="20"/>
          <w:lang w:eastAsia="x-none"/>
        </w:rPr>
      </w:pPr>
      <w:r>
        <w:rPr>
          <w:rFonts w:ascii="Liberation Serif" w:hAnsi="Liberation Serif"/>
          <w:sz w:val="20"/>
          <w:szCs w:val="20"/>
          <w:lang w:eastAsia="x-none"/>
        </w:rPr>
      </w:r>
    </w:p>
    <w:tbl>
      <w:tblPr>
        <w:tblW w:w="1487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75"/>
        <w:gridCol w:w="5983"/>
        <w:gridCol w:w="2947"/>
        <w:gridCol w:w="5273"/>
      </w:tblGrid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 xml:space="preserve">№ </w:t>
            </w:r>
            <w:r>
              <w:rPr>
                <w:rFonts w:ascii="Liberation Serif" w:hAnsi="Liberation Serif"/>
                <w:b/>
                <w:sz w:val="20"/>
                <w:szCs w:val="20"/>
              </w:rPr>
              <w:t>п/п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Наименование продукции / партии продукции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Требования к началу срока поставки продукции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2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keepNext w:val="false"/>
              <w:widowControl w:val="false"/>
              <w:spacing w:before="40" w:after="4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3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keepNext w:val="false"/>
              <w:widowControl w:val="false"/>
              <w:spacing w:before="40" w:after="4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4</w:t>
            </w:r>
          </w:p>
        </w:tc>
      </w:tr>
      <w:tr>
        <w:trPr>
          <w:trHeight w:val="56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pacing w:before="60" w:after="60"/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АПКШ «Континент». Версия 3.9. Аппаратная платформа IPC-R1000.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с даты подписания договора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в течение 120 (ста двадцати) календарных дней с даты подписания договора.</w:t>
            </w:r>
          </w:p>
        </w:tc>
      </w:tr>
      <w:tr>
        <w:trPr>
          <w:trHeight w:val="56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pacing w:before="60" w:after="60"/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5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Право на использование "АПКШ "Континент". Версия 3.9" на платформе IPC-R1000. Базовая лицензия. Криптошлюз. КС3</w:t>
            </w:r>
          </w:p>
        </w:tc>
        <w:tc>
          <w:tcPr>
            <w:tcW w:w="2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 даты подписания договора</w:t>
            </w:r>
          </w:p>
        </w:tc>
        <w:tc>
          <w:tcPr>
            <w:tcW w:w="5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в течение 120 (ста двадцати) календарных дней с даты подписания договора.</w:t>
            </w:r>
          </w:p>
        </w:tc>
      </w:tr>
      <w:tr>
        <w:trPr>
          <w:trHeight w:val="56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pacing w:before="60" w:after="60"/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5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АПКШ "Континент". Версия 3.9. Аппаратная платформа IPC-R50.</w:t>
            </w:r>
          </w:p>
        </w:tc>
        <w:tc>
          <w:tcPr>
            <w:tcW w:w="2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 даты подписания договора</w:t>
            </w:r>
          </w:p>
        </w:tc>
        <w:tc>
          <w:tcPr>
            <w:tcW w:w="5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в течение 120 (ста двадцати) календарных дней с даты подписания договора.</w:t>
            </w:r>
          </w:p>
        </w:tc>
      </w:tr>
      <w:tr>
        <w:trPr>
          <w:trHeight w:val="56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pacing w:before="60" w:after="60"/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5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Право на использование "АПКШ "Континент". Версия 3.9" на платформе IPC-R50. Лицензия на активацию. Криптошлюз. КС3</w:t>
            </w:r>
          </w:p>
        </w:tc>
        <w:tc>
          <w:tcPr>
            <w:tcW w:w="2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 даты подписания договора</w:t>
            </w:r>
          </w:p>
        </w:tc>
        <w:tc>
          <w:tcPr>
            <w:tcW w:w="5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в течение 120 (ста двадцати) календарных дней с даты подписания договора.</w:t>
            </w:r>
          </w:p>
        </w:tc>
      </w:tr>
    </w:tbl>
    <w:p>
      <w:pPr>
        <w:pStyle w:val="Normal"/>
        <w:rPr>
          <w:rFonts w:ascii="Liberation Serif" w:hAnsi="Liberation Serif"/>
          <w:sz w:val="20"/>
          <w:szCs w:val="20"/>
          <w:lang w:eastAsia="x-none"/>
        </w:rPr>
      </w:pPr>
      <w:r>
        <w:rPr>
          <w:rFonts w:ascii="Liberation Serif" w:hAnsi="Liberation Serif"/>
          <w:sz w:val="20"/>
          <w:szCs w:val="20"/>
          <w:lang w:eastAsia="x-none"/>
        </w:rPr>
      </w:r>
      <w:bookmarkStart w:id="16" w:name="_Toc46743510_Копия_1"/>
      <w:bookmarkStart w:id="17" w:name="_Toc46743510_Копия_1"/>
      <w:bookmarkEnd w:id="17"/>
    </w:p>
    <w:p>
      <w:pPr>
        <w:pStyle w:val="Heading4"/>
        <w:numPr>
          <w:ilvl w:val="1"/>
          <w:numId w:val="3"/>
        </w:numPr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 xml:space="preserve">Требования к </w:t>
      </w:r>
      <w:r>
        <w:rPr>
          <w:rFonts w:ascii="Liberation Serif" w:hAnsi="Liberation Serif"/>
          <w:sz w:val="20"/>
          <w:szCs w:val="20"/>
          <w:lang w:val="ru-RU"/>
        </w:rPr>
        <w:t>качеству продукции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 xml:space="preserve"> </w:t>
      </w:r>
      <w:bookmarkStart w:id="18" w:name="_Toc75446582"/>
      <w:r>
        <w:rPr>
          <w:rFonts w:ascii="Liberation Serif" w:hAnsi="Liberation Serif"/>
          <w:sz w:val="20"/>
          <w:szCs w:val="20"/>
        </w:rPr>
        <w:t>Таблица </w:t>
      </w:r>
      <w:r>
        <w:rPr>
          <w:rFonts w:ascii="Liberation Serif" w:hAnsi="Liberation Serif"/>
          <w:sz w:val="20"/>
          <w:szCs w:val="20"/>
          <w:lang w:val="ru-RU"/>
        </w:rPr>
        <w:t>3</w:t>
      </w:r>
      <w:r>
        <w:rPr>
          <w:rFonts w:ascii="Liberation Serif" w:hAnsi="Liberation Serif"/>
          <w:sz w:val="20"/>
          <w:szCs w:val="20"/>
        </w:rPr>
        <w:t xml:space="preserve">. Требования к </w:t>
      </w:r>
      <w:r>
        <w:rPr>
          <w:rFonts w:ascii="Liberation Serif" w:hAnsi="Liberation Serif"/>
          <w:sz w:val="20"/>
          <w:szCs w:val="20"/>
          <w:lang w:val="ru-RU"/>
        </w:rPr>
        <w:t>продукции</w:t>
      </w:r>
      <w:bookmarkEnd w:id="18"/>
      <w:r>
        <w:rPr>
          <w:rFonts w:ascii="Liberation Serif" w:hAnsi="Liberation Serif"/>
          <w:sz w:val="20"/>
          <w:szCs w:val="20"/>
        </w:rPr>
        <w:t xml:space="preserve"> </w:t>
      </w:r>
    </w:p>
    <w:p>
      <w:pPr>
        <w:pStyle w:val="Normal"/>
        <w:spacing w:lineRule="auto" w:line="259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b/>
          <w:bCs/>
          <w:i/>
          <w:iCs/>
          <w:sz w:val="20"/>
          <w:szCs w:val="20"/>
        </w:rPr>
        <w:t xml:space="preserve">Наименование продукции: </w:t>
      </w:r>
      <w:r>
        <w:rPr>
          <w:rFonts w:ascii="Liberation Serif" w:hAnsi="Liberation Serif"/>
          <w:sz w:val="20"/>
          <w:szCs w:val="20"/>
        </w:rPr>
        <w:t>Оборудование связи для оснащения технологической сети передачи данных средствами защиты информации</w:t>
      </w:r>
    </w:p>
    <w:tbl>
      <w:tblPr>
        <w:tblW w:w="14575" w:type="dxa"/>
        <w:jc w:val="left"/>
        <w:tblInd w:w="0" w:type="dxa"/>
        <w:tblLayout w:type="fixed"/>
        <w:tblCellMar>
          <w:top w:w="28" w:type="dxa"/>
          <w:left w:w="108" w:type="dxa"/>
          <w:bottom w:w="28" w:type="dxa"/>
          <w:right w:w="108" w:type="dxa"/>
        </w:tblCellMar>
        <w:tblLook w:noVBand="0" w:val="0000" w:noHBand="0" w:lastColumn="0" w:firstColumn="0" w:lastRow="0" w:firstRow="0"/>
      </w:tblPr>
      <w:tblGrid>
        <w:gridCol w:w="1489"/>
        <w:gridCol w:w="3791"/>
        <w:gridCol w:w="185"/>
        <w:gridCol w:w="2461"/>
        <w:gridCol w:w="1343"/>
        <w:gridCol w:w="18"/>
        <w:gridCol w:w="1596"/>
        <w:gridCol w:w="23"/>
        <w:gridCol w:w="1896"/>
        <w:gridCol w:w="7"/>
        <w:gridCol w:w="1765"/>
      </w:tblGrid>
      <w:tr>
        <w:trPr/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bookmarkStart w:id="19" w:name="_Toc75446583"/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№ </w:t>
            </w:r>
            <w:r>
              <w:rPr>
                <w:rFonts w:ascii="Liberation Serif" w:hAnsi="Liberation Serif"/>
                <w:b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3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color w:val="000000"/>
                <w:sz w:val="20"/>
                <w:szCs w:val="20"/>
              </w:rPr>
              <w:t>Наименование параметра</w:t>
            </w:r>
          </w:p>
        </w:tc>
        <w:tc>
          <w:tcPr>
            <w:tcW w:w="38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color w:val="000000"/>
                <w:sz w:val="20"/>
                <w:szCs w:val="20"/>
              </w:rPr>
              <w:t>Требование заказчика</w:t>
            </w:r>
          </w:p>
        </w:tc>
        <w:tc>
          <w:tcPr>
            <w:tcW w:w="3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color w:val="000000"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  <w:tc>
          <w:tcPr>
            <w:tcW w:w="17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color w:val="000000"/>
                <w:sz w:val="20"/>
                <w:szCs w:val="20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14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39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380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color w:val="000000"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color w:val="000000"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77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b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0"/>
                <w:numId w:val="10"/>
              </w:numPr>
              <w:spacing w:before="60" w:after="6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30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eastAsia="ru-RU" w:bidi="ar-SA"/>
              </w:rPr>
              <w:t xml:space="preserve">Требования к техническим и функциональным характеристикам </w:t>
            </w:r>
            <w:r>
              <w:rPr>
                <w:rFonts w:ascii="Liberation Serif" w:hAnsi="Liberation Serif"/>
                <w:b/>
                <w:sz w:val="20"/>
                <w:szCs w:val="20"/>
              </w:rPr>
              <w:t>АПКШ «Континент». Версия 3.9. Аппаратная платформа IPC-R1000.</w:t>
            </w:r>
          </w:p>
        </w:tc>
      </w:tr>
      <w:tr>
        <w:trPr/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7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lang w:eastAsia="ru-RU" w:bidi="ar-SA"/>
              </w:rPr>
              <w:t>Совместимость (полная) с используемыми в сети аппаратно-программными комплексами, реализующими функции криптографического шлюза, на базе продуктов АПКШ «Континент» действующими у Заказчика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808080"/>
                <w:sz w:val="20"/>
                <w:szCs w:val="20"/>
              </w:rPr>
              <w:t>Согласие с требованием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-//-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778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lang w:eastAsia="ru-RU" w:bidi="ar-SA"/>
              </w:rPr>
              <w:t xml:space="preserve">Форм-фактор </w:t>
            </w: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Rack</w:t>
            </w: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lang w:eastAsia="ru-RU" w:bidi="ar-SA"/>
              </w:rPr>
              <w:t xml:space="preserve"> 1</w:t>
            </w: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U</w:t>
            </w: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lang w:eastAsia="ru-RU" w:bidi="ar-SA"/>
              </w:rPr>
              <w:t xml:space="preserve">, для монтажа в телекоммуникационную стойку </w:t>
            </w:r>
          </w:p>
        </w:tc>
        <w:tc>
          <w:tcPr>
            <w:tcW w:w="16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808080"/>
                <w:sz w:val="20"/>
                <w:szCs w:val="20"/>
              </w:rPr>
              <w:t>Согласие с требованием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-//-</w:t>
            </w:r>
          </w:p>
        </w:tc>
        <w:tc>
          <w:tcPr>
            <w:tcW w:w="17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lang w:eastAsia="ru-RU" w:bidi="ar-SA"/>
              </w:rPr>
              <w:t>Объём жесткого диска, Гб</w:t>
            </w:r>
          </w:p>
        </w:tc>
        <w:tc>
          <w:tcPr>
            <w:tcW w:w="3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lang w:eastAsia="ru-RU" w:bidi="ar-SA"/>
              </w:rPr>
              <w:t>Не менее 512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757070"/>
                <w:sz w:val="20"/>
                <w:szCs w:val="20"/>
              </w:rPr>
              <w:t>указать характеристики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-//-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lang w:eastAsia="ru-RU" w:bidi="ar-SA"/>
              </w:rPr>
              <w:t>Количество блоков питания с поддержкой функции горячего резервирования, шт.</w:t>
            </w:r>
          </w:p>
        </w:tc>
        <w:tc>
          <w:tcPr>
            <w:tcW w:w="3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lang w:eastAsia="ru-RU" w:bidi="ar-SA"/>
              </w:rPr>
              <w:t>Не менее 2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757070"/>
                <w:sz w:val="20"/>
                <w:szCs w:val="20"/>
              </w:rPr>
              <w:t>указать характеристики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-//-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>
        <w:trPr/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lang w:eastAsia="ru-RU" w:bidi="ar-SA"/>
              </w:rPr>
              <w:t>Мощность блока питания, Вт.</w:t>
            </w:r>
          </w:p>
        </w:tc>
        <w:tc>
          <w:tcPr>
            <w:tcW w:w="3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lang w:eastAsia="ru-RU" w:bidi="ar-SA"/>
              </w:rPr>
              <w:t>Не менее 300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757070"/>
                <w:sz w:val="20"/>
                <w:szCs w:val="20"/>
              </w:rPr>
              <w:t>указать характеристики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-//-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>
        <w:trPr/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lang w:eastAsia="ru-RU" w:bidi="ar-SA"/>
              </w:rPr>
              <w:t>Наличие сетевых интерфейсов Ethernet 1 Гбит/с с разъемами RJ45, шт.</w:t>
            </w:r>
          </w:p>
        </w:tc>
        <w:tc>
          <w:tcPr>
            <w:tcW w:w="3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lang w:eastAsia="ru-RU" w:bidi="ar-SA"/>
              </w:rPr>
              <w:t>Не менее 8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757070"/>
                <w:sz w:val="20"/>
                <w:szCs w:val="20"/>
              </w:rPr>
              <w:t>указать характеристики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-//-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>
        <w:trPr/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lang w:eastAsia="ru-RU" w:bidi="ar-SA"/>
              </w:rPr>
              <w:t>Наличие сетевых интерфейсов Ethernet 10 Гбит/с с разъемами SFP+, шт.</w:t>
            </w:r>
          </w:p>
        </w:tc>
        <w:tc>
          <w:tcPr>
            <w:tcW w:w="3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lang w:eastAsia="ru-RU" w:bidi="ar-SA"/>
              </w:rPr>
              <w:t>Не менее 4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757070"/>
                <w:sz w:val="20"/>
                <w:szCs w:val="20"/>
              </w:rPr>
              <w:t>указать характеристики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-//-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>
        <w:trPr/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lang w:eastAsia="ru-RU" w:bidi="ar-SA"/>
              </w:rPr>
              <w:t>Пропускная способность межсетевого экрана, Мбит/с.</w:t>
            </w:r>
          </w:p>
        </w:tc>
        <w:tc>
          <w:tcPr>
            <w:tcW w:w="3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lang w:eastAsia="ru-RU" w:bidi="ar-SA"/>
              </w:rPr>
              <w:t>Не менее 20000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757070"/>
                <w:sz w:val="20"/>
                <w:szCs w:val="20"/>
              </w:rPr>
              <w:t>указать характеристики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-//-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>
        <w:trPr/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lang w:eastAsia="ru-RU" w:bidi="ar-SA"/>
              </w:rPr>
              <w:t>Пропускная способность VPN, Мбит/с.</w:t>
            </w:r>
          </w:p>
        </w:tc>
        <w:tc>
          <w:tcPr>
            <w:tcW w:w="3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lang w:eastAsia="ru-RU" w:bidi="ar-SA"/>
              </w:rPr>
              <w:t>Не менее 7000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757070"/>
                <w:sz w:val="20"/>
                <w:szCs w:val="20"/>
              </w:rPr>
              <w:t>указать характеристики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-//-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>
        <w:trPr/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lang w:eastAsia="ru-RU" w:bidi="ar-SA"/>
              </w:rPr>
              <w:t>Наличие портов ввода-вывода VGA, шт.</w:t>
            </w:r>
          </w:p>
        </w:tc>
        <w:tc>
          <w:tcPr>
            <w:tcW w:w="3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lang w:eastAsia="ru-RU" w:bidi="ar-SA"/>
              </w:rPr>
              <w:t>Не менее 1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757070"/>
                <w:sz w:val="20"/>
                <w:szCs w:val="20"/>
              </w:rPr>
              <w:t>указать характеристики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-//-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>
        <w:trPr/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lang w:eastAsia="ru-RU" w:bidi="ar-SA"/>
              </w:rPr>
              <w:t>Наличие портов ввода-вывода USB, шт.</w:t>
            </w:r>
          </w:p>
        </w:tc>
        <w:tc>
          <w:tcPr>
            <w:tcW w:w="3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lang w:eastAsia="ru-RU" w:bidi="ar-SA"/>
              </w:rPr>
              <w:t>Не менее 4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757070"/>
                <w:sz w:val="20"/>
                <w:szCs w:val="20"/>
              </w:rPr>
              <w:t>указать характеристики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-//-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>
        <w:trPr/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lang w:eastAsia="ru-RU" w:bidi="ar-SA"/>
              </w:rPr>
              <w:t>Наличие консольного порта с разъемом RJ45, шт.</w:t>
            </w:r>
          </w:p>
        </w:tc>
        <w:tc>
          <w:tcPr>
            <w:tcW w:w="3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lang w:eastAsia="ru-RU" w:bidi="ar-SA"/>
              </w:rPr>
              <w:t>Не менее 1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757070"/>
                <w:sz w:val="20"/>
                <w:szCs w:val="20"/>
              </w:rPr>
              <w:t>указать характеристики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-//-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>
        <w:trPr/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7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eastAsia="ru-RU" w:bidi="ar-SA"/>
              </w:rPr>
              <w:t>Поставляемое оборудование должно быть сертифицировано как СрЗИ и отвечать требованиям:</w:t>
            </w:r>
          </w:p>
          <w:p>
            <w:pPr>
              <w:pStyle w:val="Standard"/>
              <w:widowControl w:val="false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eastAsia="ru-RU" w:bidi="ar-SA"/>
              </w:rPr>
              <w:t>«Требования по безопасности информации, устанавливающие уровни доверия к средствам технической защиты информации и средствам обеспечения безопасности информационных технологий» (ФСТЭК России, 2020) по 3 уровню доверия, «Требования к межсетевым экранам» (ФСТЭК России, 2016), «Профиль защиты межсетевых экранов типа А третьего класса защиты. ИТ.МЭ.А3.ПЗ» (ФСТЭК России, 2016), «Требования ФСБ России к устройствам типа межсетевые экраны 4 класса защищенности», «Требованиям к средствам криптографической защиты информации класса КС3» (ФСБ России)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757070"/>
                <w:sz w:val="20"/>
                <w:szCs w:val="20"/>
              </w:rPr>
              <w:t>Согласие с требованием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-//-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>
        <w:trPr/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0"/>
                <w:numId w:val="1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30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eastAsia="ru-RU" w:bidi="ar-SA"/>
              </w:rPr>
              <w:t xml:space="preserve">Требования к техническим и функциональным характеристикам </w:t>
            </w:r>
            <w:r>
              <w:rPr>
                <w:rFonts w:ascii="Liberation Serif" w:hAnsi="Liberation Serif"/>
                <w:b/>
                <w:sz w:val="20"/>
                <w:szCs w:val="20"/>
              </w:rPr>
              <w:t>Право на использование "АПКШ "Континент". Версия 3.9" на платформе IPC-R1000. Базовая лицензия. Криптошлюз. КС3</w:t>
            </w:r>
          </w:p>
        </w:tc>
      </w:tr>
      <w:tr>
        <w:trPr/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7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eastAsia="ru-RU" w:bidi="ar-SA"/>
              </w:rPr>
              <w:t>Функция одновременной работы через несколько внешних сетевых подключений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808080"/>
                <w:kern w:val="0"/>
                <w:sz w:val="20"/>
                <w:szCs w:val="20"/>
                <w:lang w:eastAsia="ru-RU" w:bidi="ar-SA"/>
              </w:rPr>
              <w:t>Согласие с требованием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eastAsia="ru-RU" w:bidi="ar-SA"/>
              </w:rPr>
              <w:t>-//-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7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eastAsia="ru-RU" w:bidi="ar-SA"/>
              </w:rPr>
              <w:t>Функция распределения сетевой нагрузки между несколькими внешними каналами связи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808080"/>
                <w:kern w:val="0"/>
                <w:sz w:val="20"/>
                <w:szCs w:val="20"/>
                <w:lang w:eastAsia="ru-RU" w:bidi="ar-SA"/>
              </w:rPr>
              <w:t>Согласие с требованием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eastAsia="ru-RU" w:bidi="ar-SA"/>
              </w:rPr>
              <w:t>-//-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7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eastAsia="ru-RU" w:bidi="ar-SA"/>
              </w:rPr>
              <w:t xml:space="preserve">Функция протокола динамической маршрутизации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Routing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eastAsia="ru-RU" w:bidi="ar-SA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Information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eastAsia="ru-RU" w:bidi="ar-SA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Protocol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808080"/>
                <w:kern w:val="0"/>
                <w:sz w:val="20"/>
                <w:szCs w:val="20"/>
                <w:lang w:eastAsia="ru-RU" w:bidi="ar-SA"/>
              </w:rPr>
              <w:t>Согласие с требованием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eastAsia="ru-RU" w:bidi="ar-SA"/>
              </w:rPr>
              <w:t>-//-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7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eastAsia="ru-RU" w:bidi="ar-SA"/>
              </w:rPr>
              <w:t xml:space="preserve">Функция протокола динамической маршрутизации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Open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eastAsia="ru-RU" w:bidi="ar-SA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Shortest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eastAsia="ru-RU" w:bidi="ar-SA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Path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eastAsia="ru-RU" w:bidi="ar-SA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First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808080"/>
                <w:kern w:val="0"/>
                <w:sz w:val="20"/>
                <w:szCs w:val="20"/>
                <w:lang w:eastAsia="ru-RU" w:bidi="ar-SA"/>
              </w:rPr>
              <w:t>Согласие с требованием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eastAsia="ru-RU" w:bidi="ar-SA"/>
              </w:rPr>
              <w:t>-//-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7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eastAsia="ru-RU" w:bidi="ar-SA"/>
              </w:rPr>
              <w:t xml:space="preserve">Функция протокола динамической маршрутизации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Border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eastAsia="ru-RU" w:bidi="ar-SA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Gateway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eastAsia="ru-RU" w:bidi="ar-SA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Protocol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808080"/>
                <w:kern w:val="0"/>
                <w:sz w:val="20"/>
                <w:szCs w:val="20"/>
                <w:lang w:eastAsia="ru-RU" w:bidi="ar-SA"/>
              </w:rPr>
              <w:t>Согласие с требованием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eastAsia="ru-RU" w:bidi="ar-SA"/>
              </w:rPr>
              <w:t>-//-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7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eastAsia="ru-RU" w:bidi="ar-SA"/>
              </w:rPr>
              <w:t>Функция приоритизации трафика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808080"/>
                <w:kern w:val="0"/>
                <w:sz w:val="20"/>
                <w:szCs w:val="20"/>
                <w:lang w:eastAsia="ru-RU" w:bidi="ar-SA"/>
              </w:rPr>
              <w:t>Согласие с требованием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eastAsia="ru-RU" w:bidi="ar-SA"/>
              </w:rPr>
              <w:t>-//-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7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eastAsia="ru-RU" w:bidi="ar-SA"/>
              </w:rPr>
              <w:t>Функция управления приоритетами, на основе разделения сетевые данные на категории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808080"/>
                <w:kern w:val="0"/>
                <w:sz w:val="20"/>
                <w:szCs w:val="20"/>
                <w:lang w:eastAsia="ru-RU" w:bidi="ar-SA"/>
              </w:rPr>
              <w:t>Согласие с требованием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eastAsia="ru-RU" w:bidi="ar-SA"/>
              </w:rPr>
              <w:t>-//-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7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eastAsia="ru-RU" w:bidi="ar-SA"/>
              </w:rPr>
              <w:t>Функция резервирования трафика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808080"/>
                <w:kern w:val="0"/>
                <w:sz w:val="20"/>
                <w:szCs w:val="20"/>
                <w:lang w:eastAsia="ru-RU" w:bidi="ar-SA"/>
              </w:rPr>
              <w:t>Согласие с требованием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eastAsia="ru-RU" w:bidi="ar-SA"/>
              </w:rPr>
              <w:t>-//-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7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eastAsia="ru-RU" w:bidi="ar-SA"/>
              </w:rPr>
              <w:t xml:space="preserve">Функция приоритизации трафика на основе меток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Type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eastAsia="ru-RU" w:bidi="ar-SA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of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eastAsia="ru-RU" w:bidi="ar-SA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Service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808080"/>
                <w:kern w:val="0"/>
                <w:sz w:val="20"/>
                <w:szCs w:val="20"/>
                <w:lang w:eastAsia="ru-RU" w:bidi="ar-SA"/>
              </w:rPr>
              <w:t>Согласие с требованием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eastAsia="ru-RU" w:bidi="ar-SA"/>
              </w:rPr>
              <w:t>-//-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7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eastAsia="ru-RU" w:bidi="ar-SA"/>
              </w:rPr>
              <w:t xml:space="preserve">Функция фильтрации трафика на основе меток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Type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eastAsia="ru-RU" w:bidi="ar-SA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of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eastAsia="ru-RU" w:bidi="ar-SA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Service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808080"/>
                <w:kern w:val="0"/>
                <w:sz w:val="20"/>
                <w:szCs w:val="20"/>
                <w:lang w:eastAsia="ru-RU" w:bidi="ar-SA"/>
              </w:rPr>
              <w:t>Согласие с требованием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eastAsia="ru-RU" w:bidi="ar-SA"/>
              </w:rPr>
              <w:t>-//-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7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eastAsia="ru-RU" w:bidi="ar-SA"/>
              </w:rPr>
              <w:t>Функция управления трафиком при помощи ограничения полосы пропускания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808080"/>
                <w:kern w:val="0"/>
                <w:sz w:val="20"/>
                <w:szCs w:val="20"/>
                <w:lang w:eastAsia="ru-RU" w:bidi="ar-SA"/>
              </w:rPr>
              <w:t>Согласие с требованием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eastAsia="ru-RU" w:bidi="ar-SA"/>
              </w:rPr>
              <w:t>-//-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7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eastAsia="ru-RU" w:bidi="ar-SA"/>
              </w:rPr>
              <w:t xml:space="preserve">Поддержка технологии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VLAN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eastAsia="ru-RU" w:bidi="ar-SA"/>
              </w:rPr>
              <w:t xml:space="preserve"> (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IEEE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eastAsia="ru-RU" w:bidi="ar-SA"/>
              </w:rPr>
              <w:t xml:space="preserve"> 802.1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Q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eastAsia="ru-RU" w:bidi="ar-SA"/>
              </w:rPr>
              <w:t>)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808080"/>
                <w:kern w:val="0"/>
                <w:sz w:val="20"/>
                <w:szCs w:val="20"/>
                <w:lang w:eastAsia="ru-RU" w:bidi="ar-SA"/>
              </w:rPr>
              <w:t>Согласие с требованием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eastAsia="ru-RU" w:bidi="ar-SA"/>
              </w:rPr>
              <w:t>-//-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7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eastAsia="ru-RU" w:bidi="ar-SA"/>
              </w:rPr>
              <w:t>Поддержка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eastAsia="ru-RU" w:bidi="ar-SA"/>
              </w:rPr>
              <w:t>протокола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 xml:space="preserve"> LA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eastAsia="ru-RU" w:bidi="ar-SA"/>
              </w:rPr>
              <w:t>С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P (Link Aggregation Control Protocol)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808080"/>
                <w:kern w:val="0"/>
                <w:sz w:val="20"/>
                <w:szCs w:val="20"/>
                <w:lang w:eastAsia="ru-RU" w:bidi="ar-SA"/>
              </w:rPr>
              <w:t>Согласие с требованием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eastAsia="ru-RU" w:bidi="ar-SA"/>
              </w:rPr>
              <w:t>-//-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7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eastAsia="ru-RU" w:bidi="ar-SA"/>
              </w:rPr>
              <w:t>Поддержка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eastAsia="ru-RU" w:bidi="ar-SA"/>
              </w:rPr>
              <w:t>технологии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 xml:space="preserve"> NAT (Network Address Translation)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808080"/>
                <w:kern w:val="0"/>
                <w:sz w:val="20"/>
                <w:szCs w:val="20"/>
                <w:lang w:eastAsia="ru-RU" w:bidi="ar-SA"/>
              </w:rPr>
              <w:t>Согласие с требованием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eastAsia="ru-RU" w:bidi="ar-SA"/>
              </w:rPr>
              <w:t>-//-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7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eastAsia="ru-RU" w:bidi="ar-SA"/>
              </w:rPr>
              <w:t xml:space="preserve">Функция встроенного сервера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IP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eastAsia="ru-RU" w:bidi="ar-SA"/>
              </w:rPr>
              <w:t xml:space="preserve"> - адресов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808080"/>
                <w:kern w:val="0"/>
                <w:sz w:val="20"/>
                <w:szCs w:val="20"/>
                <w:lang w:eastAsia="ru-RU" w:bidi="ar-SA"/>
              </w:rPr>
              <w:t>Согласие с требованием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eastAsia="ru-RU" w:bidi="ar-SA"/>
              </w:rPr>
              <w:t>-//-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778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eastAsia="ru-RU" w:bidi="ar-SA"/>
              </w:rPr>
              <w:t xml:space="preserve">Поддержка режима зеркалирования трафика с настраиваемым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SPAN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eastAsia="ru-RU" w:bidi="ar-SA"/>
              </w:rPr>
              <w:t>-портом</w:t>
            </w:r>
          </w:p>
        </w:tc>
        <w:tc>
          <w:tcPr>
            <w:tcW w:w="16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808080"/>
                <w:kern w:val="0"/>
                <w:sz w:val="20"/>
                <w:szCs w:val="20"/>
                <w:lang w:eastAsia="ru-RU" w:bidi="ar-SA"/>
              </w:rPr>
              <w:t>Согласие с требованием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eastAsia="ru-RU" w:bidi="ar-SA"/>
              </w:rPr>
              <w:t>-//-</w:t>
            </w:r>
          </w:p>
        </w:tc>
        <w:tc>
          <w:tcPr>
            <w:tcW w:w="17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0"/>
                <w:numId w:val="1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308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  <w:t>Требования к техническим и функциональным характеристикам АПКШ "Континент". Версия 3.9. Аппаратная платформа IPC-R50.</w:t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7798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 xml:space="preserve">Совместимость (полная) с используемыми в сети аппаратно-программными комплексами, реализующими функции криптографического шлюза, на базе продуктов АПКШ «Континент» действующими у Заказчика 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808080" w:themeColor="background1" w:themeShade="80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2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7798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Форм-фактор н</w:t>
            </w:r>
            <w:r>
              <w:rPr>
                <w:rFonts w:eastAsia="Calibri" w:cs="Times New Roman" w:ascii="Liberation Serif" w:hAnsi="Liberation Serif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lang w:val="en-US" w:eastAsia="ru-RU" w:bidi="ar-SA"/>
              </w:rPr>
              <w:t>астольный с комплектом для крепления в стойки 1U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808080" w:themeColor="background1" w:themeShade="80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2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7798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bCs/>
                <w:kern w:val="0"/>
                <w:sz w:val="20"/>
                <w:szCs w:val="20"/>
                <w:lang w:val="ru-RU" w:eastAsia="ru-RU" w:bidi="ar-SA"/>
              </w:rPr>
              <w:t>Источник питания в комплекте поставки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808080" w:themeColor="background1" w:themeShade="80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2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6437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bCs/>
                <w:kern w:val="0"/>
                <w:sz w:val="20"/>
                <w:szCs w:val="20"/>
                <w:lang w:val="ru-RU" w:eastAsia="ru-RU" w:bidi="ar-SA"/>
              </w:rPr>
              <w:t>Количество блоков питания, шт.</w:t>
            </w:r>
          </w:p>
        </w:tc>
        <w:tc>
          <w:tcPr>
            <w:tcW w:w="136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bCs/>
                <w:kern w:val="0"/>
                <w:sz w:val="20"/>
                <w:szCs w:val="20"/>
                <w:lang w:val="ru-RU" w:eastAsia="ru-RU" w:bidi="ar-SA"/>
              </w:rPr>
              <w:t xml:space="preserve">Не менее </w:t>
            </w:r>
            <w:r>
              <w:rPr>
                <w:rFonts w:eastAsia="Times New Roman" w:cs="Times New Roman" w:ascii="Liberation Serif" w:hAnsi="Liberation Serif"/>
                <w:bCs/>
                <w:kern w:val="0"/>
                <w:sz w:val="20"/>
                <w:szCs w:val="20"/>
                <w:lang w:val="en-US" w:eastAsia="ru-RU" w:bidi="ar-SA"/>
              </w:rPr>
              <w:t>1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767171" w:themeColor="background2" w:themeShade="80"/>
                <w:kern w:val="0"/>
                <w:sz w:val="20"/>
                <w:szCs w:val="20"/>
                <w:lang w:val="ru-RU" w:eastAsia="ru-RU" w:bidi="ar-SA"/>
              </w:rPr>
              <w:t>указать характеристики</w:t>
            </w:r>
          </w:p>
        </w:tc>
        <w:tc>
          <w:tcPr>
            <w:tcW w:w="192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6437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bCs/>
                <w:kern w:val="0"/>
                <w:sz w:val="20"/>
                <w:szCs w:val="20"/>
                <w:lang w:val="ru-RU" w:eastAsia="ru-RU" w:bidi="ar-SA"/>
              </w:rPr>
              <w:t>Объем жесткого диска, Гб</w:t>
            </w:r>
          </w:p>
        </w:tc>
        <w:tc>
          <w:tcPr>
            <w:tcW w:w="136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bCs/>
                <w:kern w:val="0"/>
                <w:sz w:val="20"/>
                <w:szCs w:val="20"/>
                <w:lang w:val="ru-RU" w:eastAsia="ru-RU" w:bidi="ar-SA"/>
              </w:rPr>
              <w:t>Не менее 64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767171" w:themeColor="background2" w:themeShade="80"/>
                <w:kern w:val="0"/>
                <w:sz w:val="20"/>
                <w:szCs w:val="20"/>
                <w:lang w:val="ru-RU" w:eastAsia="ru-RU" w:bidi="ar-SA"/>
              </w:rPr>
              <w:t>указать характеристики</w:t>
            </w:r>
          </w:p>
        </w:tc>
        <w:tc>
          <w:tcPr>
            <w:tcW w:w="192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6437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bCs/>
                <w:kern w:val="0"/>
                <w:sz w:val="20"/>
                <w:szCs w:val="20"/>
                <w:lang w:val="ru-RU" w:eastAsia="ru-RU" w:bidi="ar-SA"/>
              </w:rPr>
              <w:t>Номинальная мощность, Вт.</w:t>
            </w:r>
          </w:p>
        </w:tc>
        <w:tc>
          <w:tcPr>
            <w:tcW w:w="136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bCs/>
                <w:kern w:val="0"/>
                <w:sz w:val="20"/>
                <w:szCs w:val="20"/>
                <w:lang w:val="ru-RU" w:eastAsia="ru-RU" w:bidi="ar-SA"/>
              </w:rPr>
              <w:t xml:space="preserve">Не менее </w:t>
            </w:r>
            <w:r>
              <w:rPr>
                <w:rFonts w:eastAsia="Times New Roman" w:cs="Times New Roman" w:ascii="Liberation Serif" w:hAnsi="Liberation Serif"/>
                <w:bCs/>
                <w:kern w:val="0"/>
                <w:sz w:val="20"/>
                <w:szCs w:val="20"/>
                <w:lang w:val="en-US" w:eastAsia="ru-RU" w:bidi="ar-SA"/>
              </w:rPr>
              <w:t>36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767171" w:themeColor="background2" w:themeShade="80"/>
                <w:kern w:val="0"/>
                <w:sz w:val="20"/>
                <w:szCs w:val="20"/>
                <w:lang w:val="ru-RU" w:eastAsia="ru-RU" w:bidi="ar-SA"/>
              </w:rPr>
              <w:t>указать характеристики</w:t>
            </w:r>
          </w:p>
        </w:tc>
        <w:tc>
          <w:tcPr>
            <w:tcW w:w="192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6437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Наличие сетевых интерфейсов Ethernet 10/100/1000 Мбит/с с разъемами RJ45, шт.</w:t>
            </w:r>
          </w:p>
        </w:tc>
        <w:tc>
          <w:tcPr>
            <w:tcW w:w="136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Не менее 4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767171" w:themeColor="background2" w:themeShade="80"/>
                <w:kern w:val="0"/>
                <w:sz w:val="20"/>
                <w:szCs w:val="20"/>
                <w:lang w:val="ru-RU" w:eastAsia="ru-RU" w:bidi="ar-SA"/>
              </w:rPr>
              <w:t>указать характеристики</w:t>
            </w:r>
          </w:p>
        </w:tc>
        <w:tc>
          <w:tcPr>
            <w:tcW w:w="192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71" w:hRule="atLeast"/>
        </w:trPr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6437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Наличие сетевых интерфейсов Ethernet 1 Гбит/с с разъемами SFP, шт.</w:t>
            </w:r>
          </w:p>
        </w:tc>
        <w:tc>
          <w:tcPr>
            <w:tcW w:w="136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 xml:space="preserve">Не менее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1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767171" w:themeColor="background2" w:themeShade="80"/>
                <w:kern w:val="0"/>
                <w:sz w:val="20"/>
                <w:szCs w:val="20"/>
                <w:lang w:val="ru-RU" w:eastAsia="ru-RU" w:bidi="ar-SA"/>
              </w:rPr>
              <w:t>указать характеристики</w:t>
            </w:r>
          </w:p>
        </w:tc>
        <w:tc>
          <w:tcPr>
            <w:tcW w:w="192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6437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Пропускная способность межсетевого экрана, Мбит/с.</w:t>
            </w:r>
          </w:p>
        </w:tc>
        <w:tc>
          <w:tcPr>
            <w:tcW w:w="136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 xml:space="preserve">Не менее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1200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767171" w:themeColor="background2" w:themeShade="80"/>
                <w:kern w:val="0"/>
                <w:sz w:val="20"/>
                <w:szCs w:val="20"/>
                <w:lang w:val="ru-RU" w:eastAsia="ru-RU" w:bidi="ar-SA"/>
              </w:rPr>
              <w:t>указать характеристики</w:t>
            </w:r>
          </w:p>
        </w:tc>
        <w:tc>
          <w:tcPr>
            <w:tcW w:w="192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6437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Пропускная способность L2 VPN, Мбит/с.</w:t>
            </w:r>
          </w:p>
        </w:tc>
        <w:tc>
          <w:tcPr>
            <w:tcW w:w="136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 xml:space="preserve">Не менее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350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767171" w:themeColor="background2" w:themeShade="80"/>
                <w:kern w:val="0"/>
                <w:sz w:val="20"/>
                <w:szCs w:val="20"/>
                <w:lang w:val="ru-RU" w:eastAsia="ru-RU" w:bidi="ar-SA"/>
              </w:rPr>
              <w:t>указать характеристики</w:t>
            </w:r>
          </w:p>
        </w:tc>
        <w:tc>
          <w:tcPr>
            <w:tcW w:w="192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6437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Пропускная способность L3 VPN, Мбит/с.</w:t>
            </w:r>
          </w:p>
        </w:tc>
        <w:tc>
          <w:tcPr>
            <w:tcW w:w="136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 xml:space="preserve">Не менее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350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767171" w:themeColor="background2" w:themeShade="80"/>
                <w:kern w:val="0"/>
                <w:sz w:val="20"/>
                <w:szCs w:val="20"/>
                <w:lang w:val="ru-RU" w:eastAsia="ru-RU" w:bidi="ar-SA"/>
              </w:rPr>
              <w:t>указать характеристики</w:t>
            </w:r>
          </w:p>
        </w:tc>
        <w:tc>
          <w:tcPr>
            <w:tcW w:w="192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6437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Наличие портов ввода-вывода VGA, шт.</w:t>
            </w:r>
          </w:p>
        </w:tc>
        <w:tc>
          <w:tcPr>
            <w:tcW w:w="136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Не менее 1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767171" w:themeColor="background2" w:themeShade="80"/>
                <w:kern w:val="0"/>
                <w:sz w:val="20"/>
                <w:szCs w:val="20"/>
                <w:lang w:val="ru-RU" w:eastAsia="ru-RU" w:bidi="ar-SA"/>
              </w:rPr>
              <w:t>указать характеристики</w:t>
            </w:r>
          </w:p>
        </w:tc>
        <w:tc>
          <w:tcPr>
            <w:tcW w:w="192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6437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 xml:space="preserve">Наличие </w:t>
            </w: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COM</w:t>
            </w: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 xml:space="preserve">-порта с разъемом </w:t>
            </w: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RJ</w:t>
            </w: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45, шт.</w:t>
            </w:r>
          </w:p>
        </w:tc>
        <w:tc>
          <w:tcPr>
            <w:tcW w:w="136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Не менее 1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767171" w:themeColor="background2" w:themeShade="80"/>
                <w:kern w:val="0"/>
                <w:sz w:val="20"/>
                <w:szCs w:val="20"/>
                <w:lang w:val="ru-RU" w:eastAsia="ru-RU" w:bidi="ar-SA"/>
              </w:rPr>
              <w:t>указать характеристики</w:t>
            </w:r>
          </w:p>
        </w:tc>
        <w:tc>
          <w:tcPr>
            <w:tcW w:w="192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6437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Наличие портов ввода-вывода USB, шт.</w:t>
            </w:r>
          </w:p>
        </w:tc>
        <w:tc>
          <w:tcPr>
            <w:tcW w:w="136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 xml:space="preserve">Не менее </w:t>
            </w: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767171" w:themeColor="background2" w:themeShade="80"/>
                <w:kern w:val="0"/>
                <w:sz w:val="20"/>
                <w:szCs w:val="20"/>
                <w:lang w:val="ru-RU" w:eastAsia="ru-RU" w:bidi="ar-SA"/>
              </w:rPr>
              <w:t>указать характеристики</w:t>
            </w:r>
          </w:p>
        </w:tc>
        <w:tc>
          <w:tcPr>
            <w:tcW w:w="192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7798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Поставляемое оборудование должно быть сертифицировано как СрЗИ и отвечать требованиям: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«Требования по безопасности информации, устанавливающие уровни доверия к средствам технической защиты информации и средствам обеспечения безопасности информационных технологий» (ФСТЭК России, 2020) по 3 уровню доверия, «Требования к межсетевым экранам» (ФСТЭК России, 2016), «Профиль защиты межсетевых экранов типа А третьего класса защиты. ИТ.МЭ.А3.ПЗ» (ФСТЭК России, 2016), «Требования ФСБ России к устройствам типа межсетевые экраны 4 класса защищенности», «Требованиям к средствам криптографической защиты информации класса КС3» (ФСБ России)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808080" w:themeColor="background1" w:themeShade="80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2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0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308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Требования к техническим и функциональным характеристикам права на использование "АПКШ "Континент". Версия 3.9" на платформе IPC-R50. Базовая лицензия. Криптошлюз. КС3</w:t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7798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Функция одновременной работы через несколько внешних сетевых подключений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808080" w:themeColor="background1" w:themeShade="80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2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7798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Функция распределения сетевой нагрузки между несколькими внешними каналами связи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808080" w:themeColor="background1" w:themeShade="80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2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7798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 xml:space="preserve">Функция протокола динамической маршрутизации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Routing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Information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Protocol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808080" w:themeColor="background1" w:themeShade="80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2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7798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 xml:space="preserve">Функция протокола динамической маршрутизации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Open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Shortest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Path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First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808080" w:themeColor="background1" w:themeShade="80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2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7798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 xml:space="preserve">Функция протокола динамической маршрутизации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Border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Gateway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Protocol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808080" w:themeColor="background1" w:themeShade="80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2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7798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Функция приоритизации трафика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808080" w:themeColor="background1" w:themeShade="80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2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7798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Функция управления приоритетами, на основе разделения сетевые данные на категории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808080" w:themeColor="background1" w:themeShade="80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2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7798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Функция резервирования трафика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808080" w:themeColor="background1" w:themeShade="80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2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7798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 xml:space="preserve">Функция приоритизации трафика на основе меток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Type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of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Service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808080" w:themeColor="background1" w:themeShade="80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2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7798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 xml:space="preserve">Функция фильтрации трафика на основе меток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Type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of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Service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808080" w:themeColor="background1" w:themeShade="80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2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7798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Функция управления трафиком при помощи ограничения полосы пропускания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808080" w:themeColor="background1" w:themeShade="80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2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7798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 xml:space="preserve">Поддержка технологии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VLAN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 xml:space="preserve"> (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IEEE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 xml:space="preserve"> 802.1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Q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)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808080" w:themeColor="background1" w:themeShade="80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2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7798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Поддержка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протокола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 xml:space="preserve"> LATP (Link Aggregation Control Protocol)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808080" w:themeColor="background1" w:themeShade="80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2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7798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Поддержка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технологии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 xml:space="preserve"> NAT (Network Address Translation)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808080" w:themeColor="background1" w:themeShade="80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2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7798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 xml:space="preserve">Функция встроенного сервера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IP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-адресов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808080" w:themeColor="background1" w:themeShade="80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2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7798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 xml:space="preserve">Поддержка режима зеркалирования трафика с настраиваемым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SPAN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 xml:space="preserve">-портом 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808080" w:themeColor="background1" w:themeShade="80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2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0"/>
                <w:numId w:val="11"/>
              </w:numPr>
              <w:ind w:left="227" w:hanging="34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308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spacing w:before="20" w:after="0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color w:val="000000"/>
                <w:sz w:val="20"/>
                <w:szCs w:val="20"/>
              </w:rPr>
              <w:t>Требования к гарантиям, гарантийному и послегарантийному обслуживанию и технической поддержки</w:t>
            </w:r>
          </w:p>
          <w:p>
            <w:pPr>
              <w:pStyle w:val="Style41"/>
              <w:widowControl w:val="false"/>
              <w:spacing w:before="20" w:after="0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227" w:right="0" w:firstLine="17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3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Срок гарантии на поставляемое оборудование, включая все его составляющие части (комплектующие изделия).</w:t>
            </w:r>
          </w:p>
        </w:tc>
        <w:tc>
          <w:tcPr>
            <w:tcW w:w="39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color w:val="000000"/>
                <w:sz w:val="20"/>
                <w:szCs w:val="20"/>
              </w:rPr>
              <w:t>Не менее, чем на 72</w:t>
            </w:r>
            <w:r>
              <w:rPr>
                <w:rFonts w:ascii="Liberation Serif" w:hAnsi="Liberation Serif"/>
                <w:b/>
                <w:i/>
                <w:color w:val="000000"/>
                <w:sz w:val="20"/>
                <w:szCs w:val="20"/>
                <w:highlight w:val="yellow"/>
              </w:rPr>
              <w:t xml:space="preserve"> месяцев</w:t>
            </w:r>
            <w:bookmarkStart w:id="20" w:name="_GoBack"/>
            <w:bookmarkEnd w:id="20"/>
            <w:r>
              <w:rPr>
                <w:rFonts w:ascii="Liberation Serif" w:hAnsi="Liberation Serif"/>
                <w:b/>
                <w:i/>
                <w:color w:val="000000"/>
                <w:sz w:val="20"/>
                <w:szCs w:val="20"/>
              </w:rPr>
              <w:t>.</w:t>
            </w:r>
          </w:p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Время начала исчисления гарантийного срока с момента подписания ТОРГ-12 или УПД.</w:t>
            </w:r>
          </w:p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Установленный в отношении Товара гарантийный срок распространяется на все его составляющие части (комплектующие изделия)</w:t>
            </w:r>
          </w:p>
        </w:tc>
        <w:tc>
          <w:tcPr>
            <w:tcW w:w="16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757070"/>
                <w:sz w:val="20"/>
                <w:szCs w:val="20"/>
              </w:rPr>
              <w:t>Указать срок гарантии на продукцию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spacing w:before="4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color w:val="000000"/>
                <w:sz w:val="20"/>
                <w:szCs w:val="20"/>
              </w:rPr>
              <w:t>-//-</w:t>
            </w:r>
          </w:p>
        </w:tc>
        <w:tc>
          <w:tcPr>
            <w:tcW w:w="17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227" w:right="0" w:firstLine="17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3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Техническая поддержка</w:t>
            </w:r>
          </w:p>
        </w:tc>
        <w:tc>
          <w:tcPr>
            <w:tcW w:w="39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ind w:firstLine="709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shd w:fill="FFFF00" w:val="clear"/>
                <w:lang w:eastAsia="ru-RU" w:bidi="ar-SA"/>
              </w:rPr>
              <w:t>Техническая поддержка осуществляется на протяжении всего срока гарантии и в соответствии с условиями предоставления услуги «Техническая поддержка» производителя компонентов ЗСПД.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069" w:leader="none"/>
              </w:tabs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eastAsia="ru-RU" w:bidi="ar-SA"/>
              </w:rPr>
              <w:t>Техническая поддержка включает следующий набор услуг:</w:t>
            </w:r>
          </w:p>
          <w:p>
            <w:pPr>
              <w:pStyle w:val="ListParagraph"/>
              <w:widowControl w:val="false"/>
              <w:spacing w:before="0" w:after="0"/>
              <w:ind w:left="227" w:hanging="227"/>
              <w:contextualSpacing w:val="false"/>
              <w:jc w:val="both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Возможность регистрации и контроля обращений через портал самообслуживания;</w:t>
            </w:r>
          </w:p>
          <w:p>
            <w:pPr>
              <w:pStyle w:val="ListParagraph"/>
              <w:widowControl w:val="false"/>
              <w:spacing w:before="0" w:after="0"/>
              <w:ind w:left="227" w:hanging="227"/>
              <w:contextualSpacing w:val="false"/>
              <w:jc w:val="both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Работа над инцидентами в режиме 8х5 в рабочие дни</w:t>
            </w:r>
          </w:p>
          <w:p>
            <w:pPr>
              <w:pStyle w:val="ListParagraph"/>
              <w:widowControl w:val="false"/>
              <w:spacing w:before="0" w:after="0"/>
              <w:ind w:left="227" w:hanging="227"/>
              <w:contextualSpacing w:val="false"/>
              <w:jc w:val="both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Консультирование по установке и использованию продукта;</w:t>
            </w:r>
          </w:p>
          <w:p>
            <w:pPr>
              <w:pStyle w:val="ListParagraph"/>
              <w:widowControl w:val="false"/>
              <w:spacing w:before="0" w:after="0"/>
              <w:ind w:left="227" w:hanging="227"/>
              <w:contextualSpacing w:val="false"/>
              <w:jc w:val="both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Информирование о доступных обновлениях продукта по запросу;</w:t>
            </w:r>
          </w:p>
          <w:p>
            <w:pPr>
              <w:pStyle w:val="ListParagraph"/>
              <w:widowControl w:val="false"/>
              <w:spacing w:before="0" w:after="0"/>
              <w:ind w:left="227" w:hanging="227"/>
              <w:contextualSpacing w:val="false"/>
              <w:jc w:val="both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Доступ к пакетам обновлений продукта;</w:t>
            </w:r>
          </w:p>
          <w:p>
            <w:pPr>
              <w:pStyle w:val="ListParagraph"/>
              <w:widowControl w:val="false"/>
              <w:spacing w:before="0" w:after="0"/>
              <w:ind w:left="227" w:hanging="227"/>
              <w:contextualSpacing w:val="false"/>
              <w:jc w:val="both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Доступ к базе знаний (известные ошибки и типовые решения);</w:t>
            </w:r>
          </w:p>
          <w:p>
            <w:pPr>
              <w:pStyle w:val="ListParagraph"/>
              <w:widowControl w:val="false"/>
              <w:spacing w:before="0" w:after="0"/>
              <w:ind w:left="227" w:hanging="227"/>
              <w:contextualSpacing w:val="false"/>
              <w:jc w:val="both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Прием предложений по улучшению продукта.</w:t>
            </w:r>
          </w:p>
          <w:p>
            <w:pPr>
              <w:pStyle w:val="Standard"/>
              <w:widowControl w:val="false"/>
              <w:ind w:firstLine="602"/>
              <w:jc w:val="both"/>
              <w:rPr>
                <w:rFonts w:ascii="Liberation Serif" w:hAnsi="Liberation Serif" w:eastAsia="Times New Roman" w:cs="Times New Roman"/>
                <w:iCs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 w:ascii="Liberation Serif" w:hAnsi="Liberation Serif"/>
                <w:iCs/>
                <w:kern w:val="0"/>
                <w:sz w:val="20"/>
                <w:szCs w:val="20"/>
                <w:lang w:eastAsia="ru-RU" w:bidi="ar-SA"/>
              </w:rPr>
            </w:r>
          </w:p>
        </w:tc>
        <w:tc>
          <w:tcPr>
            <w:tcW w:w="16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757070"/>
                <w:sz w:val="20"/>
                <w:szCs w:val="20"/>
              </w:rPr>
              <w:t>Согласие с требованием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spacing w:before="4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color w:val="000000"/>
                <w:sz w:val="20"/>
                <w:szCs w:val="20"/>
              </w:rPr>
              <w:t>-//-</w:t>
            </w:r>
          </w:p>
        </w:tc>
        <w:tc>
          <w:tcPr>
            <w:tcW w:w="17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0"/>
                <w:numId w:val="11"/>
              </w:numPr>
              <w:suppressLineNumbers/>
              <w:suppressAutoHyphens w:val="true"/>
              <w:bidi w:val="0"/>
              <w:spacing w:before="0" w:after="0"/>
              <w:ind w:left="0" w:right="0" w:firstLine="454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308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kern w:val="0"/>
                <w:sz w:val="20"/>
                <w:szCs w:val="20"/>
                <w:lang w:eastAsia="ru-RU" w:bidi="ar-SA"/>
              </w:rPr>
              <w:t>Требования к сроку выпуска продукции</w:t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227" w:right="0" w:firstLine="227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778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spacing w:before="60" w:after="6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Продукция должна быть новой 202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5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-2026 гг. выпуска и ранее неиспользованной. (Под новым следует понимать продукцию, которая не была в употреблении, не проходила ремонт, в том числе восстановление, замену составных частей, восстановление потребительских свойств)</w:t>
            </w:r>
          </w:p>
        </w:tc>
        <w:tc>
          <w:tcPr>
            <w:tcW w:w="16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spacing w:before="60" w:after="6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757070"/>
                <w:sz w:val="20"/>
                <w:szCs w:val="20"/>
              </w:rPr>
              <w:t>Указать срок изготовления предлагаемой продукции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spacing w:before="60" w:after="6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color w:val="000000"/>
                <w:sz w:val="20"/>
                <w:szCs w:val="20"/>
              </w:rPr>
              <w:t>-//-</w:t>
            </w:r>
          </w:p>
        </w:tc>
        <w:tc>
          <w:tcPr>
            <w:tcW w:w="17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0"/>
                <w:numId w:val="11"/>
              </w:numPr>
              <w:suppressLineNumbers/>
              <w:suppressAutoHyphens w:val="true"/>
              <w:bidi w:val="0"/>
              <w:spacing w:before="0" w:after="0"/>
              <w:ind w:left="-113" w:right="0" w:firstLine="51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308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color w:val="000000"/>
                <w:sz w:val="20"/>
                <w:szCs w:val="20"/>
              </w:rPr>
              <w:t>Требование к доставке</w:t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-113" w:right="0" w:firstLine="51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3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ind w:right="145" w:hanging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Место поставки Оборудования связи.</w:t>
            </w:r>
          </w:p>
        </w:tc>
        <w:tc>
          <w:tcPr>
            <w:tcW w:w="39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6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757070"/>
                <w:sz w:val="20"/>
                <w:szCs w:val="20"/>
              </w:rPr>
              <w:t>Согласие с требованием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color w:val="000000"/>
                <w:sz w:val="20"/>
                <w:szCs w:val="20"/>
              </w:rPr>
              <w:t>-//-</w:t>
            </w:r>
          </w:p>
        </w:tc>
        <w:tc>
          <w:tcPr>
            <w:tcW w:w="17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</w:tbl>
    <w:p>
      <w:pPr>
        <w:pStyle w:val="Heading1"/>
        <w:keepLines/>
        <w:numPr>
          <w:ilvl w:val="0"/>
          <w:numId w:val="3"/>
        </w:numPr>
        <w:tabs>
          <w:tab w:val="clear" w:pos="708"/>
          <w:tab w:val="left" w:pos="1134" w:leader="none"/>
        </w:tabs>
        <w:spacing w:before="120" w:after="0"/>
        <w:ind w:left="0" w:firstLine="567"/>
        <w:rPr>
          <w:rFonts w:ascii="Liberation Serif" w:hAnsi="Liberation Serif"/>
          <w:sz w:val="20"/>
          <w:szCs w:val="20"/>
        </w:rPr>
      </w:pPr>
      <w:bookmarkStart w:id="21" w:name="_Toc53393312"/>
      <w:r>
        <w:rPr>
          <w:rFonts w:ascii="Liberation Serif" w:hAnsi="Liberation Serif"/>
          <w:sz w:val="20"/>
          <w:szCs w:val="20"/>
          <w:lang w:val="ru-RU"/>
        </w:rPr>
        <w:t>Требования к документации по ценообразованию</w:t>
      </w:r>
      <w:bookmarkEnd w:id="21"/>
      <w:r>
        <w:rPr>
          <w:rFonts w:ascii="Liberation Serif" w:hAnsi="Liberation Serif"/>
          <w:sz w:val="20"/>
          <w:szCs w:val="20"/>
          <w:lang w:val="ru-RU"/>
        </w:rPr>
        <w:t xml:space="preserve"> на этапе закупки</w:t>
      </w:r>
      <w:bookmarkEnd w:id="19"/>
    </w:p>
    <w:p>
      <w:pPr>
        <w:pStyle w:val="Normal"/>
        <w:rPr>
          <w:rFonts w:ascii="Liberation Serif" w:hAnsi="Liberation Serif"/>
          <w:sz w:val="20"/>
          <w:szCs w:val="20"/>
          <w:lang w:eastAsia="x-none"/>
        </w:rPr>
      </w:pPr>
      <w:r>
        <w:rPr>
          <w:rFonts w:ascii="Liberation Serif" w:hAnsi="Liberation Serif"/>
          <w:sz w:val="20"/>
          <w:szCs w:val="20"/>
          <w:lang w:eastAsia="x-none"/>
        </w:rPr>
      </w:r>
    </w:p>
    <w:p>
      <w:pPr>
        <w:pStyle w:val="Normal"/>
        <w:tabs>
          <w:tab w:val="clear" w:pos="708"/>
          <w:tab w:val="left" w:pos="1134" w:leader="none"/>
        </w:tabs>
        <w:ind w:firstLine="567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bCs/>
          <w:iCs/>
          <w:sz w:val="20"/>
          <w:szCs w:val="20"/>
          <w:lang w:eastAsia="x-none"/>
        </w:rPr>
        <w:t xml:space="preserve">3.1. </w:t>
      </w:r>
      <w:r>
        <w:rPr>
          <w:rFonts w:ascii="Liberation Serif" w:hAnsi="Liberation Serif"/>
          <w:sz w:val="20"/>
          <w:szCs w:val="20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spacing w:before="0" w:after="240"/>
        <w:ind w:firstLine="567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bCs/>
          <w:iCs/>
          <w:sz w:val="20"/>
          <w:szCs w:val="20"/>
          <w:lang w:eastAsia="x-none"/>
        </w:rPr>
        <w:t>3.2.</w:t>
      </w:r>
      <w:r>
        <w:rPr>
          <w:rFonts w:ascii="Liberation Serif" w:hAnsi="Liberation Serif"/>
          <w:sz w:val="20"/>
          <w:szCs w:val="20"/>
        </w:rPr>
        <w:t xml:space="preserve"> Все цены в предложении должны включать все налоги, транспортные расходы и другие обязательные платежи, стоимость всех сопутствующих работ (услуг), а также все скидки, предлагаемые участником.</w:t>
      </w:r>
    </w:p>
    <w:p>
      <w:pPr>
        <w:pStyle w:val="ListParagraph"/>
        <w:spacing w:before="0" w:after="240"/>
        <w:ind w:left="720" w:firstLine="567"/>
        <w:contextualSpacing w:val="false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b/>
          <w:bCs/>
          <w:sz w:val="20"/>
          <w:szCs w:val="20"/>
        </w:rPr>
        <w:t>Специальные требования</w:t>
      </w:r>
    </w:p>
    <w:p>
      <w:pPr>
        <w:pStyle w:val="ListParagraph"/>
        <w:keepNext w:val="true"/>
        <w:spacing w:before="60" w:after="0"/>
        <w:ind w:left="0" w:hanging="0"/>
        <w:contextualSpacing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b/>
          <w:bCs/>
          <w:sz w:val="20"/>
          <w:szCs w:val="20"/>
        </w:rPr>
        <w:t>Таблица 4. Перечень специальных требований</w:t>
      </w:r>
    </w:p>
    <w:p>
      <w:pPr>
        <w:pStyle w:val="ListParagraph"/>
        <w:keepNext w:val="true"/>
        <w:spacing w:before="60" w:after="0"/>
        <w:ind w:left="0" w:hanging="0"/>
        <w:contextualSpacing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</w:r>
    </w:p>
    <w:tbl>
      <w:tblPr>
        <w:tblW w:w="1473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74"/>
        <w:gridCol w:w="6281"/>
        <w:gridCol w:w="7875"/>
      </w:tblGrid>
      <w:tr>
        <w:trPr>
          <w:trHeight w:val="20" w:hRule="atLeast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 xml:space="preserve">№ </w:t>
            </w: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Требования к Участникам</w:t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</w: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Требования к документам, подтверждающим соответствие Участника установленным требованиям</w:t>
            </w:r>
          </w:p>
        </w:tc>
      </w:tr>
      <w:tr>
        <w:trPr>
          <w:trHeight w:val="20" w:hRule="atLeast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1.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В соответствии со статьей 12 Федерального закона от 04.05.2011 № 99-ФЗ «О лицензировании отдельных видов деятельности» и с Постановлением Правительства РФ от 16.04.2012 №313 "Об утверждении Положения о лицензировании деятельности по разработке, производству, распространению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выполнению работ, оказанию услуг в области шифрования информации, техническому обслуживанию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 (за исключением случая, если техническое обслуживание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осуществляется для обеспечения собственных нужд юридического лица или индивидуального предпринимателя)"</w:t>
            </w:r>
          </w:p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Для подтверждения указанному требованию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Участник должен предоставить в составе заявки:</w:t>
            </w:r>
          </w:p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Лицензию ФСБ России на осуществление разработки, производства, распространения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выполнения работ, оказания услуг в области шифрования информации, технического обслуживания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 (за исключением случая, если техническое обслуживание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осуществляется для обеспечения собственных нужд юридического лица или индивидуального предпринимателя).</w:t>
            </w:r>
          </w:p>
        </w:tc>
      </w:tr>
    </w:tbl>
    <w:p>
      <w:pPr>
        <w:pStyle w:val="ListParagraph"/>
        <w:ind w:hanging="0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</w:r>
    </w:p>
    <w:sectPr>
      <w:headerReference w:type="even" r:id="rId2"/>
      <w:headerReference w:type="default" r:id="rId3"/>
      <w:headerReference w:type="first" r:id="rId4"/>
      <w:footnotePr>
        <w:numFmt w:val="decimal"/>
      </w:footnotePr>
      <w:type w:val="nextPage"/>
      <w:pgSz w:orient="landscape" w:w="16838" w:h="11906"/>
      <w:pgMar w:left="1418" w:right="678" w:gutter="0" w:header="680" w:top="1276" w:footer="0" w:bottom="709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 w:val="false"/>
        <w:ind w:firstLine="284"/>
        <w:jc w:val="both"/>
        <w:rPr>
          <w:color w:val="000000"/>
        </w:rPr>
      </w:pPr>
      <w:r>
        <w:rPr>
          <w:rStyle w:val="Style"/>
        </w:rPr>
        <w:footnoteRef/>
      </w:r>
      <w:r>
        <w:rPr>
          <w:color w:val="000000"/>
        </w:rPr>
        <w:t xml:space="preserve"> </w:t>
      </w:r>
      <w:r>
        <w:rPr>
          <w:color w:val="000000"/>
        </w:rPr>
        <w:t>Поставка эквивалента недопустима. Защищенная сеть передачи данных в инфраструктуре Заказчика построена на базе продуктов АПКШ «Континент». Использование иных решений сопряжено с рисками несовместимости поставляемых компонентов и нежелательных изменений инфраструктуры Заказчика.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/>
        <w:kern w:val="0"/>
        <w:effect w:val="none"/>
        <w:szCs w:val="22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3"/>
      <w:numFmt w:val="none"/>
      <w:suff w:val="nothing"/>
      <w:lvlText w:val="1."/>
      <w:lvlJc w:val="left"/>
      <w:pPr>
        <w:tabs>
          <w:tab w:val="num" w:pos="0"/>
        </w:tabs>
        <w:ind w:left="357" w:hanging="357"/>
      </w:pPr>
      <w:rPr>
        <w:b/>
      </w:rPr>
    </w:lvl>
    <w:lvl w:ilvl="1">
      <w:start w:val="1"/>
      <w:numFmt w:val="decimal"/>
      <w:lvlText w:val="1.%2."/>
      <w:lvlJc w:val="left"/>
      <w:pPr>
        <w:tabs>
          <w:tab w:val="num" w:pos="0"/>
        </w:tabs>
        <w:ind w:left="-32767" w:firstLine="32767"/>
      </w:pPr>
      <w:rPr/>
    </w:lvl>
    <w:lvl w:ilvl="2">
      <w:start w:val="1"/>
      <w:numFmt w:val="decimal"/>
      <w:lvlText w:val="%1%2.%3."/>
      <w:lvlJc w:val="left"/>
      <w:pPr>
        <w:tabs>
          <w:tab w:val="num" w:pos="0"/>
        </w:tabs>
        <w:ind w:left="357" w:hanging="357"/>
      </w:pPr>
      <w:rPr/>
    </w:lvl>
    <w:lvl w:ilvl="3">
      <w:start w:val="1"/>
      <w:numFmt w:val="decimal"/>
      <w:lvlText w:val="%1%2.%3.%4."/>
      <w:lvlJc w:val="left"/>
      <w:pPr>
        <w:tabs>
          <w:tab w:val="num" w:pos="0"/>
        </w:tabs>
        <w:ind w:left="357" w:hanging="357"/>
      </w:pPr>
      <w:rPr/>
    </w:lvl>
    <w:lvl w:ilvl="4">
      <w:start w:val="1"/>
      <w:numFmt w:val="decimal"/>
      <w:lvlText w:val="%1%2.%3.%4.%5."/>
      <w:lvlJc w:val="left"/>
      <w:pPr>
        <w:tabs>
          <w:tab w:val="num" w:pos="0"/>
        </w:tabs>
        <w:ind w:left="357" w:hanging="357"/>
      </w:pPr>
      <w:rPr/>
    </w:lvl>
    <w:lvl w:ilvl="5">
      <w:start w:val="1"/>
      <w:numFmt w:val="decimal"/>
      <w:lvlText w:val="%1%2.%3.%4.%5.%6."/>
      <w:lvlJc w:val="left"/>
      <w:pPr>
        <w:tabs>
          <w:tab w:val="num" w:pos="0"/>
        </w:tabs>
        <w:ind w:left="357" w:hanging="357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7" w:hanging="357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57" w:hanging="357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57" w:hanging="357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52" w:hanging="432"/>
      </w:pPr>
      <w:rPr>
        <w:sz w:val="28"/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690"/>
        </w:tabs>
        <w:ind w:left="690" w:hanging="69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690"/>
        </w:tabs>
        <w:ind w:left="690" w:hanging="69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41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clear" w:pos="708"/>
        <w:tab w:val="left" w:pos="0" w:leader="none"/>
      </w:tabs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5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3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Markedcontent" w:customStyle="1">
    <w:name w:val="markedcontent"/>
    <w:basedOn w:val="DefaultParagraphFont"/>
    <w:qFormat/>
    <w:rsid w:val="00a33766"/>
    <w:rPr/>
  </w:style>
  <w:style w:type="character" w:styleId="Style14" w:customStyle="1">
    <w:name w:val="СписокОсн Знак"/>
    <w:basedOn w:val="Style7"/>
    <w:link w:val="Style37"/>
    <w:qFormat/>
    <w:rsid w:val="00e9368c"/>
    <w:rPr>
      <w:rFonts w:eastAsia="Calibri"/>
      <w:sz w:val="22"/>
      <w:szCs w:val="22"/>
      <w:lang w:val="en-US"/>
    </w:rPr>
  </w:style>
  <w:style w:type="character" w:styleId="Style15" w:customStyle="1">
    <w:name w:val="СписокБазовый Знак"/>
    <w:basedOn w:val="Style14"/>
    <w:link w:val="Style38"/>
    <w:qFormat/>
    <w:rsid w:val="006504ab"/>
    <w:rPr>
      <w:rFonts w:eastAsia="Calibri"/>
      <w:sz w:val="22"/>
      <w:szCs w:val="22"/>
      <w:lang w:val="en-US"/>
    </w:rPr>
  </w:style>
  <w:style w:type="character" w:styleId="Style16" w:customStyle="1">
    <w:name w:val="Спис Знак"/>
    <w:basedOn w:val="Style15"/>
    <w:link w:val="Style39"/>
    <w:qFormat/>
    <w:rsid w:val="006504ab"/>
    <w:rPr>
      <w:rFonts w:eastAsia="Calibri"/>
      <w:sz w:val="22"/>
      <w:szCs w:val="22"/>
      <w:lang w:val="en-US"/>
    </w:rPr>
  </w:style>
  <w:style w:type="character" w:styleId="Style17" w:customStyle="1">
    <w:name w:val="Символ нумерации"/>
    <w:qFormat/>
    <w:rPr/>
  </w:style>
  <w:style w:type="character" w:styleId="Style18">
    <w:name w:val="Маркеры"/>
    <w:qFormat/>
    <w:rPr>
      <w:rFonts w:ascii="OpenSymbol" w:hAnsi="OpenSymbol" w:eastAsia="OpenSymbol" w:cs="OpenSymbol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21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2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3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5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6" w:customStyle="1">
    <w:name w:val="Раздел регламента"/>
    <w:basedOn w:val="Normal"/>
    <w:qFormat/>
    <w:rsid w:val="00e228fa"/>
    <w:pPr/>
    <w:rPr/>
  </w:style>
  <w:style w:type="paragraph" w:styleId="Style27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8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9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9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30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1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2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3" w:customStyle="1">
    <w:name w:val="Подподпункт"/>
    <w:basedOn w:val="Style25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4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5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6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7" w:customStyle="1">
    <w:name w:val="СписокОсн"/>
    <w:basedOn w:val="ListParagraph"/>
    <w:link w:val="Style14"/>
    <w:qFormat/>
    <w:rsid w:val="00e9368c"/>
    <w:pPr>
      <w:tabs>
        <w:tab w:val="clear" w:pos="708"/>
        <w:tab w:val="left" w:pos="360" w:leader="none"/>
      </w:tabs>
      <w:spacing w:before="60" w:after="60"/>
      <w:ind w:left="0" w:hanging="0"/>
      <w:contextualSpacing/>
      <w:jc w:val="center"/>
    </w:pPr>
    <w:rPr>
      <w:sz w:val="22"/>
      <w:szCs w:val="22"/>
      <w:lang w:val="en-US"/>
    </w:rPr>
  </w:style>
  <w:style w:type="paragraph" w:styleId="Style38" w:customStyle="1">
    <w:name w:val="СписокБазовый"/>
    <w:basedOn w:val="Style37"/>
    <w:link w:val="Style15"/>
    <w:qFormat/>
    <w:rsid w:val="006504ab"/>
    <w:pPr>
      <w:numPr>
        <w:ilvl w:val="0"/>
        <w:numId w:val="6"/>
      </w:numPr>
      <w:tabs>
        <w:tab w:val="clear" w:pos="360"/>
      </w:tabs>
    </w:pPr>
    <w:rPr/>
  </w:style>
  <w:style w:type="paragraph" w:styleId="Style39" w:customStyle="1">
    <w:name w:val="Спис"/>
    <w:basedOn w:val="Style38"/>
    <w:link w:val="Style16"/>
    <w:qFormat/>
    <w:rsid w:val="006504ab"/>
    <w:pPr>
      <w:numPr>
        <w:ilvl w:val="0"/>
        <w:numId w:val="7"/>
      </w:numPr>
      <w:spacing w:before="0" w:after="0"/>
      <w:contextualSpacing/>
      <w:jc w:val="left"/>
    </w:pPr>
    <w:rPr/>
  </w:style>
  <w:style w:type="paragraph" w:styleId="Style40" w:customStyle="1">
    <w:name w:val="Содержимое врезки"/>
    <w:basedOn w:val="Normal"/>
    <w:qFormat/>
    <w:pPr/>
    <w:rPr/>
  </w:style>
  <w:style w:type="paragraph" w:styleId="Style41" w:customStyle="1">
    <w:name w:val="Содержимое таблицы"/>
    <w:basedOn w:val="Standard"/>
    <w:qFormat/>
    <w:rsid w:val="00a2617d"/>
    <w:pPr>
      <w:widowControl w:val="false"/>
      <w:suppressLineNumbers/>
    </w:pPr>
    <w:rPr/>
  </w:style>
  <w:style w:type="paragraph" w:styleId="Style42" w:customStyle="1">
    <w:name w:val="Заголовок таблицы"/>
    <w:basedOn w:val="Style41"/>
    <w:qFormat/>
    <w:pPr>
      <w:jc w:val="center"/>
    </w:pPr>
    <w:rPr>
      <w:b/>
      <w:bCs/>
    </w:rPr>
  </w:style>
  <w:style w:type="paragraph" w:styleId="Standard" w:customStyle="1">
    <w:name w:val="Standard"/>
    <w:qFormat/>
    <w:rsid w:val="00a2617d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Tahoma" w:cs="Lohit Devanagari"/>
      <w:color w:val="auto"/>
      <w:kern w:val="2"/>
      <w:sz w:val="24"/>
      <w:szCs w:val="24"/>
      <w:lang w:val="ru-RU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37" w:customStyle="1">
    <w:name w:val="Стиль3"/>
    <w:uiPriority w:val="99"/>
    <w:qFormat/>
    <w:rsid w:val="00e9368c"/>
  </w:style>
  <w:style w:type="numbering" w:styleId="21103315351" w:customStyle="1">
    <w:name w:val="21103315351"/>
    <w:qFormat/>
  </w:style>
  <w:style w:type="numbering" w:styleId="15098782151" w:customStyle="1">
    <w:name w:val="15098782151"/>
    <w:qFormat/>
  </w:style>
  <w:style w:type="numbering" w:styleId="31411215531" w:customStyle="1">
    <w:name w:val="31411215531"/>
    <w:qFormat/>
  </w:style>
  <w:style w:type="numbering" w:styleId="22071107391" w:customStyle="1">
    <w:name w:val="22071107391"/>
    <w:qFormat/>
  </w:style>
  <w:style w:type="numbering" w:styleId="36910105361">
    <w:name w:val="36910105361"/>
    <w:qFormat/>
  </w:style>
  <w:style w:type="numbering" w:styleId="28199797951">
    <w:name w:val="28199797951"/>
    <w:qFormat/>
  </w:style>
  <w:style w:type="numbering" w:styleId="4818736151">
    <w:name w:val="4818736151"/>
    <w:qFormat/>
  </w:style>
  <w:style w:type="numbering" w:styleId="11197878881">
    <w:name w:val="11197878881"/>
    <w:qFormat/>
  </w:style>
  <w:style w:type="numbering" w:styleId="37600535371">
    <w:name w:val="37600535371"/>
    <w:qFormat/>
  </w:style>
  <w:style w:type="numbering" w:styleId="23929267641">
    <w:name w:val="23929267641"/>
    <w:qFormat/>
  </w:style>
  <w:style w:type="numbering" w:styleId="34027692371">
    <w:name w:val="34027692371"/>
    <w:qFormat/>
  </w:style>
  <w:style w:type="table" w:default="1" w:styleId="a7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d">
    <w:name w:val="Table Grid"/>
    <w:basedOn w:val="a7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7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80A64-CC95-4E8F-80D8-00652E49B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Application>AlterOffice/3.4.0.6$Linux_X86_64 LibreOffice_project/ad8c41dce69105450bf791d4900d64b1f82e10d0</Application>
  <AppVersion>15.0000</AppVersion>
  <Pages>10</Pages>
  <Words>1989</Words>
  <Characters>14025</Characters>
  <CharactersWithSpaces>15601</CharactersWithSpaces>
  <Paragraphs>441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2026-01-13T06:41:00Z</dcterms:created>
  <dc:creator/>
  <dc:description/>
  <dc:language>ru-RU</dc:language>
  <cp:lastModifiedBy>pershin_dd</cp:lastModifiedBy>
  <dcterms:modified xsi:type="dcterms:W3CDTF">2026-05-12T10:35:06Z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