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 w:left="0" w:right="0"/>
        <w:jc w:val="center"/>
        <w:rPr/>
      </w:pPr>
      <w:r>
        <w:rPr/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>ОКПД 2: 26.51.53.110 Поставка детектора взрывчатых веществ Пилот-М для Кубанского филиала.</w:t>
      </w:r>
    </w:p>
    <w:p>
      <w:pPr>
        <w:pStyle w:val="Style17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yle17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64" w:before="0" w:after="0"/>
        <w:ind w:firstLine="851" w:left="0" w:right="0"/>
        <w:jc w:val="center"/>
        <w:outlineLvl w:val="1"/>
        <w:rPr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сведения………………………………………………………………………….……………..3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продукции.…………………………………………………….3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продукции.………………………………………………………………………………3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продукции……………………………………………...3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продукции…………………………………………………………………….4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3. Требования к документации по ценообразованию на этапе закупки...…………………………….7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1. Общ</w:t>
      </w:r>
      <w:bookmarkStart w:id="1" w:name="_Toc75446566"/>
      <w:bookmarkStart w:id="2" w:name="_Toc125473240"/>
      <w:bookmarkStart w:id="3" w:name="_Toc125476050"/>
      <w:bookmarkStart w:id="4" w:name="_Toc51339692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rFonts w:ascii="Times New Roman" w:hAnsi="Times New Roman" w:cs="Times New Roman"/>
          <w:b/>
          <w:lang w:eastAsia="x-none"/>
        </w:rPr>
      </w:pPr>
      <w:r>
        <w:rPr>
          <w:rFonts w:cs="Times New Roman" w:ascii="Times New Roman" w:hAnsi="Times New Roman"/>
          <w:b/>
          <w:lang w:eastAsia="x-none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5" w:name="_Toc125473241"/>
      <w:bookmarkStart w:id="6" w:name="_Toc12547605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contextualSpacing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ОКПД 2: 26.51.53.110 Поставка детектора взрывчатых веществ Пилот-М для Кубанского филиала </w:t>
      </w:r>
      <w:r>
        <w:rPr>
          <w:rFonts w:cs="Times New Roman" w:ascii="Times New Roman" w:hAnsi="Times New Roman"/>
          <w:sz w:val="24"/>
          <w:szCs w:val="24"/>
        </w:rPr>
        <w:t>(далее продукция).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7" w:name="_Toc125476052"/>
      <w:bookmarkStart w:id="8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Normal"/>
        <w:numPr>
          <w:ilvl w:val="1"/>
        </w:numPr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Исполнение обязательств по договору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№ 1210-153-2024/3-ТПиР-БЕЗ-2024-ККГЭС от 03.06.2024г «Выполнение работы по монтажу и наладке оборудования систем </w:t>
      </w: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 xml:space="preserve">оперативной радиосвязи, оповещения, охранного телевидения, охранно-тревожной сигнализации, контроля и управления доступом, сбора и обработки информации объектов в административном здании в г. Невинномысск, ГЭС-1, ГЭС-2, ГЭС-3, ГЭС-4, Егорлыкской ГЭС, Егорлыкской ГЭС-2, Свистухинской ГЭС, монтажу ограждений площадки ОРУ-330 кВ и плотины выравнивающего водохранилища ГЭС-2, плотины выравнивающего водохранилища ГЭС-3, плотины Егорлыкского водохранилища, в рамках выполнения инвестиционного проекта K_T-1210-042»,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заключенного между ПАО РусГидро «Федеральная гидрогенерирующая компания –РусГидро» и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hanging="0" w:left="0" w:right="0"/>
        <w:jc w:val="center"/>
        <w:outlineLvl w:val="0"/>
        <w:rPr>
          <w:sz w:val="24"/>
          <w:szCs w:val="24"/>
        </w:rPr>
      </w:pPr>
      <w:bookmarkStart w:id="9" w:name="_Toc125476056"/>
      <w:bookmarkStart w:id="10" w:name="_Toc125473249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2. </w:t>
      </w:r>
      <w:bookmarkStart w:id="11" w:name="_Toc51339693"/>
      <w:bookmarkStart w:id="12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9"/>
      <w:bookmarkEnd w:id="10"/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17" w:right="0"/>
        <w:jc w:val="center"/>
        <w:outlineLvl w:val="0"/>
        <w:rPr>
          <w:rFonts w:ascii="Times New Roman" w:hAnsi="Times New Roman" w:cs="Times New Roman"/>
          <w:b/>
          <w:iCs/>
          <w:lang w:eastAsia="x-none"/>
        </w:rPr>
      </w:pPr>
      <w:r>
        <w:rPr>
          <w:rFonts w:cs="Times New Roman" w:ascii="Times New Roman" w:hAnsi="Times New Roman"/>
          <w:b/>
          <w:iCs/>
          <w:lang w:eastAsia="x-none"/>
        </w:rPr>
      </w:r>
    </w:p>
    <w:p>
      <w:pPr>
        <w:pStyle w:val="Normal"/>
        <w:keepNext w:val="true"/>
        <w:numPr>
          <w:ilvl w:val="1"/>
          <w:numId w:val="3"/>
        </w:numPr>
        <w:spacing w:lineRule="auto" w:line="240" w:before="120" w:after="0"/>
        <w:ind w:hanging="567" w:left="567" w:right="0"/>
        <w:outlineLvl w:val="3"/>
        <w:rPr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 w:right="0"/>
        <w:outlineLvl w:val="2"/>
        <w:rPr>
          <w:sz w:val="24"/>
          <w:szCs w:val="24"/>
        </w:rPr>
      </w:pPr>
      <w:bookmarkStart w:id="14" w:name="_Toc125473250"/>
      <w:bookmarkStart w:id="15" w:name="_Toc125476057"/>
      <w:bookmarkStart w:id="16" w:name="_Toc75446575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17" w:name="_Toc125473251"/>
      <w:bookmarkStart w:id="18" w:name="_Toc125476058"/>
      <w:bookmarkStart w:id="19" w:name="_Toc75446576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102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529"/>
        <w:gridCol w:w="1350"/>
        <w:gridCol w:w="1482"/>
      </w:tblGrid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351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Детектор взрывчатых веществ Пилот-М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21" w:name="_Toc125476060"/>
      <w:bookmarkStart w:id="22" w:name="_Toc75446579"/>
      <w:bookmarkStart w:id="23" w:name="_Toc125473253"/>
      <w:bookmarkStart w:id="24" w:name="_Toc50125127"/>
      <w:bookmarkStart w:id="25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1"/>
      <w:bookmarkEnd w:id="22"/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2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51"/>
        <w:gridCol w:w="2239"/>
        <w:gridCol w:w="3556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продукции/ партии продукции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ОКПД 2:  26.51.53.110 Поставка детектора взрывчатых веществ Пилот-М для Кубанского филиала.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(в соответствии с Таблица 1.1 Перечень объемов закупаемой продукции)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течение 80 рабочих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  <w:bookmarkStart w:id="27" w:name="_Toc125476061_Копия_1_Копия_1_Копия_1_Ко"/>
      <w:bookmarkStart w:id="28" w:name="_Toc125473255_Копия_1_Копия_1_Копия_1_Ко"/>
      <w:bookmarkStart w:id="29" w:name="_Toc125476061_Копия_1_Копия_1_Копия_1_Ко"/>
      <w:bookmarkStart w:id="30" w:name="_Toc125473255_Копия_1_Копия_1_Копия_1_Ко"/>
      <w:bookmarkStart w:id="31" w:name="_Toc125476061_Копия_1_Копия_1_Копия_1_Ко"/>
      <w:bookmarkStart w:id="32" w:name="_Toc125473255_Копия_1_Копия_1_Копия_1_Ко"/>
      <w:bookmarkStart w:id="33" w:name="_Toc125476061_Копия_1_Копия_1_Копия_1_Ко"/>
      <w:bookmarkStart w:id="34" w:name="_Toc125473255_Копия_1_Копия_1_Копия_1_Ко"/>
      <w:bookmarkStart w:id="35" w:name="_Toc125476061_Копия_1_Копия_1_Копия_1_Ко"/>
      <w:bookmarkStart w:id="36" w:name="_Toc125473255_Копия_1_Копия_1_Копия_1_Ко"/>
      <w:bookmarkStart w:id="37" w:name="_Toc125476061_Копия_1_Копия_1_Копия_1_Ко"/>
      <w:bookmarkStart w:id="38" w:name="_Toc125473255_Копия_1_Копия_1_Копия_1_Ко"/>
      <w:bookmarkStart w:id="39" w:name="_Toc125476061_Копия_1_Копия_1_Копия_1_Ко"/>
      <w:bookmarkStart w:id="40" w:name="_Toc125473255_Копия_1_Копия_1_Копия_1_Ко"/>
      <w:bookmarkStart w:id="41" w:name="_Toc125476061_Копия_1_Копия_1_Копия_1"/>
      <w:bookmarkStart w:id="42" w:name="_Toc125473255_Копия_1_Копия_1_Копия_1"/>
      <w:bookmarkStart w:id="43" w:name="_Toc125476061_Копия_1"/>
      <w:bookmarkStart w:id="44" w:name="_Toc125473255_Копия_1"/>
      <w:bookmarkStart w:id="45" w:name="_Toc125476061_Копия_1_Копия_1"/>
      <w:bookmarkStart w:id="46" w:name="_Toc125473255_Копия_1_Копия_1"/>
      <w:bookmarkStart w:id="47" w:name="_Toc125476061_Копия_1_Копия_1_Копия_1_Ко"/>
      <w:bookmarkStart w:id="48" w:name="_Toc125473255_Копия_1_Копия_1_Копия_1_Ко"/>
      <w:bookmarkStart w:id="49" w:name="_Toc125476061_Копия_1_Копия_1_Копия_1_Ко"/>
      <w:bookmarkStart w:id="50" w:name="_Toc125473255_Копия_1_Копия_1_Копия_1_Ко"/>
      <w:bookmarkStart w:id="51" w:name="_Toc125476061_Копия_1_Копия_1_Копия_1_Ко"/>
      <w:bookmarkStart w:id="52" w:name="_Toc125473255_Копия_1_Копия_1_Копия_1_Ко"/>
      <w:bookmarkStart w:id="53" w:name="_Toc125476061_Копия_1_Копия_1_Копия_1_Ко"/>
      <w:bookmarkStart w:id="54" w:name="_Toc125473255_Копия_1_Копия_1_Копия_1_Ко"/>
      <w:bookmarkStart w:id="55" w:name="_Toc125476061_Копия_1_Копия_1_Копия_1_Ко"/>
      <w:bookmarkStart w:id="56" w:name="_Toc125473255_Копия_1_Копия_1_Копия_1_Ко"/>
      <w:bookmarkStart w:id="57" w:name="_Toc125476061_Копия_1_Копия_1_Копия_1_Ко"/>
      <w:bookmarkStart w:id="58" w:name="_Toc125473255_Копия_1_Копия_1_Копия_1_Ко"/>
      <w:bookmarkStart w:id="59" w:name="_Toc125476061_Копия_1_Копия_1_Копия_1_Ко"/>
      <w:bookmarkStart w:id="60" w:name="_Toc125473255_Копия_1_Копия_1_Копия_1_Ко"/>
      <w:bookmarkStart w:id="61" w:name="_Toc125476061_Копия_1_Копия_1_Копия_1_Ко"/>
      <w:bookmarkStart w:id="62" w:name="_Toc125473255_Копия_1_Копия_1_Копия_1_Ко"/>
      <w:bookmarkStart w:id="63" w:name="_Toc125476061_Копия_1_Копия_1_Копия_1_Ко"/>
      <w:bookmarkStart w:id="64" w:name="_Toc125473255_Копия_1_Копия_1_Копия_1_Ко"/>
      <w:bookmarkStart w:id="65" w:name="_Toc125476061_Копия_1_Копия_1_Копия_1_Ко"/>
      <w:bookmarkStart w:id="66" w:name="_Toc125473255_Копия_1_Копия_1_Копия_1_Ко"/>
      <w:bookmarkStart w:id="67" w:name="_Toc125476061_Копия_1_Копия_1_Копия_1_Ко"/>
      <w:bookmarkStart w:id="68" w:name="_Toc125473255_Копия_1_Копия_1_Копия_1_Ко"/>
      <w:bookmarkStart w:id="69" w:name="_Toc125476061_Копия_1_Копия_1_Копия_1_Ко"/>
      <w:bookmarkStart w:id="70" w:name="_Toc125473255_Копия_1_Копия_1_Копия_1_Ко"/>
      <w:bookmarkStart w:id="71" w:name="_Toc125476061_Копия_1_Копия_1_Копия_1_Ко"/>
      <w:bookmarkStart w:id="72" w:name="_Toc125473255_Копия_1_Копия_1_Копия_1_Ко"/>
      <w:bookmarkStart w:id="73" w:name="_Toc125476061_Копия_1_Копия_1_Копия_1_Ко"/>
      <w:bookmarkStart w:id="74" w:name="_Toc125473255_Копия_1_Копия_1_Копия_1_Ко"/>
      <w:bookmarkStart w:id="75" w:name="_Toc125476061_Копия_1_Копия_1_Копия_1"/>
      <w:bookmarkStart w:id="76" w:name="_Toc125473255_Копия_1_Копия_1_Копия_1"/>
      <w:bookmarkStart w:id="77" w:name="_Toc125476061_Копия_1"/>
      <w:bookmarkStart w:id="78" w:name="_Toc125473255_Копия_1"/>
      <w:bookmarkStart w:id="79" w:name="_Toc125476061_Копия_1_Копия_1"/>
      <w:bookmarkStart w:id="80" w:name="_Toc125473255_Копия_1_Копия_1"/>
      <w:bookmarkStart w:id="81" w:name="_Toc125476061_Копия_1_Копия_1_Копия_1_Ко"/>
      <w:bookmarkStart w:id="82" w:name="_Toc125473255_Копия_1_Копия_1_Копия_1_Ко"/>
      <w:bookmarkStart w:id="83" w:name="_Toc125476061_Копия_1_Копия_1_Копия_1_Ко"/>
      <w:bookmarkStart w:id="84" w:name="_Toc125473255_Копия_1_Копия_1_Копия_1_Ко"/>
      <w:bookmarkStart w:id="85" w:name="_Toc125476061_Копия_1_Копия_1_Копия_1_Ко"/>
      <w:bookmarkStart w:id="86" w:name="_Toc125473255_Копия_1_Копия_1_Копия_1_Ко"/>
      <w:bookmarkStart w:id="87" w:name="_Toc125476061_Копия_1_Копия_1_Копия_1_Ко"/>
      <w:bookmarkStart w:id="88" w:name="_Toc125473255_Копия_1_Копия_1_Копия_1_Ко"/>
      <w:bookmarkStart w:id="89" w:name="_Toc125476061_Копия_1_Копия_1_Копия_1_Ко"/>
      <w:bookmarkStart w:id="90" w:name="_Toc125473255_Копия_1_Копия_1_Копия_1_Ко"/>
      <w:bookmarkStart w:id="91" w:name="_Toc125476061_Копия_1_Копия_1_Копия_1_Ко"/>
      <w:bookmarkStart w:id="92" w:name="_Toc125473255_Копия_1_Копия_1_Копия_1_Ко"/>
      <w:bookmarkStart w:id="93" w:name="_Toc125476061_Копия_1_Копия_1_Копия_1_Ко"/>
      <w:bookmarkStart w:id="94" w:name="_Toc125473255_Копия_1_Копия_1_Копия_1_Ко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61440"/>
        </w:sectPr>
        <w:pStyle w:val="Normal"/>
        <w:spacing w:lineRule="auto" w:line="240" w:before="0" w:after="0"/>
        <w:rPr>
          <w:sz w:val="24"/>
          <w:szCs w:val="24"/>
        </w:rPr>
      </w:pPr>
      <w:bookmarkStart w:id="95" w:name="_Toc125476061_Копия_1_Копия_1_Копия_1_Ко"/>
      <w:bookmarkStart w:id="96" w:name="_Toc125473255_Копия_1_Копия_1_Копия_1_Ко"/>
      <w:bookmarkEnd w:id="95"/>
      <w:bookmarkEnd w:id="96"/>
      <w:r>
        <w:rPr>
          <w:rFonts w:cs="Times New Roman" w:ascii="Times New Roman" w:hAnsi="Times New Roman"/>
          <w:b/>
          <w:sz w:val="24"/>
          <w:szCs w:val="24"/>
          <w:lang w:eastAsia="x-none"/>
        </w:rPr>
        <w:t>2.2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                    </w:t>
      </w:r>
      <w:bookmarkStart w:id="97" w:name="_Toc125476062_Копия_1"/>
      <w:bookmarkStart w:id="98" w:name="_Toc125473256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качеству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продукции</w:t>
      </w:r>
      <w:bookmarkEnd w:id="97"/>
      <w:bookmarkEnd w:id="98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91" w:right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shd w:fill="FFFFFF" w:val="clear"/>
          <w:lang w:eastAsia="ar-SA"/>
        </w:rPr>
        <w:t>Наименование продукции: согласно Таблицы 1.1 Перечень и объем закупаемой продукции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shd w:fill="FFFFFF" w:val="clear"/>
          <w:lang w:eastAsia="ru-RU"/>
        </w:rPr>
        <w:t>.</w:t>
      </w:r>
    </w:p>
    <w:tbl>
      <w:tblPr>
        <w:tblW w:w="1467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1"/>
        <w:gridCol w:w="5548"/>
        <w:gridCol w:w="3406"/>
        <w:gridCol w:w="2773"/>
        <w:gridCol w:w="2192"/>
      </w:tblGrid>
      <w:tr>
        <w:trPr>
          <w:trHeight w:val="675" w:hRule="atLeast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п/п</w:t>
            </w:r>
          </w:p>
        </w:tc>
        <w:tc>
          <w:tcPr>
            <w:tcW w:w="5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Наименование параметра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Требование заказчика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05" w:hRule="atLeast"/>
        </w:trPr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74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3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5</w:t>
            </w:r>
          </w:p>
        </w:tc>
      </w:tr>
      <w:tr>
        <w:trPr>
          <w:trHeight w:val="9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</w:t>
            </w:r>
          </w:p>
        </w:tc>
        <w:tc>
          <w:tcPr>
            <w:tcW w:w="139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23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Детектор взрывчатых веществ Пилот-М</w:t>
            </w:r>
          </w:p>
        </w:tc>
        <w:tc>
          <w:tcPr>
            <w:tcW w:w="277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предел обнаружения паров тринитротолуола при температуре ºС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18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center"/>
              <w:rPr/>
            </w:pPr>
            <w:r>
              <w:rPr/>
            </w:r>
          </w:p>
        </w:tc>
        <w:tc>
          <w:tcPr>
            <w:tcW w:w="5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22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предел обнаружения паров тринитротолуола,  г/см3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1х10-13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23" w:hRule="atLeast"/>
        </w:trPr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предел обнаружения следовых количеств взрывчатых веществ по частицам тринитротолуола при температуре ºС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18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22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предел обнаружения следовых количеств взрывчатых веществ по частицам тринитротолуола, гр.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1х10-11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предел обнаружения следовых количеств взрывчатых веществпо частицам гексогена, гр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1х10-9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предел обнаружения следовых количеств взрывчатых веществ по частицам ТЭНа, гр 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5х10-10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отклика на наличие следов взрывчатых веществ, сек.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отклика детектора на наличие паров взрывчатых веществ, сек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1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детектора к работе - после включения, сек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10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1.1.10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непрерывной работы, ч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4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1.1.11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Электропитание, В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190 до 242, (50±1) Гц или аккумуляторная батарея 7,2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1.1.12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Звуковая и визуальная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дисплее информация наличия паров взрывчатых веществ в составе анализируемой пробы;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1.1.13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Индикация разряда аккумуляторной батареи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1.1.14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Состав изделия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Детектор паров</w:t>
              <w:br/>
              <w:t>Сетевой преобразователь</w:t>
              <w:br/>
              <w:t xml:space="preserve">Зарядное устройство </w:t>
              <w:br/>
              <w:t xml:space="preserve">Аккумуляторная батарея </w:t>
              <w:br/>
              <w:t>Источник паров ТНТ</w:t>
              <w:br/>
              <w:t xml:space="preserve">Устройство нагрева пробы с подставкой 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Пробоотборное устройство  </w:t>
              <w:br/>
              <w:t>Пробоотборная сетка</w:t>
              <w:br/>
              <w:t xml:space="preserve">Пробоотборные салфетки  </w:t>
              <w:br/>
              <w:t xml:space="preserve">Укладочный чемодан </w:t>
              <w:br/>
              <w:t xml:space="preserve">Руководство по эксплуатации 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34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59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2.1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Гарантия, не менее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 Продукцию устанавливается гарантийный срок, равный 36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022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2.2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3.1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Сертификат качества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 экземпляра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01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3.2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Упаковочный лист на продукцию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1 экземпляр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3.3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60"/>
              <w:ind w:hanging="0" w:left="0"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Технический паспорт на русском языке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экземпляр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3.4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851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иные документы предусмотренные п 3.3 договора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 экземпляра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19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3510" w:hRule="atLeast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4.1</w:t>
            </w:r>
          </w:p>
        </w:tc>
        <w:tc>
          <w:tcPr>
            <w:tcW w:w="55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Место поставки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Кубанский филиал АО «Гидроремонт – ВКК» в г. Невинномысск, Ставропольский край, Кочубеевский р-н,с.Кочубеевское, АВТОДОРОГА «КАВКАЗ» 246КМ+1200М (СПРАВА) в рабочие дни:с 9-00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4.2</w:t>
            </w:r>
          </w:p>
        </w:tc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Условия поставки за счет средств Поставщика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4.3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Продукция должна быть новой, не бывшей в употреблении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/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4.4</w:t>
            </w:r>
          </w:p>
        </w:tc>
        <w:tc>
          <w:tcPr>
            <w:tcW w:w="89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59" w:before="0" w:after="200"/>
              <w:ind w:hanging="0" w:left="57" w:right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Доставка оборудования должна соответствовать установленным требованиям.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77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BodyText"/>
        <w:rPr>
          <w:rFonts w:ascii="Times New Roman" w:hAnsi="Times New Roman"/>
          <w:shd w:fill="auto" w:val="clear"/>
        </w:rPr>
      </w:pPr>
      <w:r>
        <w:rPr/>
        <w:t xml:space="preserve">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>Требования</w:t>
      </w:r>
      <w:bookmarkStart w:id="99" w:name="_Toc125485145"/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 xml:space="preserve"> к документации по ценообразованию на этапе закупки.</w:t>
      </w:r>
      <w:bookmarkEnd w:id="99"/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bidi w:val="0"/>
        <w:spacing w:lineRule="auto" w:line="240" w:before="60" w:after="0"/>
        <w:ind w:hanging="0" w:left="1247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3.1.В обоснование стоимости своей заявки Участник предоставляет Коммерческое предложение.</w:t>
      </w:r>
    </w:p>
    <w:p>
      <w:pPr>
        <w:pStyle w:val="ListParagraph"/>
        <w:tabs>
          <w:tab w:val="clear" w:pos="708"/>
          <w:tab w:val="left" w:pos="567" w:leader="none"/>
          <w:tab w:val="left" w:pos="10065" w:leader="none"/>
        </w:tabs>
        <w:spacing w:lineRule="auto" w:line="240" w:before="60" w:after="0"/>
        <w:ind w:hanging="0" w:left="0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3.2. Дополнительные документы по ценообразованию в состав заявки не включаются.</w:t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1247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1247" w:right="0"/>
        <w:contextualSpacing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sectPr>
      <w:footerReference w:type="default" r:id="rId3"/>
      <w:footerReference w:type="first" r:id="rId4"/>
      <w:type w:val="nextPage"/>
      <w:pgSz w:orient="landscape" w:w="16838" w:h="11906"/>
      <w:pgMar w:left="454" w:right="454" w:gutter="0" w:header="0" w:top="450" w:footer="0" w:bottom="624"/>
      <w:pgNumType w:fmt="decimal"/>
      <w:formProt w:val="false"/>
      <w:textDirection w:val="lrTb"/>
      <w:docGrid w:type="default" w:linePitch="360" w:charSpace="614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7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4"/>
        <w:b/>
        <w:szCs w:val="24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12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5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>
    <w:name w:val="Нижний колонтитул Знак1"/>
    <w:basedOn w:val="DefaultParagraphFont"/>
    <w:qFormat/>
    <w:rPr/>
  </w:style>
  <w:style w:type="character" w:styleId="Style6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Linenumber">
    <w:name w:val="line number"/>
    <w:qFormat/>
    <w:rPr/>
  </w:style>
  <w:style w:type="character" w:styleId="Style7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Style9">
    <w:name w:val="Ссылка указателя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6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jc w:val="center"/>
    </w:pPr>
    <w:rPr>
      <w:b/>
      <w:bCs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hanging="0" w:left="283" w:right="0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hanging="0" w:left="567" w:right="0"/>
    </w:pPr>
    <w:rPr/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  <w:bCs/>
    </w:rPr>
  </w:style>
  <w:style w:type="paragraph" w:styleId="Header">
    <w:name w:val="Header"/>
    <w:basedOn w:val="Style14"/>
    <w:pPr>
      <w:suppressLineNumbers/>
      <w:tabs>
        <w:tab w:val="clear" w:pos="708"/>
        <w:tab w:val="center" w:pos="5074" w:leader="none"/>
        <w:tab w:val="right" w:pos="10148" w:leader="none"/>
      </w:tabs>
    </w:pPr>
    <w:rPr/>
  </w:style>
  <w:style w:type="numbering" w:styleId="123">
    <w:name w:val="Нумерованный 123"/>
    <w:qFormat/>
  </w:style>
  <w:style w:type="numbering" w:styleId="9124036821">
    <w:name w:val="9124036821"/>
    <w:qFormat/>
  </w:style>
  <w:style w:type="numbering" w:styleId="26549995371">
    <w:name w:val="26549995371"/>
    <w:qFormat/>
  </w:style>
  <w:style w:type="numbering" w:styleId="8885772351">
    <w:name w:val="88857723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19265</TotalTime>
  <Application>AlterOffice/2026.1.0.0$Linux_X86_64 LibreOffice_project/a0185688e0f3f228c7940c57a96eaa0ebba58757</Application>
  <AppVersion>15.0000</AppVersion>
  <Pages>7</Pages>
  <Words>850</Words>
  <Characters>6138</Characters>
  <CharactersWithSpaces>6992</CharactersWithSpaces>
  <Paragraphs>149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2024-11-20T06:48:00Z</dcterms:created>
  <dc:creator>Бухарев Сергей Викторович</dc:creator>
  <dc:description/>
  <dc:language>ru-RU</dc:language>
  <cp:lastModifiedBy>velikosvyatnn@corp.gidroogk.com</cp:lastModifiedBy>
  <cp:lastPrinted>2025-08-04T09:31:05Z</cp:lastPrinted>
  <dcterms:modified xsi:type="dcterms:W3CDTF">2026-05-13T09:25:25Z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