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Calibri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64" w:before="0"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8070" w:leader="none"/>
        </w:tabs>
        <w:spacing w:lineRule="auto" w:line="264" w:before="0" w:after="0"/>
        <w:ind w:firstLine="851" w:left="0" w:right="0"/>
        <w:jc w:val="center"/>
        <w:rPr/>
      </w:pPr>
      <w:r>
        <w:rPr/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64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>Технические требования на поставку МТР</w:t>
      </w:r>
    </w:p>
    <w:p>
      <w:pPr>
        <w:pStyle w:val="Normal"/>
        <w:widowControl w:val="false"/>
        <w:spacing w:lineRule="auto" w:line="264" w:before="0" w:after="0"/>
        <w:jc w:val="center"/>
        <w:rPr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eastAsia="ru-RU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eastAsia="ru-RU"/>
        </w:rPr>
      </w:r>
    </w:p>
    <w:p>
      <w:pPr>
        <w:pStyle w:val="Normal"/>
        <w:widowControl w:val="false"/>
        <w:spacing w:lineRule="auto" w:line="264" w:before="0" w:after="0"/>
        <w:jc w:val="center"/>
        <w:rPr/>
      </w:pPr>
      <w:r>
        <w:rPr>
          <w:rFonts w:cs="Times New Roman" w:ascii="Times New Roman" w:hAnsi="Times New Roman"/>
          <w:color w:val="000000"/>
          <w:sz w:val="28"/>
          <w:szCs w:val="28"/>
          <w:u w:val="none"/>
          <w:lang w:eastAsia="ru-RU"/>
        </w:rPr>
        <w:t>ОКПД 2: 26.30.50.142 Поставка с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lang w:eastAsia="ru-RU"/>
        </w:rPr>
        <w:t>редств обнаружения для Кубанского филиала.</w:t>
      </w:r>
    </w:p>
    <w:p>
      <w:pPr>
        <w:pStyle w:val="Style17"/>
        <w:widowControl w:val="false"/>
        <w:spacing w:lineRule="auto" w:line="264" w:before="0"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/>
      </w:r>
    </w:p>
    <w:p>
      <w:pPr>
        <w:pStyle w:val="Style17"/>
        <w:widowControl w:val="false"/>
        <w:spacing w:lineRule="auto" w:line="264" w:before="0"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64" w:before="0"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hd w:val="clear" w:fill="FFFFFF"/>
        <w:spacing w:lineRule="auto" w:line="264" w:before="0" w:after="0"/>
        <w:ind w:firstLine="851" w:left="0" w:right="0"/>
        <w:jc w:val="center"/>
        <w:outlineLvl w:val="1"/>
        <w:rPr>
          <w:sz w:val="24"/>
          <w:szCs w:val="24"/>
        </w:rPr>
      </w:pPr>
      <w:bookmarkStart w:id="0" w:name="_Toc125476049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СОДЕРЖАНИЕ</w:t>
      </w:r>
      <w:bookmarkEnd w:id="0"/>
    </w:p>
    <w:p>
      <w:pPr>
        <w:pStyle w:val="Normal"/>
        <w:shd w:val="clear" w:fill="FFFFFF"/>
        <w:tabs>
          <w:tab w:val="clear" w:pos="708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  <w:lang w:eastAsia="ru-RU"/>
        </w:rPr>
        <w:t>1.Общие сведения………………………………………………………………………….……………..3</w:t>
      </w:r>
    </w:p>
    <w:p>
      <w:pPr>
        <w:pStyle w:val="Normal"/>
        <w:shd w:val="clear" w:fill="FFFFFF"/>
        <w:tabs>
          <w:tab w:val="clear" w:pos="708"/>
          <w:tab w:val="left" w:pos="567" w:leader="none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  <w:t>1.1.</w:t>
        <w:tab/>
        <w:t>Наименование закупаемой продукции</w:t>
      </w: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……………………………………………………………</w:t>
      </w:r>
      <w:r>
        <w:rPr>
          <w:rFonts w:cs="Calibri" w:ascii="Times New Roman" w:hAnsi="Times New Roman"/>
          <w:color w:val="000000"/>
          <w:sz w:val="24"/>
          <w:szCs w:val="24"/>
        </w:rPr>
        <w:t>3</w:t>
      </w:r>
    </w:p>
    <w:p>
      <w:pPr>
        <w:pStyle w:val="Normal"/>
        <w:shd w:val="clear" w:fill="FFFFFF"/>
        <w:tabs>
          <w:tab w:val="clear" w:pos="708"/>
          <w:tab w:val="left" w:pos="567" w:leader="none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  <w:t>1.2.</w:t>
        <w:tab/>
        <w:t>Цель использования закупаемой продукции.…………………………………………………….3</w:t>
      </w:r>
    </w:p>
    <w:p>
      <w:pPr>
        <w:pStyle w:val="Normal"/>
        <w:shd w:val="clear" w:fill="FFFFFF"/>
        <w:tabs>
          <w:tab w:val="clear" w:pos="708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2.Требования к продукции.………………………………………………………………………………3</w:t>
      </w:r>
    </w:p>
    <w:p>
      <w:pPr>
        <w:pStyle w:val="Normal"/>
        <w:shd w:val="clear" w:fill="FFFFFF"/>
        <w:tabs>
          <w:tab w:val="clear" w:pos="708"/>
          <w:tab w:val="left" w:pos="567" w:leader="none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  <w:t>2.1.1</w:t>
        <w:tab/>
        <w:t>Перечень и объем закупаемой продукции………………………………………………………..3</w:t>
      </w:r>
    </w:p>
    <w:p>
      <w:pPr>
        <w:pStyle w:val="Normal"/>
        <w:shd w:val="clear" w:fill="FFFFFF"/>
        <w:tabs>
          <w:tab w:val="clear" w:pos="708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Таблица 1.1 Перечень и объем закупаемой продукции………………………………………………..3</w:t>
      </w:r>
    </w:p>
    <w:p>
      <w:pPr>
        <w:pStyle w:val="Normal"/>
        <w:shd w:val="clear" w:fill="FFFFFF"/>
        <w:tabs>
          <w:tab w:val="clear" w:pos="708"/>
          <w:tab w:val="left" w:pos="567" w:leader="none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  <w:t>2.1.2</w:t>
        <w:tab/>
        <w:t>Требования к срокам поставки продукции</w:t>
      </w: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……………………………………………………….</w:t>
      </w:r>
      <w:r>
        <w:rPr>
          <w:rFonts w:cs="Calibri" w:ascii="Times New Roman" w:hAnsi="Times New Roman"/>
          <w:color w:val="000000"/>
          <w:sz w:val="24"/>
          <w:szCs w:val="24"/>
          <w:lang w:eastAsia="ru-RU"/>
        </w:rPr>
        <w:t>3</w:t>
      </w:r>
    </w:p>
    <w:p>
      <w:pPr>
        <w:pStyle w:val="Normal"/>
        <w:shd w:val="clear" w:fill="FFFFFF"/>
        <w:tabs>
          <w:tab w:val="clear" w:pos="708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Таблица 2.1 Требования по срокам поставки продукции……………………………………………...3</w:t>
      </w:r>
    </w:p>
    <w:p>
      <w:pPr>
        <w:pStyle w:val="Normal"/>
        <w:shd w:val="clear" w:fill="FFFFFF"/>
        <w:tabs>
          <w:tab w:val="clear" w:pos="708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2.2 Требование к качеству продукции    ………………………………………………………………..3</w:t>
      </w:r>
    </w:p>
    <w:p>
      <w:pPr>
        <w:pStyle w:val="Normal"/>
        <w:shd w:val="clear" w:fill="FFFFFF"/>
        <w:tabs>
          <w:tab w:val="clear" w:pos="708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Таблица 3. Требования к продукции…………………………………………………………………….4</w:t>
      </w:r>
    </w:p>
    <w:p>
      <w:pPr>
        <w:pStyle w:val="Normal"/>
        <w:shd w:val="clear" w:fill="FFFFFF"/>
        <w:tabs>
          <w:tab w:val="clear" w:pos="708"/>
          <w:tab w:val="right" w:pos="10138" w:leader="dot"/>
        </w:tabs>
        <w:spacing w:lineRule="auto" w:line="276" w:before="0" w:after="100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3. Требования к документации по ценообразованию на этапе закупки...…………………………….7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 w:right="0"/>
        <w:outlineLvl w:val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120" w:after="60"/>
        <w:ind w:hanging="0" w:left="720" w:right="0"/>
        <w:jc w:val="center"/>
        <w:outlineLvl w:val="0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eastAsia="x-none"/>
        </w:rPr>
        <w:t>1. Общ</w:t>
      </w:r>
      <w:bookmarkStart w:id="1" w:name="_Toc75446566"/>
      <w:bookmarkStart w:id="2" w:name="_Toc125473240"/>
      <w:bookmarkStart w:id="3" w:name="_Toc125476050"/>
      <w:bookmarkStart w:id="4" w:name="_Toc51339692"/>
      <w:r>
        <w:rPr>
          <w:rFonts w:cs="Times New Roman" w:ascii="Times New Roman" w:hAnsi="Times New Roman"/>
          <w:b/>
          <w:sz w:val="24"/>
          <w:szCs w:val="24"/>
          <w:lang w:eastAsia="x-none"/>
        </w:rPr>
        <w:t>ие сведения</w:t>
      </w:r>
      <w:bookmarkEnd w:id="1"/>
      <w:bookmarkEnd w:id="2"/>
      <w:bookmarkEnd w:id="3"/>
      <w:bookmarkEnd w:id="4"/>
    </w:p>
    <w:p>
      <w:pPr>
        <w:pStyle w:val="Normal"/>
        <w:numPr>
          <w:ilvl w:val="0"/>
          <w:numId w:val="0"/>
        </w:numPr>
        <w:spacing w:lineRule="auto" w:line="240" w:before="120" w:after="60"/>
        <w:ind w:hanging="0" w:left="720" w:right="0"/>
        <w:jc w:val="center"/>
        <w:outlineLvl w:val="0"/>
        <w:rPr>
          <w:rFonts w:ascii="Times New Roman" w:hAnsi="Times New Roman" w:cs="Times New Roman"/>
          <w:b/>
          <w:lang w:eastAsia="x-none"/>
        </w:rPr>
      </w:pPr>
      <w:r>
        <w:rPr>
          <w:rFonts w:cs="Times New Roman" w:ascii="Times New Roman" w:hAnsi="Times New Roman"/>
          <w:b/>
          <w:lang w:eastAsia="x-none"/>
        </w:rPr>
      </w:r>
    </w:p>
    <w:p>
      <w:pPr>
        <w:pStyle w:val="Normal"/>
        <w:widowControl w:val="false"/>
        <w:numPr>
          <w:ilvl w:val="1"/>
          <w:numId w:val="1"/>
        </w:numPr>
        <w:spacing w:lineRule="auto" w:line="240" w:before="0" w:after="0"/>
        <w:contextualSpacing/>
        <w:outlineLvl w:val="1"/>
        <w:rPr>
          <w:sz w:val="24"/>
          <w:szCs w:val="24"/>
        </w:rPr>
      </w:pPr>
      <w:bookmarkStart w:id="5" w:name="_Toc125473241"/>
      <w:bookmarkStart w:id="6" w:name="_Toc125476051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Наименование закупаемой продукции.</w:t>
      </w:r>
      <w:bookmarkEnd w:id="5"/>
      <w:bookmarkEnd w:id="6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 xml:space="preserve"> 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0" w:right="0"/>
        <w:contextualSpacing/>
        <w:jc w:val="both"/>
        <w:outlineLvl w:val="1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ОКПД 2: 26.30.50.142 Поставка средств обнаружения для Кубанского филиала. (далее продукция).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numPr>
          <w:ilvl w:val="1"/>
          <w:numId w:val="1"/>
        </w:numPr>
        <w:spacing w:lineRule="auto" w:line="240" w:before="0" w:after="0"/>
        <w:contextualSpacing/>
        <w:outlineLvl w:val="1"/>
        <w:rPr>
          <w:sz w:val="24"/>
          <w:szCs w:val="24"/>
        </w:rPr>
      </w:pPr>
      <w:bookmarkStart w:id="7" w:name="_Toc125476052"/>
      <w:bookmarkStart w:id="8" w:name="_Toc125473242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Цель использования закупаемой продукции.</w:t>
      </w:r>
      <w:bookmarkEnd w:id="7"/>
      <w:bookmarkEnd w:id="8"/>
    </w:p>
    <w:p>
      <w:pPr>
        <w:pStyle w:val="Normal"/>
        <w:numPr>
          <w:ilvl w:val="1"/>
        </w:numPr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Исполнение обязательств по договору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№ 1210-153-2024/3-ТПиР-БЕЗ-2024-ККГЭС от 03.06.2024г «Выполнение работы по монтажу и наладке оборудования систем </w:t>
      </w:r>
      <w:r>
        <w:rPr>
          <w:rFonts w:eastAsia="Times New Roman" w:cs="Times New Roman" w:ascii="Times New Roman" w:hAnsi="Times New Roman"/>
          <w:bCs/>
          <w:sz w:val="24"/>
          <w:szCs w:val="24"/>
          <w:shd w:fill="FFFFFF" w:val="clear"/>
          <w:lang w:eastAsia="ru-RU"/>
        </w:rPr>
        <w:t xml:space="preserve">оперативной радиосвязи, оповещения, охранного телевидения, охранно-тревожной сигнализации, контроля и управления доступом, сбора и обработки информации объектов в административном здании в г. Невинномысск, ГЭС-1, ГЭС-2, ГЭС-3, ГЭС-4, Егорлыкской ГЭС, Егорлыкской ГЭС-2, Свистухинской ГЭС, монтажу ограждений площадки ОРУ-330 кВ и плотины выравнивающего водохранилища ГЭС-2, плотины выравнивающего водохранилища ГЭС-3, плотины Егорлыкского водохранилища, в рамках выполнения инвестиционного проекта K_T-1210-042»,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заключенного между ПАО РусГидро «Федеральная гидрогенерирующая компания –РусГидро» и АО «Гидроремонт-ВКК».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120" w:after="0"/>
        <w:ind w:hanging="0" w:left="0" w:right="0"/>
        <w:jc w:val="center"/>
        <w:outlineLvl w:val="0"/>
        <w:rPr>
          <w:sz w:val="24"/>
          <w:szCs w:val="24"/>
        </w:rPr>
      </w:pPr>
      <w:bookmarkStart w:id="9" w:name="_Toc125476056"/>
      <w:bookmarkStart w:id="10" w:name="_Toc125473249"/>
      <w:r>
        <w:rPr>
          <w:rFonts w:cs="Times New Roman" w:ascii="Times New Roman" w:hAnsi="Times New Roman"/>
          <w:b/>
          <w:iCs/>
          <w:sz w:val="24"/>
          <w:szCs w:val="24"/>
          <w:lang w:val="x-none" w:eastAsia="x-none"/>
        </w:rPr>
        <w:t xml:space="preserve">2. </w:t>
      </w:r>
      <w:bookmarkStart w:id="11" w:name="_Toc51339693"/>
      <w:bookmarkStart w:id="12" w:name="_Toc75446573"/>
      <w:r>
        <w:rPr>
          <w:rFonts w:cs="Times New Roman" w:ascii="Times New Roman" w:hAnsi="Times New Roman"/>
          <w:b/>
          <w:iCs/>
          <w:sz w:val="24"/>
          <w:szCs w:val="24"/>
          <w:lang w:val="x-none" w:eastAsia="x-none"/>
        </w:rPr>
        <w:t>Требования к продукции</w:t>
      </w:r>
      <w:bookmarkEnd w:id="11"/>
      <w:bookmarkEnd w:id="12"/>
      <w:r>
        <w:rPr>
          <w:rFonts w:cs="Times New Roman" w:ascii="Times New Roman" w:hAnsi="Times New Roman"/>
          <w:b/>
          <w:iCs/>
          <w:sz w:val="24"/>
          <w:szCs w:val="24"/>
          <w:lang w:eastAsia="x-none"/>
        </w:rPr>
        <w:t>.</w:t>
      </w:r>
      <w:bookmarkEnd w:id="9"/>
      <w:bookmarkEnd w:id="10"/>
    </w:p>
    <w:p>
      <w:pPr>
        <w:pStyle w:val="Normal"/>
        <w:numPr>
          <w:ilvl w:val="0"/>
          <w:numId w:val="0"/>
        </w:numPr>
        <w:spacing w:lineRule="auto" w:line="240" w:before="120" w:after="0"/>
        <w:ind w:hanging="0" w:left="717" w:right="0"/>
        <w:jc w:val="center"/>
        <w:outlineLvl w:val="0"/>
        <w:rPr>
          <w:rFonts w:ascii="Times New Roman" w:hAnsi="Times New Roman" w:cs="Times New Roman"/>
          <w:b/>
          <w:iCs/>
          <w:lang w:eastAsia="x-none"/>
        </w:rPr>
      </w:pPr>
      <w:r>
        <w:rPr>
          <w:rFonts w:cs="Times New Roman" w:ascii="Times New Roman" w:hAnsi="Times New Roman"/>
          <w:b/>
          <w:iCs/>
          <w:lang w:eastAsia="x-none"/>
        </w:rPr>
      </w:r>
    </w:p>
    <w:p>
      <w:pPr>
        <w:pStyle w:val="Normal"/>
        <w:keepNext w:val="true"/>
        <w:numPr>
          <w:ilvl w:val="1"/>
          <w:numId w:val="3"/>
        </w:numPr>
        <w:spacing w:lineRule="auto" w:line="240" w:before="120" w:after="0"/>
        <w:ind w:hanging="567" w:left="567" w:right="0"/>
        <w:outlineLvl w:val="3"/>
        <w:rPr>
          <w:sz w:val="24"/>
          <w:szCs w:val="24"/>
        </w:rPr>
      </w:pPr>
      <w:bookmarkStart w:id="13" w:name="_Toc75446574"/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>Требования к объемам и срокам постав</w:t>
      </w:r>
      <w:r>
        <w:rPr>
          <w:rFonts w:cs="Times New Roman" w:ascii="Times New Roman" w:hAnsi="Times New Roman"/>
          <w:b/>
          <w:bCs/>
          <w:sz w:val="24"/>
          <w:szCs w:val="24"/>
          <w:lang w:val="x-none" w:eastAsia="x-none"/>
        </w:rPr>
        <w:t>ки</w:t>
      </w:r>
      <w:bookmarkEnd w:id="13"/>
    </w:p>
    <w:p>
      <w:pPr>
        <w:pStyle w:val="Normal"/>
        <w:keepNext w:val="true"/>
        <w:numPr>
          <w:ilvl w:val="2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hanging="1227" w:left="1227" w:right="0"/>
        <w:outlineLvl w:val="2"/>
        <w:rPr>
          <w:sz w:val="24"/>
          <w:szCs w:val="24"/>
        </w:rPr>
      </w:pPr>
      <w:bookmarkStart w:id="14" w:name="_Toc125473250"/>
      <w:bookmarkStart w:id="15" w:name="_Toc125476057"/>
      <w:bookmarkStart w:id="16" w:name="_Toc75446575"/>
      <w:r>
        <w:rPr>
          <w:rFonts w:cs="Times New Roman" w:ascii="Times New Roman" w:hAnsi="Times New Roman"/>
          <w:b/>
          <w:sz w:val="24"/>
          <w:szCs w:val="24"/>
          <w:lang w:eastAsia="x-none"/>
        </w:rPr>
        <w:t>Перечень и объем закупаемой продукции</w:t>
      </w:r>
      <w:bookmarkEnd w:id="14"/>
      <w:bookmarkEnd w:id="15"/>
      <w:bookmarkEnd w:id="16"/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240" w:after="0"/>
        <w:ind w:hanging="0" w:left="0" w:right="0"/>
        <w:outlineLvl w:val="0"/>
        <w:rPr>
          <w:sz w:val="24"/>
          <w:szCs w:val="24"/>
        </w:rPr>
      </w:pPr>
      <w:bookmarkStart w:id="17" w:name="_Toc125473251"/>
      <w:bookmarkStart w:id="18" w:name="_Toc125476058"/>
      <w:bookmarkStart w:id="19" w:name="_Toc75446576"/>
      <w:bookmarkStart w:id="20" w:name="_Toc51339695"/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Таблица </w:t>
      </w:r>
      <w:r>
        <w:rPr>
          <w:rFonts w:cs="Times New Roman" w:ascii="Times New Roman" w:hAnsi="Times New Roman"/>
          <w:b/>
          <w:sz w:val="24"/>
          <w:szCs w:val="24"/>
          <w:lang w:eastAsia="x-none"/>
        </w:rPr>
        <w:t>1.1</w:t>
      </w:r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lang w:eastAsia="x-none"/>
        </w:rPr>
        <w:t xml:space="preserve">Перечень </w:t>
      </w:r>
      <w:bookmarkEnd w:id="20"/>
      <w:r>
        <w:rPr>
          <w:rFonts w:cs="Times New Roman" w:ascii="Times New Roman" w:hAnsi="Times New Roman"/>
          <w:b/>
          <w:sz w:val="24"/>
          <w:szCs w:val="24"/>
          <w:lang w:eastAsia="x-none"/>
        </w:rPr>
        <w:t>и объем закупаемой продукции</w:t>
      </w:r>
      <w:bookmarkEnd w:id="17"/>
      <w:bookmarkEnd w:id="18"/>
      <w:bookmarkEnd w:id="19"/>
    </w:p>
    <w:tbl>
      <w:tblPr>
        <w:tblW w:w="1025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6529"/>
        <w:gridCol w:w="1350"/>
        <w:gridCol w:w="1482"/>
      </w:tblGrid>
      <w:tr>
        <w:trPr/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</w:t>
            </w:r>
          </w:p>
        </w:tc>
      </w:tr>
      <w:tr>
        <w:trPr>
          <w:trHeight w:val="351" w:hRule="atLeast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Ручной металлодетектор Сфинкс ВМ-611 ПРО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шт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22</w:t>
            </w:r>
          </w:p>
        </w:tc>
      </w:tr>
      <w:tr>
        <w:trPr>
          <w:trHeight w:val="351" w:hRule="atLeast"/>
        </w:trPr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6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Досмотровое устройство Шмель-3Н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шт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15</w:t>
            </w:r>
          </w:p>
        </w:tc>
      </w:tr>
    </w:tbl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120" w:after="0"/>
        <w:ind w:hanging="0" w:left="0" w:right="0"/>
        <w:outlineLvl w:val="2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120" w:after="0"/>
        <w:ind w:hanging="0" w:left="0" w:right="0"/>
        <w:outlineLvl w:val="2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eastAsia="x-none"/>
        </w:rPr>
        <w:t>2.1.2. Требования к срокам поставки продукции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240" w:after="0"/>
        <w:ind w:hanging="0" w:left="0" w:right="0"/>
        <w:outlineLvl w:val="0"/>
        <w:rPr>
          <w:sz w:val="24"/>
          <w:szCs w:val="24"/>
        </w:rPr>
      </w:pPr>
      <w:bookmarkStart w:id="21" w:name="_Toc125476060"/>
      <w:bookmarkStart w:id="22" w:name="_Toc75446579"/>
      <w:bookmarkStart w:id="23" w:name="_Toc125473253"/>
      <w:bookmarkStart w:id="24" w:name="_Toc50125127"/>
      <w:bookmarkStart w:id="25" w:name="_Toc51339697"/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Таблица </w:t>
      </w:r>
      <w:r>
        <w:rPr>
          <w:rFonts w:cs="Times New Roman" w:ascii="Times New Roman" w:hAnsi="Times New Roman"/>
          <w:b/>
          <w:sz w:val="24"/>
          <w:szCs w:val="24"/>
          <w:lang w:eastAsia="x-none"/>
        </w:rPr>
        <w:t>2.1</w:t>
      </w:r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 </w:t>
      </w:r>
      <w:bookmarkStart w:id="26" w:name="_Hlk50465284"/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Требования по срокам </w:t>
      </w:r>
      <w:bookmarkEnd w:id="24"/>
      <w:bookmarkEnd w:id="25"/>
      <w:bookmarkEnd w:id="26"/>
      <w:r>
        <w:rPr>
          <w:rFonts w:cs="Times New Roman" w:ascii="Times New Roman" w:hAnsi="Times New Roman"/>
          <w:b/>
          <w:sz w:val="24"/>
          <w:szCs w:val="24"/>
          <w:lang w:eastAsia="x-none"/>
        </w:rPr>
        <w:t>поставки продукции</w:t>
      </w:r>
      <w:bookmarkEnd w:id="21"/>
      <w:bookmarkEnd w:id="22"/>
      <w:bookmarkEnd w:id="23"/>
      <w:r>
        <w:rPr>
          <w:rFonts w:cs="Times New Roman" w:ascii="Times New Roman" w:hAnsi="Times New Roman"/>
          <w:b/>
          <w:sz w:val="24"/>
          <w:szCs w:val="24"/>
          <w:lang w:eastAsia="x-none"/>
        </w:rPr>
        <w:t xml:space="preserve"> </w:t>
      </w:r>
    </w:p>
    <w:tbl>
      <w:tblPr>
        <w:tblW w:w="1021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3551"/>
        <w:gridCol w:w="2239"/>
        <w:gridCol w:w="3556"/>
      </w:tblGrid>
      <w:tr>
        <w:trPr/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продукции/ партии продукции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0"/>
              <w:ind w:hanging="0" w:left="57" w:right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>
        <w:trPr/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hd w:val="clear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ОКПД 2: 26.30.50.142 Поставка средств обнаружения для Кубанского филиала.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(в соответствии с Таблица 1.1 Перечень объемов закупаемой продукции)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 даты подписания договора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в течение 30 календарных дней с даты подписания договора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  <w:lang w:eastAsia="x-none"/>
        </w:rPr>
      </w:pPr>
      <w:r>
        <w:rPr>
          <w:rFonts w:cs="Times New Roman" w:ascii="Times New Roman" w:hAnsi="Times New Roman"/>
          <w:b/>
          <w:sz w:val="24"/>
          <w:szCs w:val="24"/>
          <w:lang w:eastAsia="x-none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  <w:lang w:eastAsia="x-none"/>
        </w:rPr>
      </w:pPr>
      <w:r>
        <w:rPr>
          <w:rFonts w:cs="Times New Roman" w:ascii="Times New Roman" w:hAnsi="Times New Roman"/>
          <w:b/>
          <w:sz w:val="24"/>
          <w:szCs w:val="24"/>
          <w:lang w:eastAsia="x-none"/>
        </w:rPr>
      </w:r>
      <w:bookmarkStart w:id="27" w:name="_Toc125476061_Копия_1_Копия_1_Копия_1_Ко"/>
      <w:bookmarkStart w:id="28" w:name="_Toc125473255_Копия_1_Копия_1_Копия_1_Ко"/>
      <w:bookmarkStart w:id="29" w:name="_Toc125476061_Копия_1_Копия_1_Копия_1_Ко"/>
      <w:bookmarkStart w:id="30" w:name="_Toc125473255_Копия_1_Копия_1_Копия_1_Ко"/>
      <w:bookmarkStart w:id="31" w:name="_Toc125476061_Копия_1_Копия_1_Копия_1_Ко"/>
      <w:bookmarkStart w:id="32" w:name="_Toc125473255_Копия_1_Копия_1_Копия_1_Ко"/>
      <w:bookmarkStart w:id="33" w:name="_Toc125476061_Копия_1_Копия_1_Копия_1_Ко"/>
      <w:bookmarkStart w:id="34" w:name="_Toc125473255_Копия_1_Копия_1_Копия_1_Ко"/>
      <w:bookmarkStart w:id="35" w:name="_Toc125476061_Копия_1_Копия_1_Копия_1_Ко"/>
      <w:bookmarkStart w:id="36" w:name="_Toc125473255_Копия_1_Копия_1_Копия_1_Ко"/>
      <w:bookmarkStart w:id="37" w:name="_Toc125476061_Копия_1_Копия_1_Копия_1"/>
      <w:bookmarkStart w:id="38" w:name="_Toc125473255_Копия_1_Копия_1_Копия_1"/>
      <w:bookmarkStart w:id="39" w:name="_Toc125476061_Копия_1"/>
      <w:bookmarkStart w:id="40" w:name="_Toc125473255_Копия_1"/>
      <w:bookmarkStart w:id="41" w:name="_Toc125476061_Копия_1_Копия_1"/>
      <w:bookmarkStart w:id="42" w:name="_Toc125473255_Копия_1_Копия_1"/>
      <w:bookmarkStart w:id="43" w:name="_Toc125476061_Копия_1_Копия_1_Копия_1_Ко"/>
      <w:bookmarkStart w:id="44" w:name="_Toc125473255_Копия_1_Копия_1_Копия_1_Ко"/>
      <w:bookmarkStart w:id="45" w:name="_Toc125476061_Копия_1_Копия_1_Копия_1_Ко"/>
      <w:bookmarkStart w:id="46" w:name="_Toc125473255_Копия_1_Копия_1_Копия_1_Ко"/>
      <w:bookmarkStart w:id="47" w:name="_Toc125476061_Копия_1_Копия_1_Копия_1_Ко"/>
      <w:bookmarkStart w:id="48" w:name="_Toc125473255_Копия_1_Копия_1_Копия_1_Ко"/>
      <w:bookmarkStart w:id="49" w:name="_Toc125476061_Копия_1_Копия_1_Копия_1_Ко"/>
      <w:bookmarkStart w:id="50" w:name="_Toc125473255_Копия_1_Копия_1_Копия_1_Ко"/>
      <w:bookmarkStart w:id="51" w:name="_Toc125476061_Копия_1_Копия_1_Копия_1_Ко"/>
      <w:bookmarkStart w:id="52" w:name="_Toc125473255_Копия_1_Копия_1_Копия_1_Ко"/>
      <w:bookmarkStart w:id="53" w:name="_Toc125476061_Копия_1_Копия_1_Копия_1_Ко"/>
      <w:bookmarkStart w:id="54" w:name="_Toc125473255_Копия_1_Копия_1_Копия_1_Ко"/>
      <w:bookmarkStart w:id="55" w:name="_Toc125476061_Копия_1_Копия_1_Копия_1_Ко"/>
      <w:bookmarkStart w:id="56" w:name="_Toc125473255_Копия_1_Копия_1_Копия_1_Ко"/>
      <w:bookmarkStart w:id="57" w:name="_Toc125476061_Копия_1_Копия_1_Копия_1_Ко"/>
      <w:bookmarkStart w:id="58" w:name="_Toc125473255_Копия_1_Копия_1_Копия_1_Ко"/>
      <w:bookmarkStart w:id="59" w:name="_Toc125476061_Копия_1_Копия_1_Копия_1_Ко"/>
      <w:bookmarkStart w:id="60" w:name="_Toc125473255_Копия_1_Копия_1_Копия_1_Ко"/>
      <w:bookmarkStart w:id="61" w:name="_Toc125476061_Копия_1_Копия_1_Копия_1_Ко"/>
      <w:bookmarkStart w:id="62" w:name="_Toc125473255_Копия_1_Копия_1_Копия_1_Ко"/>
      <w:bookmarkStart w:id="63" w:name="_Toc125476061_Копия_1_Копия_1_Копия_1_Ко"/>
      <w:bookmarkStart w:id="64" w:name="_Toc125473255_Копия_1_Копия_1_Копия_1_Ко"/>
      <w:bookmarkStart w:id="65" w:name="_Toc125476061_Копия_1_Копия_1_Копия_1"/>
      <w:bookmarkStart w:id="66" w:name="_Toc125473255_Копия_1_Копия_1_Копия_1"/>
      <w:bookmarkStart w:id="67" w:name="_Toc125476061_Копия_1"/>
      <w:bookmarkStart w:id="68" w:name="_Toc125473255_Копия_1"/>
      <w:bookmarkStart w:id="69" w:name="_Toc125476061_Копия_1_Копия_1"/>
      <w:bookmarkStart w:id="70" w:name="_Toc125473255_Копия_1_Копия_1"/>
      <w:bookmarkStart w:id="71" w:name="_Toc125476061_Копия_1_Копия_1_Копия_1_Ко"/>
      <w:bookmarkStart w:id="72" w:name="_Toc125473255_Копия_1_Копия_1_Копия_1_Ко"/>
      <w:bookmarkStart w:id="73" w:name="_Toc125476061_Копия_1_Копия_1_Копия_1_Ко"/>
      <w:bookmarkStart w:id="74" w:name="_Toc125473255_Копия_1_Копия_1_Копия_1_Ко"/>
      <w:bookmarkStart w:id="75" w:name="_Toc125476061_Копия_1_Копия_1_Копия_1_Ко"/>
      <w:bookmarkStart w:id="76" w:name="_Toc125473255_Копия_1_Копия_1_Копия_1_Ко"/>
      <w:bookmarkStart w:id="77" w:name="_Toc125476061_Копия_1_Копия_1_Копия_1_Ко"/>
      <w:bookmarkStart w:id="78" w:name="_Toc125473255_Копия_1_Копия_1_Копия_1_Ко"/>
      <w:bookmarkStart w:id="79" w:name="_Toc125476061_Копия_1_Копия_1_Копия_1_Ко"/>
      <w:bookmarkStart w:id="80" w:name="_Toc125473255_Копия_1_Копия_1_Копия_1_Ко"/>
      <w:bookmarkStart w:id="81" w:name="_Toc125476061_Копия_1_Копия_1_Копия_1_Ко"/>
      <w:bookmarkStart w:id="82" w:name="_Toc125473255_Копия_1_Копия_1_Копия_1_Ко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>
      <w:pPr>
        <w:pStyle w:val="Normal"/>
        <w:spacing w:lineRule="auto" w:line="240" w:before="0" w:after="0"/>
        <w:rPr>
          <w:sz w:val="24"/>
          <w:szCs w:val="24"/>
        </w:rPr>
      </w:pPr>
      <w:bookmarkStart w:id="83" w:name="_Toc125476061_Копия_1_Копия_1_Копия_1_Ко"/>
      <w:bookmarkStart w:id="84" w:name="_Toc125473255_Копия_1_Копия_1_Копия_1_Ко"/>
      <w:bookmarkEnd w:id="83"/>
      <w:bookmarkEnd w:id="84"/>
      <w:r>
        <w:rPr>
          <w:rFonts w:cs="Times New Roman" w:ascii="Times New Roman" w:hAnsi="Times New Roman"/>
          <w:b/>
          <w:sz w:val="24"/>
          <w:szCs w:val="24"/>
          <w:lang w:eastAsia="x-none"/>
        </w:rPr>
        <w:t>2.2</w:t>
      </w:r>
      <w:r>
        <w:rPr>
          <w:rFonts w:cs="Times New Roman" w:ascii="Times New Roman" w:hAnsi="Times New Roman"/>
          <w:b/>
          <w:bCs/>
          <w:sz w:val="24"/>
          <w:szCs w:val="24"/>
          <w:lang w:val="x-none" w:eastAsia="x-none"/>
        </w:rPr>
        <w:t xml:space="preserve"> Требования к качеству продукции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240" w:after="0"/>
        <w:ind w:hanging="0" w:left="0" w:right="0"/>
        <w:outlineLvl w:val="0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ab/>
      </w:r>
      <w:bookmarkStart w:id="85" w:name="_Toc125476062_Копия_1"/>
      <w:bookmarkStart w:id="86" w:name="_Toc125473256_Копия_1"/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>Таблица 3. Требования к</w:t>
      </w:r>
      <w:r>
        <w:rPr>
          <w:rFonts w:cs="Times New Roman" w:ascii="Times New Roman" w:hAnsi="Times New Roman"/>
          <w:b/>
          <w:sz w:val="24"/>
          <w:szCs w:val="24"/>
          <w:lang w:eastAsia="x-none"/>
        </w:rPr>
        <w:t xml:space="preserve"> качеству</w:t>
      </w:r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 продукции</w:t>
      </w:r>
      <w:bookmarkEnd w:id="85"/>
      <w:bookmarkEnd w:id="86"/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right="0"/>
        <w:jc w:val="left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Cs/>
          <w:sz w:val="24"/>
          <w:szCs w:val="24"/>
          <w:shd w:fill="FFFFFF" w:val="clear"/>
          <w:lang w:eastAsia="ar-SA"/>
        </w:rPr>
        <w:tab/>
        <w:t>Наименование продукции: согласно Таблицы 1.1 Перечень и объем закупаемой продукции</w:t>
      </w:r>
      <w:r>
        <w:rPr>
          <w:rFonts w:eastAsia="Times New Roman" w:cs="Times New Roman" w:ascii="Times New Roman" w:hAnsi="Times New Roman"/>
          <w:bCs/>
          <w:iCs/>
          <w:color w:val="000000"/>
          <w:sz w:val="24"/>
          <w:szCs w:val="24"/>
          <w:shd w:fill="FFFFFF" w:val="clear"/>
          <w:lang w:eastAsia="ru-RU"/>
        </w:rPr>
        <w:t>.</w:t>
      </w:r>
    </w:p>
    <w:tbl>
      <w:tblPr>
        <w:tblW w:w="1015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72"/>
        <w:gridCol w:w="4980"/>
        <w:gridCol w:w="4203"/>
      </w:tblGrid>
      <w:tr>
        <w:trPr>
          <w:trHeight w:val="675" w:hRule="atLeast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п/п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Наименование параметра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Требование заказчика</w:t>
            </w:r>
          </w:p>
        </w:tc>
      </w:tr>
      <w:tr>
        <w:trPr>
          <w:trHeight w:val="274" w:hRule="atLeast"/>
        </w:trPr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1</w:t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2</w:t>
            </w:r>
          </w:p>
        </w:tc>
        <w:tc>
          <w:tcPr>
            <w:tcW w:w="4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3</w:t>
            </w:r>
          </w:p>
        </w:tc>
      </w:tr>
      <w:tr>
        <w:trPr>
          <w:trHeight w:val="95" w:hRule="atLeast"/>
        </w:trPr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1.</w:t>
            </w:r>
          </w:p>
        </w:tc>
        <w:tc>
          <w:tcPr>
            <w:tcW w:w="91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323" w:hRule="atLeast"/>
        </w:trPr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1.1</w:t>
            </w:r>
          </w:p>
        </w:tc>
        <w:tc>
          <w:tcPr>
            <w:tcW w:w="91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Ручной металлодетектор Сфинкс ВМ-611 ПРО</w:t>
            </w:r>
          </w:p>
        </w:tc>
      </w:tr>
      <w:tr>
        <w:trPr>
          <w:trHeight w:val="486" w:hRule="atLeast"/>
        </w:trPr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4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Досмотровой</w:t>
            </w:r>
          </w:p>
        </w:tc>
      </w:tr>
      <w:tr>
        <w:trPr>
          <w:trHeight w:val="472" w:hRule="atLeast"/>
        </w:trPr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1.1.2</w:t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Тип катушки</w:t>
            </w:r>
          </w:p>
        </w:tc>
        <w:tc>
          <w:tcPr>
            <w:tcW w:w="4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Без</w:t>
            </w:r>
          </w:p>
        </w:tc>
      </w:tr>
      <w:tr>
        <w:trPr>
          <w:trHeight w:val="323" w:hRule="atLeast"/>
        </w:trPr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Максимальная глубина обнаружения, м</w:t>
            </w:r>
          </w:p>
        </w:tc>
        <w:tc>
          <w:tcPr>
            <w:tcW w:w="4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</w:tr>
      <w:tr>
        <w:trPr>
          <w:trHeight w:val="423" w:hRule="atLeast"/>
        </w:trPr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1.1.4</w:t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Питание</w:t>
            </w:r>
          </w:p>
        </w:tc>
        <w:tc>
          <w:tcPr>
            <w:tcW w:w="4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3"/>
              <w:widowControl w:val="false"/>
              <w:numPr>
                <w:ilvl w:val="0"/>
              </w:numPr>
              <w:spacing w:lineRule="auto" w:line="240" w:before="0" w:after="0"/>
              <w:ind w:hanging="0" w:left="0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Аккумулятор</w:t>
            </w:r>
          </w:p>
        </w:tc>
      </w:tr>
      <w:tr>
        <w:trPr>
          <w:trHeight w:val="485" w:hRule="atLeast"/>
        </w:trPr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1.1.5</w:t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Время работы на одном заряде, ч</w:t>
            </w:r>
          </w:p>
        </w:tc>
        <w:tc>
          <w:tcPr>
            <w:tcW w:w="4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3"/>
              <w:widowControl w:val="false"/>
              <w:numPr>
                <w:ilvl w:val="0"/>
              </w:numPr>
              <w:spacing w:lineRule="auto" w:line="240" w:before="0" w:after="0"/>
              <w:ind w:hanging="0" w:left="0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340</w:t>
            </w:r>
          </w:p>
        </w:tc>
      </w:tr>
      <w:tr>
        <w:trPr>
          <w:trHeight w:val="485" w:hRule="atLeast"/>
        </w:trPr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1.1.6</w:t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батареек, шт</w:t>
            </w:r>
          </w:p>
        </w:tc>
        <w:tc>
          <w:tcPr>
            <w:tcW w:w="4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485" w:hRule="atLeast"/>
        </w:trPr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1.1.7</w:t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Вход для наушников</w:t>
            </w:r>
          </w:p>
        </w:tc>
        <w:tc>
          <w:tcPr>
            <w:tcW w:w="4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  <w:tr>
        <w:trPr>
          <w:trHeight w:val="485" w:hRule="atLeast"/>
        </w:trPr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1.1.8</w:t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Метод обнаружения</w:t>
            </w:r>
          </w:p>
        </w:tc>
        <w:tc>
          <w:tcPr>
            <w:tcW w:w="4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/>
            </w:pPr>
            <w:hyperlink r:id="rId2">
              <w:r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VLF</w:t>
              </w:r>
            </w:hyperlink>
          </w:p>
        </w:tc>
      </w:tr>
      <w:tr>
        <w:trPr>
          <w:trHeight w:val="485" w:hRule="atLeast"/>
        </w:trPr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1.1.9</w:t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Частота обнаружения, Гц</w:t>
            </w:r>
          </w:p>
        </w:tc>
        <w:tc>
          <w:tcPr>
            <w:tcW w:w="4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30000</w:t>
            </w:r>
          </w:p>
        </w:tc>
      </w:tr>
      <w:tr>
        <w:trPr>
          <w:trHeight w:val="485" w:hRule="atLeast"/>
        </w:trPr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91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Досмотровое устройство Шмель-3Н</w:t>
            </w:r>
          </w:p>
        </w:tc>
      </w:tr>
      <w:tr>
        <w:trPr>
          <w:trHeight w:val="485" w:hRule="atLeast"/>
        </w:trPr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Рабочая длина штанги (max), м</w:t>
            </w:r>
          </w:p>
        </w:tc>
        <w:tc>
          <w:tcPr>
            <w:tcW w:w="4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485" w:hRule="atLeast"/>
        </w:trPr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Рабочая длина штанги (min), м</w:t>
            </w:r>
          </w:p>
        </w:tc>
        <w:tc>
          <w:tcPr>
            <w:tcW w:w="4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3"/>
              <w:widowControl w:val="false"/>
              <w:numPr>
                <w:ilvl w:val="0"/>
              </w:numPr>
              <w:spacing w:lineRule="auto" w:line="240" w:before="0" w:after="0"/>
              <w:ind w:hanging="0"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0,6</w:t>
            </w:r>
          </w:p>
        </w:tc>
      </w:tr>
      <w:tr>
        <w:trPr>
          <w:trHeight w:val="485" w:hRule="atLeast"/>
        </w:trPr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1.2.3</w:t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Светодиод СОВ мощностью, Вт</w:t>
            </w:r>
          </w:p>
        </w:tc>
        <w:tc>
          <w:tcPr>
            <w:tcW w:w="4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>
        <w:trPr>
          <w:trHeight w:val="242" w:hRule="atLeast"/>
        </w:trPr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1.2.4</w:t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Материал</w:t>
            </w:r>
          </w:p>
        </w:tc>
        <w:tc>
          <w:tcPr>
            <w:tcW w:w="4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Авиационный алюминий</w:t>
            </w:r>
          </w:p>
        </w:tc>
      </w:tr>
      <w:tr>
        <w:trPr>
          <w:trHeight w:val="242" w:hRule="atLeast"/>
        </w:trPr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1.2.5</w:t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Вес устройства в сборе, гр</w:t>
            </w:r>
          </w:p>
        </w:tc>
        <w:tc>
          <w:tcPr>
            <w:tcW w:w="4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более 765</w:t>
            </w:r>
          </w:p>
        </w:tc>
      </w:tr>
      <w:tr>
        <w:trPr>
          <w:trHeight w:val="485" w:hRule="atLeast"/>
        </w:trPr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1.2.6</w:t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Максимальная нагрузка на штангу, кг</w:t>
            </w:r>
          </w:p>
        </w:tc>
        <w:tc>
          <w:tcPr>
            <w:tcW w:w="4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более 1</w:t>
            </w:r>
          </w:p>
        </w:tc>
      </w:tr>
      <w:tr>
        <w:trPr>
          <w:trHeight w:val="485" w:hRule="atLeast"/>
        </w:trPr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1.2.7</w:t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Угол поворота зеркала</w:t>
            </w:r>
          </w:p>
        </w:tc>
        <w:tc>
          <w:tcPr>
            <w:tcW w:w="4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менее 90°</w:t>
            </w:r>
          </w:p>
        </w:tc>
      </w:tr>
      <w:tr>
        <w:trPr>
          <w:trHeight w:val="485" w:hRule="atLeast"/>
        </w:trPr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1.2.8</w:t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Встроенная аккумуляторная батарея емкостью, мАч</w:t>
            </w:r>
          </w:p>
        </w:tc>
        <w:tc>
          <w:tcPr>
            <w:tcW w:w="4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1200</w:t>
            </w:r>
          </w:p>
        </w:tc>
      </w:tr>
      <w:tr>
        <w:trPr>
          <w:trHeight w:val="485" w:hRule="atLeast"/>
        </w:trPr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1.2.9</w:t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Два режима яркости, лм</w:t>
            </w:r>
          </w:p>
        </w:tc>
        <w:tc>
          <w:tcPr>
            <w:tcW w:w="4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100/50 </w:t>
            </w:r>
          </w:p>
        </w:tc>
      </w:tr>
      <w:tr>
        <w:trPr>
          <w:trHeight w:val="485" w:hRule="atLeast"/>
        </w:trPr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1.2.10</w:t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Время работы при 50% яркости, час</w:t>
            </w:r>
          </w:p>
        </w:tc>
        <w:tc>
          <w:tcPr>
            <w:tcW w:w="4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менее 5</w:t>
            </w:r>
          </w:p>
        </w:tc>
      </w:tr>
      <w:tr>
        <w:trPr>
          <w:trHeight w:val="485" w:hRule="atLeast"/>
        </w:trPr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1.2.11</w:t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Влагозащищенный корпус</w:t>
            </w:r>
          </w:p>
        </w:tc>
        <w:tc>
          <w:tcPr>
            <w:tcW w:w="4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наличие</w:t>
            </w:r>
          </w:p>
        </w:tc>
      </w:tr>
      <w:tr>
        <w:trPr>
          <w:trHeight w:val="485" w:hRule="atLeast"/>
        </w:trPr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1.2.12</w:t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Фонарь оснащен USB разъемом</w:t>
            </w:r>
          </w:p>
        </w:tc>
        <w:tc>
          <w:tcPr>
            <w:tcW w:w="4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наличие</w:t>
            </w:r>
          </w:p>
        </w:tc>
      </w:tr>
      <w:tr>
        <w:trPr>
          <w:trHeight w:val="485" w:hRule="atLeast"/>
        </w:trPr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1.2.13</w:t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Зеркало, круглое, мм</w:t>
            </w:r>
          </w:p>
        </w:tc>
        <w:tc>
          <w:tcPr>
            <w:tcW w:w="4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220</w:t>
            </w:r>
          </w:p>
        </w:tc>
      </w:tr>
      <w:tr>
        <w:trPr>
          <w:trHeight w:val="485" w:hRule="atLeast"/>
        </w:trPr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1.2.14</w:t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Круглое зеркало общего назначения, круг, мм</w:t>
            </w:r>
          </w:p>
        </w:tc>
        <w:tc>
          <w:tcPr>
            <w:tcW w:w="4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</w:tr>
      <w:tr>
        <w:trPr>
          <w:trHeight w:val="485" w:hRule="atLeast"/>
        </w:trPr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1.2.15</w:t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Малое зеркало, круг, мм</w:t>
            </w:r>
          </w:p>
        </w:tc>
        <w:tc>
          <w:tcPr>
            <w:tcW w:w="4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</w:tr>
      <w:tr>
        <w:trPr>
          <w:trHeight w:val="485" w:hRule="atLeast"/>
        </w:trPr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1.2.16</w:t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Прямоугольное зеркало, мм</w:t>
            </w:r>
          </w:p>
        </w:tc>
        <w:tc>
          <w:tcPr>
            <w:tcW w:w="4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50х86</w:t>
            </w:r>
          </w:p>
        </w:tc>
      </w:tr>
      <w:tr>
        <w:trPr>
          <w:trHeight w:val="334" w:hRule="atLeast"/>
        </w:trPr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2.</w:t>
            </w:r>
          </w:p>
        </w:tc>
        <w:tc>
          <w:tcPr>
            <w:tcW w:w="91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jc w:val="left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</w:tr>
      <w:tr>
        <w:trPr>
          <w:trHeight w:val="1592" w:hRule="atLeast"/>
        </w:trPr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2.1</w:t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Гарантия, не менее</w:t>
            </w:r>
          </w:p>
        </w:tc>
        <w:tc>
          <w:tcPr>
            <w:tcW w:w="4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На Продукцию устанавливается гарантийный срок, равный 36 месяцам, исчисляемый с даты подписания Сторонами соответствующей товарной накладной по форме ТОРГ-12 или Универсального передаточного документа (УПД).</w:t>
            </w:r>
          </w:p>
        </w:tc>
      </w:tr>
      <w:tr>
        <w:trPr>
          <w:trHeight w:val="1022" w:hRule="atLeast"/>
        </w:trPr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2.2</w:t>
            </w:r>
          </w:p>
        </w:tc>
        <w:tc>
          <w:tcPr>
            <w:tcW w:w="91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</w:tr>
      <w:tr>
        <w:trPr>
          <w:trHeight w:val="510" w:hRule="atLeast"/>
        </w:trPr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3.</w:t>
            </w:r>
          </w:p>
        </w:tc>
        <w:tc>
          <w:tcPr>
            <w:tcW w:w="91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jc w:val="left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>
          <w:trHeight w:val="480" w:hRule="atLeast"/>
        </w:trPr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3.1</w:t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0" w:leader="none"/>
                <w:tab w:val="left" w:pos="900" w:leader="none"/>
                <w:tab w:val="left" w:pos="1134" w:leader="none"/>
                <w:tab w:val="left" w:pos="1276" w:leader="none"/>
              </w:tabs>
              <w:suppressAutoHyphens w:val="true"/>
              <w:overflowPunct w:val="false"/>
              <w:bidi w:val="0"/>
              <w:spacing w:lineRule="auto" w:line="252" w:before="0" w:after="120"/>
              <w:ind w:hanging="0" w:left="0" w:righ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eastAsia="ru-RU"/>
              </w:rPr>
              <w:t>Сертификат качества</w:t>
            </w:r>
          </w:p>
        </w:tc>
        <w:tc>
          <w:tcPr>
            <w:tcW w:w="4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1 экземпляра</w:t>
            </w:r>
          </w:p>
        </w:tc>
      </w:tr>
      <w:tr>
        <w:trPr>
          <w:trHeight w:val="801" w:hRule="atLeast"/>
        </w:trPr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3.2</w:t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0" w:leader="none"/>
                <w:tab w:val="left" w:pos="900" w:leader="none"/>
                <w:tab w:val="left" w:pos="1134" w:leader="none"/>
                <w:tab w:val="left" w:pos="1276" w:leader="none"/>
              </w:tabs>
              <w:suppressAutoHyphens w:val="true"/>
              <w:overflowPunct w:val="false"/>
              <w:bidi w:val="0"/>
              <w:spacing w:lineRule="auto" w:line="252" w:before="0" w:after="120"/>
              <w:ind w:hanging="0" w:left="0" w:righ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eastAsia="ru-RU"/>
              </w:rPr>
              <w:t>Упаковочный лист на продукцию</w:t>
            </w:r>
          </w:p>
        </w:tc>
        <w:tc>
          <w:tcPr>
            <w:tcW w:w="4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eastAsia="ru-RU"/>
              </w:rPr>
              <w:t>1 экземпляр</w:t>
            </w:r>
          </w:p>
        </w:tc>
      </w:tr>
      <w:tr>
        <w:trPr>
          <w:trHeight w:val="795" w:hRule="atLeast"/>
        </w:trPr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3.3</w:t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0" w:leader="none"/>
                <w:tab w:val="left" w:pos="900" w:leader="none"/>
                <w:tab w:val="left" w:pos="1134" w:leader="none"/>
                <w:tab w:val="left" w:pos="1276" w:leader="none"/>
              </w:tabs>
              <w:spacing w:before="0" w:after="160"/>
              <w:ind w:hanging="0" w:left="0" w:right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shd w:fill="auto" w:val="clear"/>
                <w:lang w:val="ru-RU" w:bidi="ar-SA"/>
              </w:rPr>
              <w:t>Технический паспорт на русском языке</w:t>
            </w:r>
          </w:p>
        </w:tc>
        <w:tc>
          <w:tcPr>
            <w:tcW w:w="4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 экземпляр</w:t>
            </w:r>
          </w:p>
        </w:tc>
      </w:tr>
      <w:tr>
        <w:trPr>
          <w:trHeight w:val="480" w:hRule="atLeast"/>
        </w:trPr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3.4</w:t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851" w:leader="none"/>
                <w:tab w:val="left" w:pos="900" w:leader="none"/>
                <w:tab w:val="left" w:pos="1134" w:leader="none"/>
                <w:tab w:val="left" w:pos="1276" w:leader="none"/>
              </w:tabs>
              <w:spacing w:before="0" w:after="120"/>
              <w:ind w:hanging="0" w:left="0" w:right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иные документы предусмотренные п 3.3 договора</w:t>
            </w:r>
          </w:p>
        </w:tc>
        <w:tc>
          <w:tcPr>
            <w:tcW w:w="4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2 экземпляра</w:t>
            </w:r>
          </w:p>
        </w:tc>
      </w:tr>
      <w:tr>
        <w:trPr>
          <w:trHeight w:val="819" w:hRule="atLeast"/>
        </w:trPr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4.</w:t>
            </w:r>
          </w:p>
        </w:tc>
        <w:tc>
          <w:tcPr>
            <w:tcW w:w="91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>
        <w:trPr>
          <w:trHeight w:val="3510" w:hRule="atLeast"/>
        </w:trPr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4.1</w:t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Место поставки</w:t>
            </w:r>
          </w:p>
        </w:tc>
        <w:tc>
          <w:tcPr>
            <w:tcW w:w="4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На склад Покупателя по адресу: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Кубанский филиал АО «Гидроремонт – ВКК» в г. Невинномысск, Ставропольский край, Кочубеевский р-н,с.Кочубеевское, АВТОДОРОГА «КАВКАЗ» 246КМ+1200М (СПРАВА) в рабочие дни:с 9-00 до 12-00 и с 13-00 до 16-00 (по местному времени) по предварительному уведомлению по телефону или электронной почте, не позднее предыдущего рабочего дня до прибытия транспорта</w:t>
            </w:r>
          </w:p>
        </w:tc>
      </w:tr>
      <w:tr>
        <w:trPr/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4.2</w:t>
            </w:r>
          </w:p>
        </w:tc>
        <w:tc>
          <w:tcPr>
            <w:tcW w:w="9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eastAsia="ru-RU"/>
              </w:rPr>
              <w:t>Условия поставки за счет средств Поставщика</w:t>
            </w:r>
          </w:p>
        </w:tc>
      </w:tr>
      <w:tr>
        <w:trPr/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4.3</w:t>
            </w:r>
          </w:p>
        </w:tc>
        <w:tc>
          <w:tcPr>
            <w:tcW w:w="91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eastAsia="ru-RU"/>
              </w:rPr>
              <w:t>Продукция должна быть новой, не бывшей в употреблении</w:t>
            </w:r>
          </w:p>
        </w:tc>
      </w:tr>
      <w:tr>
        <w:trPr/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4.4</w:t>
            </w:r>
          </w:p>
        </w:tc>
        <w:tc>
          <w:tcPr>
            <w:tcW w:w="91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bidi w:val="0"/>
              <w:spacing w:lineRule="auto" w:line="259" w:before="0" w:after="200"/>
              <w:ind w:hanging="0" w:left="57" w:right="0"/>
              <w:contextualSpacing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eastAsia="ru-RU"/>
              </w:rPr>
              <w:t xml:space="preserve">Доставка оборудования должна соответствовать установленным требованиям.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т.п., в соответствии с ГОСТ Р 51908-2002 «Общие требования к машинам, приборам и другим техническим изделиям в части условий хранения и транспортирования». Упаковка должна обеспечивать полную сохранность продукции на весь срок его транспортировки с учетом перегрузок и длительного хранения.</w:t>
            </w:r>
          </w:p>
        </w:tc>
      </w:tr>
    </w:tbl>
    <w:p>
      <w:pPr>
        <w:pStyle w:val="BodyText"/>
        <w:spacing w:before="0" w:after="140"/>
        <w:jc w:val="center"/>
        <w:rPr>
          <w:rFonts w:ascii="Times New Roman" w:hAnsi="Times New Roman" w:cs="Times New Roman"/>
          <w:b/>
          <w:sz w:val="24"/>
          <w:szCs w:val="24"/>
          <w:shd w:fill="auto" w:val="clear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shd w:fill="auto" w:val="clear"/>
          <w:lang w:eastAsia="ru-RU"/>
        </w:rPr>
      </w:r>
    </w:p>
    <w:sectPr>
      <w:footerReference w:type="default" r:id="rId3"/>
      <w:type w:val="nextPage"/>
      <w:pgSz w:w="11906" w:h="16838"/>
      <w:pgMar w:left="1134" w:right="624" w:gutter="0" w:header="0" w:top="454" w:footer="0" w:bottom="454"/>
      <w:pgNumType w:fmt="decimal"/>
      <w:formProt w:val="false"/>
      <w:textDirection w:val="lrTb"/>
      <w:docGrid w:type="default" w:linePitch="360" w:charSpace="6144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PT Sans"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5</w:t>
    </w:r>
    <w:r>
      <w:rPr>
        <w:rFonts w:ascii="Times New Roman" w:hAnsi="Times New Roman"/>
      </w:rPr>
      <w:fldChar w:fldCharType="end"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80" w:hanging="480"/>
      </w:pPr>
      <w:rPr>
        <w:sz w:val="22"/>
        <w:b/>
        <w:szCs w:val="22"/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0"/>
        </w:tabs>
        <w:ind w:left="717" w:hanging="360"/>
      </w:pPr>
      <w:rPr>
        <w:sz w:val="24"/>
        <w:b/>
        <w:szCs w:val="24"/>
        <w:bCs/>
        <w:rFonts w:ascii="Times New Roman" w:hAnsi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92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27" w:hanging="720"/>
      </w:pPr>
      <w:rPr>
        <w:sz w:val="24"/>
        <w:b/>
        <w:szCs w:val="24"/>
        <w:bCs/>
        <w:rFonts w:ascii="Times New Roman" w:hAnsi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302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37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12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247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322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757" w:hanging="1800"/>
      </w:pPr>
      <w:rPr/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04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96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48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92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84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136" w:hanging="180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Title"/>
    <w:next w:val="BodyText"/>
    <w:qFormat/>
    <w:pPr>
      <w:numPr>
        <w:ilvl w:val="0"/>
        <w:numId w:val="0"/>
      </w:num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Heading2">
    <w:name w:val="Heading 2"/>
    <w:basedOn w:val="Title"/>
    <w:next w:val="BodyText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paragraph" w:styleId="Heading3">
    <w:name w:val="Heading 3"/>
    <w:basedOn w:val="Style12"/>
    <w:next w:val="BodyText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Tahoma" w:cs="Tahoma"/>
      <w:b/>
      <w:bCs/>
      <w:sz w:val="28"/>
      <w:szCs w:val="28"/>
    </w:rPr>
  </w:style>
  <w:style w:type="paragraph" w:styleId="Heading4">
    <w:name w:val="Heading 4"/>
    <w:basedOn w:val="Style12"/>
    <w:next w:val="BodyText"/>
    <w:qFormat/>
    <w:pPr>
      <w:numPr>
        <w:ilvl w:val="0"/>
        <w:numId w:val="0"/>
      </w:numPr>
      <w:spacing w:before="120" w:after="120"/>
      <w:outlineLvl w:val="3"/>
    </w:pPr>
    <w:rPr>
      <w:rFonts w:ascii="Liberation Serif" w:hAnsi="Liberation Serif" w:eastAsia="Tahoma" w:cs="Tahoma"/>
      <w:b/>
      <w:bCs/>
      <w:sz w:val="24"/>
      <w:szCs w:val="24"/>
    </w:rPr>
  </w:style>
  <w:style w:type="character" w:styleId="DefaultParagraphFont">
    <w:name w:val="Default Paragraph Font"/>
    <w:qFormat/>
    <w:rPr/>
  </w:style>
  <w:style w:type="character" w:styleId="Style5">
    <w:name w:val="Нижний колонтитул Знак"/>
    <w:basedOn w:val="DefaultParagraphFont"/>
    <w:qFormat/>
    <w:rPr>
      <w:rFonts w:ascii="Calibri" w:hAnsi="Calibri" w:eastAsia="Calibri" w:cs="Times New Roman"/>
    </w:rPr>
  </w:style>
  <w:style w:type="character" w:styleId="1">
    <w:name w:val="Нижний колонтитул Знак1"/>
    <w:basedOn w:val="DefaultParagraphFont"/>
    <w:qFormat/>
    <w:rPr/>
  </w:style>
  <w:style w:type="character" w:styleId="Style6">
    <w:name w:val="Текст выноски Знак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styleId="Linenumber1">
    <w:name w:val="line number1"/>
    <w:qFormat/>
    <w:rPr/>
  </w:style>
  <w:style w:type="character" w:styleId="Linenumber">
    <w:name w:val="line number"/>
    <w:qFormat/>
    <w:rPr/>
  </w:style>
  <w:style w:type="character" w:styleId="Style7">
    <w:name w:val="Символ нумерации"/>
    <w:qFormat/>
    <w:rPr/>
  </w:style>
  <w:style w:type="character" w:styleId="Hyperlink">
    <w:name w:val="Hyperlink"/>
    <w:rPr>
      <w:color w:val="000080"/>
      <w:u w:val="single"/>
    </w:rPr>
  </w:style>
  <w:style w:type="character" w:styleId="Style8">
    <w:name w:val="Маркеры"/>
    <w:qFormat/>
    <w:rPr>
      <w:rFonts w:ascii="OpenSymbol" w:hAnsi="OpenSymbol" w:eastAsia="OpenSymbol" w:cs="OpenSymbol"/>
    </w:rPr>
  </w:style>
  <w:style w:type="character" w:styleId="Style9">
    <w:name w:val="Ссылка указателя"/>
    <w:qFormat/>
    <w:rPr/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Style10">
    <w:name w:val="Текст примечания Знак"/>
    <w:basedOn w:val="DefaultParagraphFont"/>
    <w:link w:val="Annotationtext"/>
    <w:qFormat/>
    <w:rPr>
      <w:sz w:val="20"/>
      <w:szCs w:val="20"/>
    </w:rPr>
  </w:style>
  <w:style w:type="character" w:styleId="Style11">
    <w:name w:val="Тема примечания Знак"/>
    <w:basedOn w:val="Style10"/>
    <w:link w:val="Annotationsubject"/>
    <w:qFormat/>
    <w:rPr>
      <w:b/>
      <w:bCs/>
      <w:sz w:val="20"/>
      <w:szCs w:val="20"/>
    </w:rPr>
  </w:style>
  <w:style w:type="character" w:styleId="Strong">
    <w:name w:val="Strong"/>
    <w:qFormat/>
    <w:rPr>
      <w:b/>
      <w:bCs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Колонтитул"/>
    <w:basedOn w:val="Normal"/>
    <w:qFormat/>
    <w:pPr/>
    <w:rPr/>
  </w:style>
  <w:style w:type="paragraph" w:styleId="Footer">
    <w:name w:val="Footer"/>
    <w:basedOn w:val="Normal"/>
    <w:link w:val="Style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cs="Times New Roman"/>
    </w:rPr>
  </w:style>
  <w:style w:type="paragraph" w:styleId="BalloonText">
    <w:name w:val="Balloon Text"/>
    <w:basedOn w:val="Normal"/>
    <w:link w:val="Style6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paragraph" w:styleId="Style16">
    <w:name w:val="Заголовок таблицы"/>
    <w:basedOn w:val="Style15"/>
    <w:qFormat/>
    <w:pPr>
      <w:jc w:val="center"/>
    </w:pPr>
    <w:rPr>
      <w:b/>
      <w:bCs/>
    </w:rPr>
  </w:style>
  <w:style w:type="paragraph" w:styleId="Style17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ListParagraph">
    <w:name w:val="List Paragraph"/>
    <w:basedOn w:val="Normal"/>
    <w:qFormat/>
    <w:pPr>
      <w:spacing w:before="0" w:after="200"/>
      <w:ind w:hanging="0" w:left="720" w:right="0"/>
      <w:contextualSpacing/>
    </w:pPr>
    <w:rPr/>
  </w:style>
  <w:style w:type="paragraph" w:styleId="TOC2">
    <w:name w:val="TOC 2"/>
    <w:basedOn w:val="Indexheading"/>
    <w:pPr>
      <w:tabs>
        <w:tab w:val="clear" w:pos="708"/>
        <w:tab w:val="right" w:pos="9865" w:leader="dot"/>
      </w:tabs>
      <w:ind w:hanging="0" w:left="283" w:right="0"/>
    </w:pPr>
    <w:rPr/>
  </w:style>
  <w:style w:type="paragraph" w:styleId="TOC1">
    <w:name w:val="TOC 1"/>
    <w:basedOn w:val="Indexheading"/>
    <w:pPr>
      <w:tabs>
        <w:tab w:val="clear" w:pos="708"/>
        <w:tab w:val="right" w:pos="10148" w:leader="dot"/>
      </w:tabs>
    </w:pPr>
    <w:rPr/>
  </w:style>
  <w:style w:type="paragraph" w:styleId="TOC3">
    <w:name w:val="TOC 3"/>
    <w:basedOn w:val="Indexheading"/>
    <w:pPr>
      <w:tabs>
        <w:tab w:val="clear" w:pos="708"/>
        <w:tab w:val="right" w:pos="9581" w:leader="dot"/>
      </w:tabs>
      <w:ind w:hanging="0" w:left="567" w:right="0"/>
    </w:pPr>
    <w:rPr/>
  </w:style>
  <w:style w:type="paragraph" w:styleId="Annotationtext">
    <w:name w:val="annotation text"/>
    <w:basedOn w:val="Normal"/>
    <w:link w:val="Style10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1"/>
    <w:qFormat/>
    <w:pPr/>
    <w:rPr>
      <w:b/>
      <w:bCs/>
    </w:rPr>
  </w:style>
  <w:style w:type="paragraph" w:styleId="Header">
    <w:name w:val="Header"/>
    <w:basedOn w:val="Style14"/>
    <w:pPr>
      <w:suppressLineNumbers/>
      <w:tabs>
        <w:tab w:val="clear" w:pos="708"/>
        <w:tab w:val="center" w:pos="5074" w:leader="none"/>
        <w:tab w:val="right" w:pos="10148" w:leader="none"/>
      </w:tabs>
    </w:pPr>
    <w:rPr/>
  </w:style>
  <w:style w:type="numbering" w:styleId="123">
    <w:name w:val="Нумерованный 123"/>
    <w:qFormat/>
  </w:style>
  <w:style w:type="numbering" w:styleId="9124036821">
    <w:name w:val="9124036821"/>
    <w:qFormat/>
  </w:style>
  <w:style w:type="numbering" w:styleId="26549995371">
    <w:name w:val="26549995371"/>
    <w:qFormat/>
  </w:style>
  <w:style w:type="numbering" w:styleId="8885772351">
    <w:name w:val="888577235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vseinstrumenti.ru/tag-page/metalloiskateli-vlf-1718951/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19277</TotalTime>
  <Application>AlterOffice/2026.1.0.0$Linux_X86_64 LibreOffice_project/a0185688e0f3f228c7940c57a96eaa0ebba58757</Application>
  <AppVersion>15.0000</AppVersion>
  <Pages>5</Pages>
  <Words>735</Words>
  <Characters>5146</Characters>
  <CharactersWithSpaces>5714</CharactersWithSpaces>
  <Paragraphs>174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2024-11-20T06:48:00Z</dcterms:created>
  <dc:creator>Бухарев Сергей Викторович</dc:creator>
  <dc:description/>
  <dc:language>ru-RU</dc:language>
  <cp:lastModifiedBy>velikosvyatnn@corp.gidroogk.com</cp:lastModifiedBy>
  <cp:lastPrinted>2025-08-04T09:31:05Z</cp:lastPrinted>
  <dcterms:modified xsi:type="dcterms:W3CDTF">2026-05-13T09:42:48Z</dcterms:modified>
  <cp:revision>179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