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0" w:after="0"/>
        <w:ind w:firstLine="709"/>
        <w:jc w:val="end"/>
        <w:rPr>
          <w:rFonts w:ascii="Times New Roman" w:hAnsi="Times New Roman"/>
          <w:sz w:val="26"/>
        </w:rPr>
      </w:pPr>
      <w:r>
        <w:rPr/>
      </w:r>
    </w:p>
    <w:p>
      <w:pPr>
        <w:pStyle w:val="Normal"/>
        <w:keepNext w:val="true"/>
        <w:spacing w:lineRule="auto" w:line="240" w:before="0" w:after="0"/>
        <w:ind w:firstLine="709"/>
        <w:jc w:val="center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>
      <w:pPr>
        <w:pStyle w:val="Normal"/>
        <w:keepNext w:val="true"/>
        <w:spacing w:lineRule="auto" w:line="240" w:before="0" w:after="0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keepNext w:val="true"/>
        <w:spacing w:lineRule="auto" w:line="240" w:before="0" w:after="0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tbl>
      <w:tblPr>
        <w:tblStyle w:val="afb"/>
        <w:tblW w:w="15764" w:type="dxa"/>
        <w:jc w:val="start"/>
        <w:tblInd w:w="-60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82"/>
        <w:gridCol w:w="2264"/>
        <w:gridCol w:w="3602"/>
        <w:gridCol w:w="96"/>
        <w:gridCol w:w="2314"/>
        <w:gridCol w:w="1135"/>
        <w:gridCol w:w="4110"/>
        <w:gridCol w:w="851"/>
        <w:gridCol w:w="708"/>
      </w:tblGrid>
      <w:tr>
        <w:trPr/>
        <w:tc>
          <w:tcPr>
            <w:tcW w:w="68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Наименование товара</w:t>
            </w:r>
          </w:p>
        </w:tc>
        <w:tc>
          <w:tcPr>
            <w:tcW w:w="11257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Функциональные, технические и качественные характеристики, эксплуатационные характеристики (при необходимости) товара</w:t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Кол-во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Единица измерения</w:t>
            </w:r>
          </w:p>
        </w:tc>
      </w:tr>
      <w:tr>
        <w:trPr/>
        <w:tc>
          <w:tcPr>
            <w:tcW w:w="68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Наименование характеристики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Значение характеристики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Единица измерения характеристики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Обоснование дополнительных характеристик товара  </w:t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24" w:hRule="atLeast"/>
        </w:trPr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>Покрытие спортивное резиновое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>ОКПД2: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>22.19.72.000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>КТРУ: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>22.19.72.000-00000016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>Закупаемый товар не включен в Перечень Приложения №1 и Перечень Приложения №2 к ПП РФ от 23.12.2024г №1875</w:t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Информации в КТРУ недостаточно, чтобы точно определить качественные, функциональные и технические показатели товара. Данные характеристики выбраны с целью продления срока службы, безопасного использования, обеспечения прочности, жесткости и долговечности конструкции, морозостойкости, устойчивости к воздействию кислот, щелочей и коррозии, перепадам температур, ультрафиолетовым лучам. Выбранные характеристики позволяют с максимальной эффективностью применять имеющуюся в наличии площадь. Также данные характеристики позволяют максимально эффективно эксплуатировать комплекс, привлекая население в массовый спорт, что соответствует цели строительства площадки. Все характеристики добавлены для выполнения требования Приказа №107 Министерства спорта РФ от 15.02.2022 г.</w:t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12 160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кг</w:t>
            </w:r>
          </w:p>
        </w:tc>
      </w:tr>
      <w:tr>
        <w:trPr>
          <w:trHeight w:val="47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ind w:end="-143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8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ind w:end="-143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покрытия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099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ind w:end="-143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Состав покрытия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Покрытие на основе резиновой крошки и полиуретанового связующего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509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ind w:end="-143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</w:r>
          </w:p>
        </w:tc>
        <w:tc>
          <w:tcPr>
            <w:tcW w:w="360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Общая площадь покрытия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≥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608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кв.м.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07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ind w:end="-143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</w:r>
          </w:p>
        </w:tc>
        <w:tc>
          <w:tcPr>
            <w:tcW w:w="360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Цвет покрытия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Согласовывается с Заказчиком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Спортивное покрытие поставляется в комплекте с разметкой 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Виды спорта, для которых необходим комплект разметки 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Баскетбол, футбол, волейбол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690" w:hRule="atLeast"/>
        </w:trPr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Покрытие спортивное резиновое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ОКПД2: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22.19.72.000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КТРУ:</w:t>
            </w:r>
          </w:p>
          <w:p>
            <w:pPr>
              <w:pStyle w:val="Normal"/>
              <w:widowControl/>
              <w:spacing w:before="0" w:after="160"/>
              <w:ind w:end="-14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22.19.72.000-00000003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ind w:end="-14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Закупаемый товар не включен в Перечень Приложения №1 и Перечень Приложения №2 к ПП РФ от 23.12.2024г №1875</w:t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240 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м2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Плотность плитки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850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кг/м3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Цвет нижнего слоя плитки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Черный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Цвет верхнего слоя плитки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Синий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Крепежные замки типа «ласточкин хвост» изготавливаются отдельно от плитки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Плотность крепежных замков типа «ласточкин хвост»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≥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900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кг/м3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пазов для крепления в одной плитке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≥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«Критическая высота падения» с оборудования, при которой покрытие обеспечивает необходимый уровень демпфирования удара (в соответствии с документом подтверждающим соответствие требованиям технического регламента ТР ЕАЭС 042/2017)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1,6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м.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777" w:hRule="atLeast"/>
        </w:trPr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>Тренажер уличный силовой «Жим ногами»</w:t>
            </w:r>
          </w:p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ОКПД2: </w:t>
            </w:r>
          </w:p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32.30.14.121</w:t>
            </w:r>
          </w:p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КТРУ: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32.30.14.121-00000074</w:t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 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Масса тренажера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360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кг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несущей конструкция уличного тренажера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Профильная труба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сечения профильной трубы из которой изготовлена несущая конструкция тренажера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сечения профильной трубы из которой изготовлена несущая конструкция тренажера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профильной трубы из которых выполнена несущая конструкция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подвижного рычага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Профильная труба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сечения профильной трубы из которой изготовлены подвижные рычаги тренажера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сечения профильной трубы из которой изготовлены подвижные рычаги тренажера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профильной трубы из которой выполнены подвижные рычаги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Рычаги тренажера оснащены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передвижными блоками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Вес подвижных блоков на один подвижный рычаг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кг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материала из которого изготовлены передвижные блоки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Перемещение грузовых блоков осуществляется с использованием подшипников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положений регулировки нагрузки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Материал сиденья и спинки тренажёра 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Высокопрочный ударостойкий HPL-пластик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Толщина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HPL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-пластика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Окраска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металлических частей изделия 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Порошковая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Крепление для мобильного телефона 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Наличие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QR-код обеспечивающий возможность доступа на </w:t>
            </w:r>
            <w:bookmarkStart w:id="0" w:name="_Hlk214034700"/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информационный ресурс</w:t>
            </w:r>
            <w:bookmarkEnd w:id="0"/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55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Информационный ресурс содержит следующие разделы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Главная страница. Раздел содержит промо-информацию, логотипы партнеров и ссылки на партнерские приложения. Осуществление доступа партнёров должно осуществляться на недискриминационном принципе.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Классификатор тренажеров и оборудования. Сервис предоставляет список доступного на площадке оборудования. Информация об оборудовании содержит название, изображение, описание, видеоинструкцию и технику безопасности тренажера.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Форма обратной связи. Пользователь сервиса может оставить обратную связь о его работе.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Дополнительные информационные страницы: - политика конфиденциальности и обработки персональных данных; - общие условия и требования партнерам; - страница с общей информацией по проекту.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Административный кабинет, включающий в себя в том числе аутентификацию администратора информационного ресурса.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837" w:hRule="atLeast"/>
        </w:trPr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4. 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>Тренажер уличный силовой «Жим от груди»</w:t>
            </w:r>
          </w:p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ОКПД2: </w:t>
            </w:r>
          </w:p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32.30.14.121</w:t>
            </w:r>
          </w:p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КТРУ: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32.30.14.121-00000076</w:t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 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Масса тренажера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370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кг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конструкции уличного тренажера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Профильная труба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сечения профильной трубы из которой изготовлена несущая конструкция тренажера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сечения профильной трубы из которой изготовлена несущая конструкция тренажера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профильной трубы из которых выполнена несущая конструкция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Материал подвижных рычагов 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Профильная труба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сечения профильной трубы из которой изготовлены подвижные рычаги тренажера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сечения профильной трубы из которой изготовлены подвижные рычаги тренажера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профильной трубы из которой выполнены подвижные рычаги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Рычаги тренажера оснащены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передвижными блоками на роликах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Вес подвижных блоков на один подвижный рычаг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кг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материала из которого изготовлены передвижные блоки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Перемещение грузовых блоков осуществляется с использованием подшипников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положений регулировки нагрузки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сиденья и спинки тренажёра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Высокопрочный ударостойкий HPL-пластик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HPL-пластика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Конструкция обеспечивает удобный и безопасный доступ для пользователей с ограниченными возможностями здоровья, включая людей, передвигающихся на инвалидных колясках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Окраска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металлических частей изделия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Порошковая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Держатель для телефона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Наличие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QR-код обеспечивающий возможность доступа на информационный ресурс 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4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Информационный ресурс содержит следующие разделы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 Главная страница. Раздел содержит промо-информацию, логотипы партнеров и ссылки на партнерские приложения. Осуществление доступа партнёров должно осуществляться на недискриминационном принципе.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 Классификатор тренажеров и оборудования. Сервис предоставляет список доступного на площадке оборудования. Информация об оборудовании содержит название, изображение, описание, видеоинструкцию и технику безопасности тренажера.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 Форма обратной связи. Пользователь сервиса может оставить обратную связь о его работе.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4. Дополнительные информационные страницы: - политика конфиденциальности и обработки персональных данных; - общие условия и требования партнерам; - страница с общей информацией по проекту.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 Административный кабинет, включающий в себя в том числе аутентификацию администратора информационного ресурса.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14" w:hRule="atLeast"/>
        </w:trPr>
        <w:tc>
          <w:tcPr>
            <w:tcW w:w="6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5866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КОМПЛЕКТ для ВОРКАУТА, состоящий из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548" w:hRule="atLeast"/>
        </w:trPr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Оборудование спортивное уличное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ОКПД2: </w:t>
            </w:r>
          </w:p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42.99.12.110        </w:t>
            </w:r>
          </w:p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КТРУ: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42.99.12.110-00000001</w:t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 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Комплекс оснащен универсальным информационным модулем, включающим в себя: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1. QR-код обеспечивающий возможность доступа на информационный ресурс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 Возможность доступа к информационному ресурсу с аудио-материалами о технике выполнения упражнений на данном снаряде путем использования современным коммуникационных устройств с функцией NFC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 информационную табличку с (информация продублирована шрифтом Брайля)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Информационный ресурс содержит следующие разделы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 Главная страница. Раздел содержит промо-информацию, логотипы партнеров и ссылки на партнерские приложения. Осуществление доступа партнёров должно осуществляться на недискриминационном принципе.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 Классификатор тренажеров и оборудования. Сервис предоставляет список доступного на площадке оборудования. Информация об оборудовании содержит название, изображение, описание, видеоинструкцию и технику безопасности тренажера.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 Форма обратной связи. Пользователь сервиса может оставить обратную связь о его работе.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4. Дополнительные информационные страницы: - политика конфиденциальности и обработки персональных данных; - общие условия и требования партнерам; - страница с общей информацией по проекту.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 Административный кабинет, включающий в себя в том числе аутентификацию администратора информационного ресурса.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из которого выполнен корпус коммуникационного блока герметичен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Полипропилен, устойчивого различным погодным воздействиям, к УФ лучам и агрессивной внешней среде (воздействие агрессивных химических соединений)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 защиты  коммуникационного блока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IP67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опорных столбов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Опорные столбы выполнены из круглой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опорного столба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Глубина бетонирования опорных столбов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перекладин турников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Перекладины турников выполнены из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перекладины турников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перекладины турника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перекладины турника 1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перекладины турника 2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перекладины турника 3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1300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Крепеж перекладин турников к опорным столбам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 помощью хомутов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Покраска всех металлических элементов комплекса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эмаль полиэфирная нанесённая в электростатической термокамере с предварительным нанесением цинкосодержащего грунта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Оборудование спортивное уличное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ОКПД2: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42.99.12.110       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КТРУ: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42.99.12.110-00000001</w:t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 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Комплекс оснащен универсальным информационным модулем, включающим в себя: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1. QR-код обеспечивающий возможность доступа на информационный ресурс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 Возможность доступа к информационному ресурсу с аудио-материалами о технике выполнения упражнений на данном снаряде путем использования современным коммуникационных устройств с функцией NFC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 информационную табличку с (информация продублирована шрифтом Брайля)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Информационный ресурс содержит следующие разделы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Главная страница. Раздел содержит промо-информацию, логотипы партнеров и ссылки на партнерские приложения. Осуществление доступа партнёров должно осуществляться на недискриминационном принципе. </w:t>
            </w:r>
          </w:p>
          <w:p>
            <w:pPr>
              <w:pStyle w:val="ListParagraph"/>
              <w:widowControl/>
              <w:numPr>
                <w:ilvl w:val="1"/>
                <w:numId w:val="6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2. Классификатор тренажеров и оборудования. Сервис предоставляет список доступного на площадке оборудования. </w:t>
            </w:r>
          </w:p>
          <w:p>
            <w:pPr>
              <w:pStyle w:val="ListParagraph"/>
              <w:widowControl/>
              <w:numPr>
                <w:ilvl w:val="1"/>
                <w:numId w:val="6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Информация об оборудовании содержит название, изображение, описание, видеоинструкцию и технику безопасности тренажера.</w:t>
            </w:r>
          </w:p>
          <w:p>
            <w:pPr>
              <w:pStyle w:val="ListParagraph"/>
              <w:widowControl/>
              <w:numPr>
                <w:ilvl w:val="1"/>
                <w:numId w:val="6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Форма обратной связи. Пользователь сервиса может оставить обратную связь о его работе.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Дополнительные информационные страницы: - политика конфиденциальности и обработки персональных данных; - общие условия и требования партнерам; - страница с общей информацией по проекту.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Административный кабинет, включающий в себя в том числе аутентификацию администратора информационного ресурса.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из которого выполнен корпус коммуникационного блока герметичен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полипропилен, устойчивого различным погодным воздействиям, к УФ лучам и агрессивной внешней среде (воздействие агрессивных химических соединений)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 защиты коммуникационного блока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IP67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опорных столбов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Опорные столбы выполнены из круглой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опорного столба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012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Характеристики шведской стенки: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перекладин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Шведская стенка состоит из вертикальных несущих перекладин, выполненных из металлической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вертикальных несущих перекладин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Шведская стенка состоит из перекладин, выполненных из металлической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перекладин шведской стенки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шведской стенки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1200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шведской стенки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2070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012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Характеристики рукохода-змеевика: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1700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Несущая конструкция рукохода выполнена из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несущей конструкции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012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Характеристики турников: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Перекладины турников выполнены из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перекладины турников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перекладин турников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перекладин турников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  <w:bookmarkStart w:id="1" w:name="_GoBack"/>
            <w:bookmarkStart w:id="2" w:name="_GoBack"/>
            <w:bookmarkEnd w:id="2"/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Покраска всех металлических элементов комплекса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эмаль полиэфирная нанесённая в электростатической термокамере с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предварительным нанесением цинкосодержащего грунта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Оборудование спортивное уличное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ОКПД2: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42.99.12.110       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КТРУ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: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42.99.12.110-00000001</w:t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Комплекс оснащен универсальным информационным модулем, включающим в себя: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1.QR-код обеспечивающий возможность доступа на информационный ресурс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 Возможность доступа к информационному ресурсу с аудио-материалами о технике выполнения упражнений на данном снаряде путем использования современным коммуникационных устройств с функцией NFC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 информационную табличку с (информация продублирована шрифтом Брайля)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Информационный ресурс содержит следующие разделы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5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Главная страница. Раздел содержит промо-информацию, логотипы партнеров и ссылки на партнерские приложения. Осуществление доступа партнёров должно осуществляться на недискриминационном принципе.</w:t>
            </w:r>
          </w:p>
          <w:p>
            <w:pPr>
              <w:pStyle w:val="ListParagraph"/>
              <w:widowControl/>
              <w:numPr>
                <w:ilvl w:val="1"/>
                <w:numId w:val="5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Классификатор тренажеров и оборудования. Сервис предоставляет список доступного на площадке оборудования. Информация об оборудовании содержит название, изображение, описание, видеоинструкцию и технику безопасности тренажера.</w:t>
            </w:r>
          </w:p>
          <w:p>
            <w:pPr>
              <w:pStyle w:val="ListParagraph"/>
              <w:widowControl/>
              <w:numPr>
                <w:ilvl w:val="1"/>
                <w:numId w:val="5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Форма обратной связи. Пользователь сервиса может оставить обратную связь о его работе.</w:t>
            </w:r>
          </w:p>
          <w:p>
            <w:pPr>
              <w:pStyle w:val="ListParagraph"/>
              <w:widowControl/>
              <w:numPr>
                <w:ilvl w:val="1"/>
                <w:numId w:val="5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Дополнительные информационные страницы: - политика конфиденциальности и обработки персональных данных; - общие условия и требования партнерам; - страница с общей информацией по проекту.</w:t>
            </w:r>
          </w:p>
          <w:p>
            <w:pPr>
              <w:pStyle w:val="ListParagraph"/>
              <w:widowControl/>
              <w:numPr>
                <w:ilvl w:val="1"/>
                <w:numId w:val="5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Административный кабинет, включающий в себя в том числе аутентификацию администратора информационного ресурса.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Материал из которого выполнен корпус коммуникационного блока герметичен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полипропилен, устойчивого различным погодным воздействиям, к УФ лучам и агрессивной внешней среде (воздействие агрессивных химических соединений)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 защиты  коммуникационного блока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IP67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опорных столбов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4-х опорных столбов от основания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1100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2-х опорных столбов от основания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Опорные столбы выполнены из круглой трубы диаметром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опорного столба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Глубина бетонирования опорных столбов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перекладин брусьев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Перекладины выполнены из трубы диаметром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перекладины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Крепеж перекладин турников к опорным столбам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 помощью хомутов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Покраска всех металлических элементов комплекса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эмаль полиэфирная нанесённая в электростатической термокамере с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предварительным нанесением цинкосодержащего грунта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Возможность занятий для инвалидов и лиц с ограниченными возможностями здоровья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Оборудование спортивное уличное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ОКПД2: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42.99.12.110       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КТРУ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: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42.99.12.110-00000001</w:t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Комплекс состоит из гнутой трубы диаметром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гнутой трубы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Упоры из трубы выполнены из трубы диаметром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упоров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рабочей поверхности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рабочей поверхности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двух полуколец тип 1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250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двух полуколец тип 2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Покраска всех металлических элементов комплекса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эмаль полиэфирная нанесённая в электростатической термокамере с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предварительным нанесением цинкосодержащего грунта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Оборудование спортивное уличное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ОКПД2: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42.99.12.110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КТРУ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42.99.12.110-00000001</w:t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опорных столбов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3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Опорные столбы выполнены из круглой трубы диаметром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опорного столба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Материал из которого выполнена лавка скамьи 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Древесно-полимерный композит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Покраска всех металлических элементов комплекса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эмаль полиэфирная нанесённая в электростатической термокамере с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предварительным нанесением цинкосодержащего грунта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Оборудование спортивное уличное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ОКПД2: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42.99.12.110       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КТРУ: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42.99.12.110-00000001</w:t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опорных столбов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Опорные столбы выполнены из круглой трубы диаметром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опорного столба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Глубина бетонирования опорных столбов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перекладин турников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Перекладины выполнены из круглой трубы диаметром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перекладины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Крепеж перекладин турников к опорным столбам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 помощью хомутов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Покраска всех металлических элементов комплекса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эмаль полиэфирная нанесённая в электростатической термокамере с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предварительным нанесением цинкосодержащего грунта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11.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Оборудование спортивное уличное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ОКПД2: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42.99.12.110       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КТРУ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: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42.99.12.110-00000001</w:t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опорных столбов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гнутых жердей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опорных столбов от основания покрытия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Опорные столбы выполнены из круглой трубы диаметром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опорного столба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Диаметр труб, из которых выполнены жерди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жерди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Глубина бетонирования опорных столбов и гнутых параллельных жердей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Крепеж жердей к опорным столбам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 помощью хомутов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Покраска всех металлических элементов комплекса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эмаль полиэфирная нанесённая в электростатической термокамере с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предварительным нанесением цинкосодержащего грунта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Оборудование спортивное уличное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ОКПД2: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42.99.12.110       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КТРУ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: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42.99.12.110-00000001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Комплекс оснащен универсальным информационным модулем, включающим в себя: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1. QR-код обеспечивающий возможность доступа на информационный ресурс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 Возможность доступа к информационному ресурсу с аудио-материалами о технике выполнения упражнений на данном снаряде путем использования современным коммуникационных устройств с функцией NFC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 информационную табличку с (информация продублирована шрифтом Брайля)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Информационный ресурс содержит следующие разделы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1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Главная страница. Раздел содержит промо-информацию, логотипы партнеров и ссылки на партнерские приложения. Осуществление доступа партнёров должно осуществляться на недискриминационном принципе.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Классификатор тренажеров и оборудования. Сервис предоставляет список доступного на площадке оборудования. Информация об оборудовании содержит название, изображение, описание, видеоинструкцию и технику безопасности тренажера.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Форма обратной связи. Пользователь сервиса может оставить обратную связь о его работе.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Дополнительные информационные страницы: - политика конфиденциальности и обработки персональных данных; - общие условия и требования партнерам; - страница с общей информацией по проекту.</w:t>
            </w:r>
          </w:p>
          <w:p>
            <w:pPr>
              <w:pStyle w:val="ListParagraph"/>
              <w:widowControl/>
              <w:numPr>
                <w:ilvl w:val="1"/>
                <w:numId w:val="1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Административный кабинет, включающий в себя в том числе аутентификацию администратора информационного ресурса.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Материал из которого выполнен корпус коммуникационного блока герметичен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полипропилен, устойчивого различным погодным воздействиям, к УФ лучам и агрессивной внешней среде (воздействие агрессивных химических соединений)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 защиты коммуникационного блока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IP67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Комплекс состоит из опорных столбов в количестве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Опорные столбы выполнены из круглой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опорного столба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секций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перекладин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Перекладины рукохода выполненных из металлической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перекладин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несущих перекладин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Несущие перекладины рукохода выполнены из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несущих перекладин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секции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секции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2070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899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расположения секции 1 рукохода от поверхности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899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расположения секции 2 рукохода от поверхности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2500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899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расположения секции 3 рукохода от поверхности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Одна секция рукохода располагается под углом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Рукоход оснащен 2-мя поручнями предназначенных для спуска инвалидов-колясочников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13.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Оборудование спортивное уличное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ОКПД2: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42.99.12.110       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КТРУ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: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42.99.12.110-00000001</w:t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Комплекс оснащен универсальным информационным модулем, включающим в себя: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1. QR-код обеспечивающий возможность доступа на информационный ресурс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 Возможность доступа к информационному ресурсу с аудио-материалами о технике выполнения упражнений на данном снаряде путем использования современным коммуникационных устройств с функцией NFC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 информационную табличку с (информация продублирована шрифтом Брайля)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Информационный ресурс содержит следующие разделы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2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Главная страница. Раздел содержит промо-информацию, логотипы партнеров и ссылки на партнерские приложения. Осуществление доступа партнёров должно осуществляться на недискриминационном принципе.</w:t>
            </w:r>
          </w:p>
          <w:p>
            <w:pPr>
              <w:pStyle w:val="ListParagraph"/>
              <w:widowControl/>
              <w:numPr>
                <w:ilvl w:val="1"/>
                <w:numId w:val="2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Классификатор тренажеров и оборудования. Сервис предоставляет список доступного на площадке оборудования. Информация об оборудовании содержит название, изображение, описание, видеоинструкцию и технику безопасности тренажера.</w:t>
            </w:r>
          </w:p>
          <w:p>
            <w:pPr>
              <w:pStyle w:val="ListParagraph"/>
              <w:widowControl/>
              <w:numPr>
                <w:ilvl w:val="1"/>
                <w:numId w:val="2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Форма обратной связи. Пользователь сервиса может оставить обратную связь о его работе.</w:t>
            </w:r>
          </w:p>
          <w:p>
            <w:pPr>
              <w:pStyle w:val="ListParagraph"/>
              <w:widowControl/>
              <w:numPr>
                <w:ilvl w:val="1"/>
                <w:numId w:val="2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Дополнительные информационные страницы: - политика конфиденциальности и обработки персональных данных; - общие условия и требования партнерам; - страница с общей информацией по проекту.</w:t>
            </w:r>
          </w:p>
          <w:p>
            <w:pPr>
              <w:pStyle w:val="ListParagraph"/>
              <w:widowControl/>
              <w:numPr>
                <w:ilvl w:val="1"/>
                <w:numId w:val="2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Административный кабинет, включающий в себя в том числе аутентификацию администратора информационного ресурса.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Материал из которого выполнен корпус коммуникационного блока герметичен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полипропилен, устойчивого различным погодным воздействиям, к УФ лучам и агрессивной внешней среде (воздействие агрессивных химических соединений)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 защиты коммуникационного блока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IP67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Комплекс состоит из опорных столбов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Опорные столбы выполнены из круглой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опорного столба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Глубина бетонирования опорных столбов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из которого выполнен настил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Древесно-полимерный композит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настила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370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Ширина настила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1600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Регулируемый при монтаже упор для ног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Скамьи расположены под углом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Оборудование спортивное уличное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ОКПД2: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42.99.12.110       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КТРУ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: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42.99.12.110-00000001</w:t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Комплекс оснащен универсальным информационным модулем, включающим в себя: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1. QR-код обеспечивающий возможность доступа на информационный ресурс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 Возможность доступа к информационному ресурсу с аудио-материалами о технике выполнения упражнений на данном снаряде путем использования современным коммуникационных устройств с функцией NFC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 информационную табличку с (информация продублирована шрифтом Брайля)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Информационный ресурс содержит следующие разделы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3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Главная страница. Раздел содержит промо-информацию, логотипы партнеров и ссылки на партнерские приложения. Осуществление доступа партнёров должно осуществляться на недискриминационном принципе.</w:t>
            </w:r>
          </w:p>
          <w:p>
            <w:pPr>
              <w:pStyle w:val="ListParagraph"/>
              <w:widowControl/>
              <w:numPr>
                <w:ilvl w:val="1"/>
                <w:numId w:val="3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Классификатор тренажеров и оборудования. Сервис предоставляет список доступного на площадке оборудования. Информация об оборудовании содержит название, изображение, описание, видеоинструкцию и технику безопасности тренажера.</w:t>
            </w:r>
          </w:p>
          <w:p>
            <w:pPr>
              <w:pStyle w:val="ListParagraph"/>
              <w:widowControl/>
              <w:numPr>
                <w:ilvl w:val="1"/>
                <w:numId w:val="3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Форма обратной связи. Пользователь сервиса может оставить обратную связь о его работе.</w:t>
            </w:r>
          </w:p>
          <w:p>
            <w:pPr>
              <w:pStyle w:val="ListParagraph"/>
              <w:widowControl/>
              <w:numPr>
                <w:ilvl w:val="1"/>
                <w:numId w:val="3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Дополнительные информационные страницы: - политика конфиденциальности и обработки персональных данных; - общие условия и требования партнерам; - страница с общей информацией по проекту.</w:t>
            </w:r>
          </w:p>
          <w:p>
            <w:pPr>
              <w:pStyle w:val="ListParagraph"/>
              <w:widowControl/>
              <w:numPr>
                <w:ilvl w:val="1"/>
                <w:numId w:val="3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Административный кабинет, включающий в себя в том числе аутентификацию администратора информационного ресурса.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Материал из которого выполнен корпус коммуникационного блока герметичен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полипропилен, устойчивого различным погодным воздействиям, к УФ лучам и агрессивной внешней среде (воздействие агрессивных химических соединений)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 защиты коммуникационного блока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IP67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Комплекс состоит из опорных столбов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Опорные столбы выполнены из круглой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опорного столба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Глубина бетонирования опорных столбов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Состав комплекса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разноуровневые перекладины, шведская стенка, 2 скамейки для пресса, кольца и канат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перекладин турников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колец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канатов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каната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каната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полипропилен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012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Характеристики 2 скамей для пресса: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9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Регулируемый при монтаже упор для ног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Скамьи расположены под углом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из которого выполнены скамьи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Древесно-полимерный композит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012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Характеристики шведской стенки: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перекладин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Шведская стенка состоит из вертикальных несущих перекладин выполненных из металлической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вертикальных несущих перекладин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Шведская стенка состоит из горизонтальных перекладин, выполненных из металлической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горизонтальных перекладин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шведской стенки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1200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шведской стенки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color w:val="212121"/>
                <w:kern w:val="0"/>
                <w:sz w:val="20"/>
                <w:szCs w:val="20"/>
                <w:lang w:val="ru-RU" w:eastAsia="ru-RU" w:bidi="ar-SA"/>
              </w:rPr>
              <w:t>2070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Покраска всех металлических элементов комплекса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эмаль полиэфирная нанесённая в электростатической термокамере с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212121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предварительным нанесением цинкосодержащего грунта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15.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Оборудование спортивное уличное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ОКПД2: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42.99.12.110       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КТРУ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: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>42.99.12.110-00000001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Комплекс оснащен универсальным информационным модулем, включающим в себя: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1. QR-код обеспечивающий возможность доступа на информационный ресурс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 Возможность доступа к информационному ресурсу с аудио-материалами о технике выполнения упражнений на данном снаряде путем использования современным коммуникационных устройств с функцией NFC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 информационную табличку с (информация продублирована шрифтом Брайля);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Информационный ресурс содержит следующие разделы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4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Главная страница. Раздел содержит промо-информацию, логотипы партнеров и ссылки на партнерские приложения. Осуществление доступа партнёров должно осуществляться на недискриминационном принципе.</w:t>
            </w:r>
          </w:p>
          <w:p>
            <w:pPr>
              <w:pStyle w:val="ListParagraph"/>
              <w:widowControl/>
              <w:numPr>
                <w:ilvl w:val="1"/>
                <w:numId w:val="4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Классификатор тренажеров и оборудования. Сервис предоставляет список доступного на площадке оборудования. Информация об оборудовании содержит название, изображение, описание, видеоинструкцию и технику безопасности тренажера.</w:t>
            </w:r>
          </w:p>
          <w:p>
            <w:pPr>
              <w:pStyle w:val="ListParagraph"/>
              <w:widowControl/>
              <w:numPr>
                <w:ilvl w:val="1"/>
                <w:numId w:val="4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Форма обратной связи. Пользователь сервиса может оставить обратную связь о его работе.</w:t>
            </w:r>
          </w:p>
          <w:p>
            <w:pPr>
              <w:pStyle w:val="ListParagraph"/>
              <w:widowControl/>
              <w:numPr>
                <w:ilvl w:val="1"/>
                <w:numId w:val="4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Дополнительные информационные страницы: - политика конфиденциальности и обработки персональных данных; - общие условия и требования партнерам; - страница с общей информацией по проекту.</w:t>
            </w:r>
          </w:p>
          <w:p>
            <w:pPr>
              <w:pStyle w:val="ListParagraph"/>
              <w:widowControl/>
              <w:numPr>
                <w:ilvl w:val="1"/>
                <w:numId w:val="4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Административный кабинет, включающий в себя в том числе аутентификацию администратора информационного ресурса.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Материал из которого выполнен корпус коммуникационного блока герметичен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полипропилен, устойчивого различным погодным воздействиям, к УФ лучам и агрессивной внешней среде (воздействие агрессивных химических соединений)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Класс защиты коммуникационного блока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IP67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30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Комплекс состоит из опорных столбов в количестве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Опорные столбы выполнены из круглой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108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опорного столба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секций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перекладин турников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Поручни для подъема на инвалидной коляске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012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Характеристики секции рукохода: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перекладин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Перекладины рукохода выполненных из металлической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перекладин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несущих перекладин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Несущие перекладины рукохода выполнены из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несущих перекладин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секции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секции рукохода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2070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расположения секции 1 рукохода от поверхности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расположения секции 2 рукохода от поверхности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2500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расположения секции 3 рукохода от поверхности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012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Характеристики перекладин турников: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Перекладины турников выполнены из круглой трубы диаметром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перекладины турника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Длина перекладины турника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Крепеж перекладины опорным столбам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 помощью хомутов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Покраска всех металлических элементов комплекса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эмаль полиэфирная нанесённая в электростатической термокамере с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предварительным нанесением цинкосодержащего грунта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150" w:hRule="atLeast"/>
        </w:trPr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16.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>Оборудование спортивное уличное</w:t>
              <w:tab/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ОКПД 2: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42.99.12.110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  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КТРУ:  42.99.12.110-00000001</w:t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 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Состав ограждения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столбы, секции, калитки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ограждения от основания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3700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сечения столба ограждения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Высота сечения столба ограждения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ии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стенки столба ограждения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столба ограждения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4700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Общее количество столбов ограждения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Секции ограждения устанавливаются между столбов в три уровня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секции ограждения тип 1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1900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секции ограждения тип 1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1160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Общее количество Секция ограждения тип 1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≥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132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Кол-во перемычек Секции ограждения тип 1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≥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секции ограждения тип 2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секции ограждения тип 2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1160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Общее количество Секция ограждения тип 2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803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Кол-во перемычек Секции ограждения тип 2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≥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секции ограждения тип 3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1900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секции ограждения тип 3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1190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Общее количество Секция ограждения тип 3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≥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Кол-во перемычек Секции ограждения тип 3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≥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>
              <w:end w:val="outset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каркаса секции</w:t>
            </w:r>
          </w:p>
        </w:tc>
        <w:tc>
          <w:tcPr>
            <w:tcW w:w="2410" w:type="dxa"/>
            <w:gridSpan w:val="2"/>
            <w:tcBorders>
              <w:start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Профильная труба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>
              <w:end w:val="outset" w:sz="6" w:space="0" w:color="000000"/>
            </w:tcBorders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сечение профильной трубы, 40*20 мм</w:t>
            </w:r>
          </w:p>
        </w:tc>
        <w:tc>
          <w:tcPr>
            <w:tcW w:w="2410" w:type="dxa"/>
            <w:gridSpan w:val="2"/>
            <w:tcBorders>
              <w:start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 w:eastAsia="ru-RU" w:bidi="ar-SA"/>
              </w:rPr>
              <w:t xml:space="preserve">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>
              <w:end w:val="outset" w:sz="6" w:space="0" w:color="000000"/>
            </w:tcBorders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перемычки секции</w:t>
            </w:r>
          </w:p>
        </w:tc>
        <w:tc>
          <w:tcPr>
            <w:tcW w:w="2410" w:type="dxa"/>
            <w:gridSpan w:val="2"/>
            <w:tcBorders>
              <w:start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Профильная труба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>
              <w:end w:val="outset" w:sz="6" w:space="0" w:color="000000"/>
            </w:tcBorders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Сечение профильной трубы перемычки 20*20, мм</w:t>
            </w:r>
          </w:p>
        </w:tc>
        <w:tc>
          <w:tcPr>
            <w:tcW w:w="2410" w:type="dxa"/>
            <w:gridSpan w:val="2"/>
            <w:tcBorders>
              <w:start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Соответствие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Количество калиток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размеры калитки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980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Ширина размера калитки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2320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98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55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val="ru-RU" w:eastAsia="ru-RU" w:bidi="ar-SA"/>
              </w:rPr>
              <w:t>Баскетбольная стойка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Вид стойки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Стационарная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Возможность телескопической регулировки высоты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Высота стойки 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Диаметр кольца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&gt; 40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Длина щита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&gt; 150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Конструкция складная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Нет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Ширина щита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&gt; 100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Опорный столб баскетбольной стойки выполнен из трубы со стороной сечения профиля размером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Вынос баскетбольного щита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Материал щита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поликарбонат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щита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Баскетбольная стойка бетонируется на глубину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Покраска всех металлических элементов комплекса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эмаль полиэфирная нанесённая в электростатической термокамере с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предварительным нанесением цинкосодержащего грунта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Конструкция баскетбольного кольца оснащена амортизатором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Диаметр сетки для баскетбольного кольца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98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559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val="ru-RU" w:eastAsia="ru-RU" w:bidi="ar-SA"/>
              </w:rPr>
              <w:t>Ворота футбольные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Вид ворот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Свободно стоящие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нити сетки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Синтетический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Материал рамы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Легкий металл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Толщина нити сетки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3.0  -  &lt; 4.0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Тип профиля рамы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Квадратный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Calibri"/>
                <w:bCs/>
                <w:iCs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Ширина сечения профиля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Calibri"/>
                <w:bCs/>
                <w:iCs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Высота сечения профиля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Наличие сетки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Да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Материал сетки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полипропилен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Толщина сетки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Длина ворот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Высота ворот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2000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Глубина ворот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0"/>
                <w:szCs w:val="20"/>
                <w:lang w:val="ru-RU" w:eastAsia="ru-RU" w:bidi="ar-SA"/>
              </w:rPr>
              <w:t>Количество противовесов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  <w:tc>
          <w:tcPr>
            <w:tcW w:w="41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98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55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val="ru-RU" w:eastAsia="ru-RU" w:bidi="ar-SA"/>
              </w:rPr>
              <w:t>Стойки волейбольные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Материал волейбольных стоек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алюминий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Тип сечения профиля стоек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color w:val="0A0A0A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Прямоугольное 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сечения профиля стоек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120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сечения профиля стоек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Способ монтажа стоек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Установка в закладные стаканы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Скрытая система натяжения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волейбольной сетки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9500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Ширина волейбольной сетки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Длина размера ячейки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100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Ширина размера ячейки 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Диаметр нити сетки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17.</w:t>
            </w:r>
          </w:p>
        </w:tc>
        <w:tc>
          <w:tcPr>
            <w:tcW w:w="22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SimSun"/>
                <w:sz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Трибуна сборно-разборная 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ОКПД2: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32.30.15.299</w:t>
            </w:r>
          </w:p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160"/>
              <w:ind w:end="-14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КТРУ:</w:t>
            </w:r>
          </w:p>
          <w:p>
            <w:pPr>
              <w:pStyle w:val="Normal"/>
              <w:widowControl/>
              <w:spacing w:before="0" w:after="160"/>
              <w:ind w:end="-14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32.30.15.299-00000072</w:t>
            </w:r>
          </w:p>
          <w:p>
            <w:pPr>
              <w:pStyle w:val="Normal"/>
              <w:widowControl/>
              <w:spacing w:before="0" w:after="160"/>
              <w:ind w:end="-14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Закупаемый товар не включен в Перечень Приложения №1 и Перечень Приложения №2 к ПП РФ от 23.12.2024г №1875</w:t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color w:val="1B1F26"/>
                <w:sz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1B1F26"/>
                <w:kern w:val="0"/>
                <w:sz w:val="20"/>
                <w:szCs w:val="20"/>
                <w:shd w:fill="FFFFFF" w:val="clear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678" w:hRule="atLeast"/>
        </w:trPr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Материал, из которого выполнена трибуна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color w:val="1B1F26"/>
                <w:sz w:val="20"/>
                <w:shd w:fill="F2F2F2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стальная профильная труба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Сечение профильной трубы (тип 1), 25*25 мм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соответствует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Сечение профильной трубы (тип 2), </w:t>
            </w:r>
          </w:p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50*50, мм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соответствует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Тип посадочного места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пластиковое сидение со спинкой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Цвет сидений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/>
                <w:sz w:val="20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Цвет RAL согласовать с заказчиком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Задние каркаса ограждения трибуны выполнены из стальной профильной трубы размером, 25* 25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наличие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Форма навеса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Односкатная с уклоном назад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Сотовый поликарбонат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≥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мм</w:t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Тип покрытия металлоконструкции: порошковая покраска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color w:val="1B1F2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порошковая покраска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2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Возможность установки и эксплуатации трибуны предназначена на открытых спортивных площадках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Соответствие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11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end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1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sectPr>
      <w:type w:val="nextPage"/>
      <w:pgSz w:orient="landscape" w:w="16838" w:h="11906"/>
      <w:pgMar w:left="1134" w:right="1134" w:gutter="0" w:header="0" w:top="850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XO Thames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360" w:hanging="36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720" w:hanging="72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080" w:hanging="108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440" w:hanging="1440"/>
      </w:pPr>
      <w:rPr/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360" w:hanging="36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720" w:hanging="72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080" w:hanging="108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440" w:hanging="1440"/>
      </w:pPr>
      <w:rPr/>
    </w:lvl>
  </w:abstractNum>
  <w:abstractNum w:abstractNumId="3">
    <w:lvl w:ilvl="0">
      <w:start w:val="1"/>
      <w:numFmt w:val="decimal"/>
      <w:lvlText w:val="%1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360" w:hanging="36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720" w:hanging="72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080" w:hanging="108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440" w:hanging="1440"/>
      </w:pPr>
      <w:rPr/>
    </w:lvl>
  </w:abstractNum>
  <w:abstractNum w:abstractNumId="4">
    <w:lvl w:ilvl="0">
      <w:start w:val="1"/>
      <w:numFmt w:val="decimal"/>
      <w:lvlText w:val="%1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360" w:hanging="36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720" w:hanging="72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080" w:hanging="108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440" w:hanging="1440"/>
      </w:pPr>
      <w:rPr/>
    </w:lvl>
  </w:abstractNum>
  <w:abstractNum w:abstractNumId="5">
    <w:lvl w:ilvl="0">
      <w:start w:val="1"/>
      <w:numFmt w:val="decimal"/>
      <w:lvlText w:val="%1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0"/>
        </w:tabs>
        <w:ind w:start="720" w:hanging="360"/>
      </w:pPr>
      <w:rPr>
        <w:rFonts w:ascii="Times New Roman" w:hAnsi="Times New Roman" w:eastAsia="Times New Roman" w:cs="Times New Roman"/>
      </w:rPr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144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180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2160" w:hanging="72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28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396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4320" w:hanging="144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0"/>
        </w:tabs>
        <w:ind w:start="360" w:hanging="360"/>
      </w:pPr>
      <w:rPr>
        <w:rFonts w:ascii="Times New Roman" w:hAnsi="Times New Roman" w:eastAsia="Times New Roman" w:cs="Times New Roman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08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440" w:hanging="1440"/>
      </w:pPr>
      <w:rPr/>
    </w:lvl>
  </w:abstractNum>
  <w:abstractNum w:abstractNumId="7">
    <w:lvl w:ilvl="0">
      <w:start w:val="5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 w:qFormat="1"/>
    <w:lsdException w:name="toc 6" w:uiPriority="39"/>
    <w:lsdException w:name="toc 7" w:uiPriority="39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35" w:semiHidden="1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/>
    <w:lsdException w:name="Quote" w:uiPriority="0"/>
    <w:lsdException w:name="Intense Quote" w:uiPriority="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5845"/>
    <w:pPr>
      <w:widowControl/>
      <w:bidi w:val="0"/>
      <w:spacing w:lineRule="auto" w:line="276" w:before="0" w:after="160"/>
      <w:jc w:val="start"/>
    </w:pPr>
    <w:rPr>
      <w:rFonts w:ascii="Calibri" w:hAnsi="Calibri" w:eastAsia="Times New Roman" w:asciiTheme="minorHAnsi" w:hAnsiTheme="minorHAnsi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pPr>
      <w:keepNext w:val="true"/>
      <w:keepLines/>
      <w:spacing w:before="360" w:after="80"/>
      <w:outlineLvl w:val="0"/>
    </w:pPr>
    <w:rPr>
      <w:rFonts w:ascii="Calibri Light" w:hAnsi="Calibri Light" w:asciiTheme="majorHAnsi" w:hAnsiTheme="majorHAnsi"/>
      <w:color w:themeColor="accent1" w:themeShade="bf" w:val="2F5496"/>
      <w:sz w:val="40"/>
    </w:rPr>
  </w:style>
  <w:style w:type="paragraph" w:styleId="Heading2">
    <w:name w:val="heading 2"/>
    <w:basedOn w:val="Normal"/>
    <w:next w:val="Normal"/>
    <w:link w:val="24"/>
    <w:uiPriority w:val="9"/>
    <w:qFormat/>
    <w:pPr>
      <w:keepNext w:val="true"/>
      <w:keepLines/>
      <w:spacing w:before="160" w:after="80"/>
      <w:outlineLvl w:val="1"/>
    </w:pPr>
    <w:rPr>
      <w:rFonts w:ascii="Calibri Light" w:hAnsi="Calibri Light" w:asciiTheme="majorHAnsi" w:hAnsiTheme="majorHAnsi"/>
      <w:color w:themeColor="accent1" w:themeShade="bf" w:val="2F5496"/>
      <w:sz w:val="32"/>
    </w:rPr>
  </w:style>
  <w:style w:type="paragraph" w:styleId="Heading3">
    <w:name w:val="heading 3"/>
    <w:basedOn w:val="Normal"/>
    <w:next w:val="Normal"/>
    <w:link w:val="3"/>
    <w:uiPriority w:val="9"/>
    <w:qFormat/>
    <w:pPr>
      <w:keepNext w:val="true"/>
      <w:keepLines/>
      <w:spacing w:before="160" w:after="80"/>
      <w:outlineLvl w:val="2"/>
    </w:pPr>
    <w:rPr>
      <w:color w:themeColor="accent1" w:themeShade="bf" w:val="2F5496"/>
      <w:sz w:val="28"/>
    </w:rPr>
  </w:style>
  <w:style w:type="paragraph" w:styleId="Heading4">
    <w:name w:val="heading 4"/>
    <w:basedOn w:val="Normal"/>
    <w:next w:val="Normal"/>
    <w:link w:val="41"/>
    <w:uiPriority w:val="9"/>
    <w:qFormat/>
    <w:pPr>
      <w:keepNext w:val="true"/>
      <w:keepLines/>
      <w:spacing w:before="80" w:after="40"/>
      <w:outlineLvl w:val="3"/>
    </w:pPr>
    <w:rPr>
      <w:i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qFormat/>
    <w:pPr>
      <w:keepNext w:val="true"/>
      <w:keepLines/>
      <w:spacing w:before="80" w:after="40"/>
      <w:outlineLvl w:val="4"/>
    </w:pPr>
    <w:rPr>
      <w:color w:themeColor="accent1" w:themeShade="bf" w:val="2F5496"/>
    </w:rPr>
  </w:style>
  <w:style w:type="paragraph" w:styleId="Heading6">
    <w:name w:val="heading 6"/>
    <w:basedOn w:val="Normal"/>
    <w:next w:val="Normal"/>
    <w:link w:val="61"/>
    <w:uiPriority w:val="9"/>
    <w:qFormat/>
    <w:pPr>
      <w:keepNext w:val="true"/>
      <w:keepLines/>
      <w:spacing w:before="40" w:after="0"/>
      <w:outlineLvl w:val="5"/>
    </w:pPr>
    <w:rPr>
      <w:i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qFormat/>
    <w:pPr>
      <w:keepNext w:val="true"/>
      <w:keepLines/>
      <w:spacing w:before="40" w:after="0"/>
      <w:outlineLvl w:val="6"/>
    </w:pPr>
    <w:rPr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qFormat/>
    <w:pPr>
      <w:keepNext w:val="true"/>
      <w:keepLines/>
      <w:spacing w:before="0" w:after="0"/>
      <w:outlineLvl w:val="7"/>
    </w:pPr>
    <w:rPr>
      <w:i/>
      <w:color w:themeColor="text1" w:themeTint="d9" w:val="262626"/>
    </w:rPr>
  </w:style>
  <w:style w:type="paragraph" w:styleId="Heading9">
    <w:name w:val="heading 9"/>
    <w:basedOn w:val="Normal"/>
    <w:next w:val="Normal"/>
    <w:link w:val="9"/>
    <w:uiPriority w:val="9"/>
    <w:qFormat/>
    <w:pPr>
      <w:keepNext w:val="true"/>
      <w:keepLines/>
      <w:spacing w:before="0" w:after="0"/>
      <w:outlineLvl w:val="8"/>
    </w:pPr>
    <w:rPr>
      <w:color w:themeColor="text1" w:themeTint="d9" w:val="2626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link w:val="13"/>
    <w:qFormat/>
    <w:rPr>
      <w:color w:val="0000FF"/>
      <w:u w:val="single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 w:customStyle="1">
    <w:name w:val="Текст концевой сноски Знак"/>
    <w:uiPriority w:val="99"/>
    <w:qFormat/>
    <w:rPr>
      <w:sz w:val="20"/>
    </w:rPr>
  </w:style>
  <w:style w:type="character" w:styleId="1" w:customStyle="1">
    <w:name w:val="Обычный1"/>
    <w:qFormat/>
    <w:rPr/>
  </w:style>
  <w:style w:type="character" w:styleId="Style9" w:customStyle="1">
    <w:name w:val="Выделенная цитата Знак"/>
    <w:basedOn w:val="1"/>
    <w:link w:val="IntenseQuote"/>
    <w:qFormat/>
    <w:rPr>
      <w:i/>
      <w:color w:themeColor="accent1" w:themeShade="bf" w:val="2F5496"/>
    </w:rPr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7" w:customStyle="1">
    <w:name w:val="Заголовок 7 Знак"/>
    <w:basedOn w:val="1"/>
    <w:qFormat/>
    <w:rPr>
      <w:color w:themeColor="text1" w:themeTint="a6" w:val="595959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Style10" w:customStyle="1">
    <w:name w:val="Верхний колонтитул Знак"/>
    <w:basedOn w:val="1"/>
    <w:qFormat/>
    <w:rPr/>
  </w:style>
  <w:style w:type="character" w:styleId="71" w:customStyle="1">
    <w:name w:val="Оглавление 7 Знак"/>
    <w:qFormat/>
    <w:rPr>
      <w:rFonts w:ascii="XO Thames" w:hAnsi="XO Thames"/>
      <w:sz w:val="28"/>
    </w:rPr>
  </w:style>
  <w:style w:type="character" w:styleId="Endnote1" w:customStyle="1">
    <w:name w:val="Endnote1"/>
    <w:link w:val="Endnote"/>
    <w:qFormat/>
    <w:rPr>
      <w:rFonts w:ascii="XO Thames" w:hAnsi="XO Thames"/>
      <w:sz w:val="22"/>
    </w:rPr>
  </w:style>
  <w:style w:type="character" w:styleId="3" w:customStyle="1">
    <w:name w:val="Заголовок 3 Знак"/>
    <w:basedOn w:val="1"/>
    <w:qFormat/>
    <w:rPr>
      <w:color w:themeColor="accent1" w:themeShade="bf" w:val="2F5496"/>
      <w:sz w:val="28"/>
    </w:rPr>
  </w:style>
  <w:style w:type="character" w:styleId="Style11" w:customStyle="1">
    <w:name w:val="Абзац списка Знак"/>
    <w:basedOn w:val="1"/>
    <w:link w:val="ListParagraph"/>
    <w:qFormat/>
    <w:rPr/>
  </w:style>
  <w:style w:type="character" w:styleId="9" w:customStyle="1">
    <w:name w:val="Заголовок 9 Знак"/>
    <w:basedOn w:val="1"/>
    <w:qFormat/>
    <w:rPr>
      <w:color w:themeColor="text1" w:themeTint="d9" w:val="262626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21" w:customStyle="1">
    <w:name w:val="Цитата 2 Знак"/>
    <w:basedOn w:val="1"/>
    <w:link w:val="Quote"/>
    <w:qFormat/>
    <w:rPr>
      <w:i/>
      <w:color w:themeColor="text1" w:themeTint="bf" w:val="404040"/>
    </w:rPr>
  </w:style>
  <w:style w:type="character" w:styleId="5" w:customStyle="1">
    <w:name w:val="Заголовок 5 Знак"/>
    <w:basedOn w:val="1"/>
    <w:qFormat/>
    <w:rPr>
      <w:color w:themeColor="accent1" w:themeShade="bf" w:val="2F5496"/>
    </w:rPr>
  </w:style>
  <w:style w:type="character" w:styleId="11" w:customStyle="1">
    <w:name w:val="Заголовок 1 Знак"/>
    <w:basedOn w:val="1"/>
    <w:qFormat/>
    <w:rPr>
      <w:rFonts w:ascii="Calibri Light" w:hAnsi="Calibri Light" w:asciiTheme="majorHAnsi" w:hAnsiTheme="majorHAnsi"/>
      <w:color w:themeColor="accent1" w:themeShade="bf" w:val="2F5496"/>
      <w:sz w:val="40"/>
    </w:rPr>
  </w:style>
  <w:style w:type="character" w:styleId="p11" w:customStyle="1">
    <w:name w:val="p11"/>
    <w:basedOn w:val="1"/>
    <w:link w:val="p1"/>
    <w:qFormat/>
    <w:rPr>
      <w:rFonts w:ascii="Times New Roman" w:hAnsi="Times New Roman"/>
      <w:color w:val="000000"/>
      <w:sz w:val="21"/>
    </w:rPr>
  </w:style>
  <w:style w:type="character" w:styleId="Footnote1" w:customStyle="1">
    <w:name w:val="Footnote1"/>
    <w:link w:val="Footnote"/>
    <w:qFormat/>
    <w:rPr>
      <w:rFonts w:ascii="XO Thames" w:hAnsi="XO Thames"/>
      <w:sz w:val="22"/>
    </w:rPr>
  </w:style>
  <w:style w:type="character" w:styleId="8" w:customStyle="1">
    <w:name w:val="Заголовок 8 Знак"/>
    <w:basedOn w:val="1"/>
    <w:qFormat/>
    <w:rPr>
      <w:i/>
      <w:color w:themeColor="text1" w:themeTint="d9" w:val="262626"/>
    </w:rPr>
  </w:style>
  <w:style w:type="character" w:styleId="22" w:customStyle="1">
    <w:name w:val="Сильная ссылка2"/>
    <w:basedOn w:val="DefaultParagraphFont"/>
    <w:link w:val="16"/>
    <w:qFormat/>
    <w:rPr>
      <w:b/>
      <w:smallCaps/>
      <w:color w:themeColor="accent1" w:themeShade="bf" w:val="2F5496"/>
      <w:spacing w:val="5"/>
    </w:rPr>
  </w:style>
  <w:style w:type="character" w:styleId="12" w:customStyle="1">
    <w:name w:val="Оглавление 1 Знак"/>
    <w:qFormat/>
    <w:rPr>
      <w:rFonts w:ascii="XO Thames" w:hAnsi="XO Thames"/>
      <w:b/>
      <w:sz w:val="28"/>
    </w:rPr>
  </w:style>
  <w:style w:type="character" w:styleId="23" w:customStyle="1">
    <w:name w:val="Сильное выделение2"/>
    <w:basedOn w:val="DefaultParagraphFont"/>
    <w:link w:val="17"/>
    <w:qFormat/>
    <w:rPr>
      <w:i/>
      <w:color w:themeColor="accent1" w:themeShade="bf" w:val="2F5496"/>
    </w:rPr>
  </w:style>
  <w:style w:type="character" w:styleId="HeaderandFooter1" w:customStyle="1">
    <w:name w:val="Header and Footer1"/>
    <w:qFormat/>
    <w:rPr>
      <w:rFonts w:ascii="XO Thames" w:hAnsi="XO Thames"/>
      <w:sz w:val="28"/>
    </w:rPr>
  </w:style>
  <w:style w:type="character" w:styleId="91" w:customStyle="1">
    <w:name w:val="Оглавление 9 Знак"/>
    <w:qFormat/>
    <w:rPr>
      <w:rFonts w:ascii="XO Thames" w:hAnsi="XO Thames"/>
      <w:sz w:val="28"/>
    </w:rPr>
  </w:style>
  <w:style w:type="character" w:styleId="81" w:customStyle="1">
    <w:name w:val="Оглавление 8 Знак"/>
    <w:qFormat/>
    <w:rPr>
      <w:rFonts w:ascii="XO Thames" w:hAnsi="XO Thames"/>
      <w:sz w:val="28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Style12" w:customStyle="1">
    <w:name w:val="Подзаголовок Знак"/>
    <w:basedOn w:val="1"/>
    <w:qFormat/>
    <w:rPr>
      <w:color w:themeColor="text1" w:themeTint="a6" w:val="595959"/>
      <w:spacing w:val="15"/>
      <w:sz w:val="28"/>
    </w:rPr>
  </w:style>
  <w:style w:type="character" w:styleId="Style13" w:customStyle="1">
    <w:name w:val="Нижний колонтитул Знак"/>
    <w:basedOn w:val="1"/>
    <w:qFormat/>
    <w:rPr/>
  </w:style>
  <w:style w:type="character" w:styleId="s11" w:customStyle="1">
    <w:name w:val="s11"/>
    <w:basedOn w:val="DefaultParagraphFont"/>
    <w:link w:val="s1"/>
    <w:qFormat/>
    <w:rPr>
      <w:rFonts w:ascii="Times New Roman" w:hAnsi="Times New Roman"/>
      <w:sz w:val="15"/>
    </w:rPr>
  </w:style>
  <w:style w:type="character" w:styleId="Style14" w:customStyle="1">
    <w:name w:val="Заголовок Знак"/>
    <w:basedOn w:val="1"/>
    <w:qFormat/>
    <w:rPr>
      <w:rFonts w:ascii="Calibri Light" w:hAnsi="Calibri Light" w:asciiTheme="majorHAnsi" w:hAnsiTheme="majorHAnsi"/>
      <w:spacing w:val="-10"/>
      <w:sz w:val="56"/>
    </w:rPr>
  </w:style>
  <w:style w:type="character" w:styleId="41" w:customStyle="1">
    <w:name w:val="Заголовок 4 Знак"/>
    <w:basedOn w:val="1"/>
    <w:qFormat/>
    <w:rPr>
      <w:i/>
      <w:color w:themeColor="accent1" w:themeShade="bf" w:val="2F5496"/>
    </w:rPr>
  </w:style>
  <w:style w:type="character" w:styleId="24" w:customStyle="1">
    <w:name w:val="Заголовок 2 Знак"/>
    <w:basedOn w:val="1"/>
    <w:qFormat/>
    <w:rPr>
      <w:rFonts w:ascii="Calibri Light" w:hAnsi="Calibri Light" w:asciiTheme="majorHAnsi" w:hAnsiTheme="majorHAnsi"/>
      <w:color w:themeColor="accent1" w:themeShade="bf" w:val="2F5496"/>
      <w:sz w:val="32"/>
    </w:rPr>
  </w:style>
  <w:style w:type="character" w:styleId="61" w:customStyle="1">
    <w:name w:val="Заголовок 6 Знак"/>
    <w:basedOn w:val="1"/>
    <w:qFormat/>
    <w:rPr>
      <w:i/>
      <w:color w:themeColor="text1" w:themeTint="a6" w:val="595959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Pr>
      <w:sz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Pr>
      <w:b/>
      <w:bCs/>
      <w:sz w:val="20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658c5"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uiPriority w:val="35"/>
    <w:semiHidden/>
    <w:unhideWhenUsed/>
    <w:qFormat/>
    <w:pPr>
      <w:widowControl/>
      <w:bidi w:val="0"/>
      <w:spacing w:lineRule="auto" w:line="276" w:before="0" w:after="160"/>
      <w:jc w:val="start"/>
    </w:pPr>
    <w:rPr>
      <w:rFonts w:ascii="Calibri" w:hAnsi="Calibri" w:eastAsia="Times New Roman" w:asciiTheme="minorHAnsi" w:hAnsiTheme="minorHAnsi" w:cs="Times New Roman"/>
      <w:b/>
      <w:bCs/>
      <w:color w:themeColor="accent1" w:val="4472C4"/>
      <w:kern w:val="0"/>
      <w:sz w:val="18"/>
      <w:szCs w:val="18"/>
      <w:lang w:val="ru-RU" w:eastAsia="ru-RU" w:bidi="ar-SA"/>
    </w:rPr>
  </w:style>
  <w:style w:type="paragraph" w:styleId="Style19">
    <w:name w:val="Указатель"/>
    <w:basedOn w:val="Normal"/>
    <w:qFormat/>
    <w:pPr>
      <w:suppressLineNumbers/>
    </w:pPr>
    <w:rPr>
      <w:rFonts w:cs="Noto Sans"/>
    </w:rPr>
  </w:style>
  <w:style w:type="paragraph" w:styleId="13" w:customStyle="1">
    <w:name w:val="Гиперссылка1"/>
    <w:qFormat/>
    <w:pPr>
      <w:widowControl/>
      <w:bidi w:val="0"/>
      <w:spacing w:lineRule="auto" w:line="276" w:before="0" w:after="160"/>
      <w:jc w:val="start"/>
    </w:pPr>
    <w:rPr>
      <w:rFonts w:ascii="Calibri" w:hAnsi="Calibri" w:eastAsia="Times New Roman" w:asciiTheme="minorHAnsi" w:hAnsiTheme="minorHAnsi" w:cs="Times New Roman"/>
      <w:color w:val="0000FF"/>
      <w:kern w:val="0"/>
      <w:sz w:val="24"/>
      <w:szCs w:val="20"/>
      <w:u w:val="single"/>
      <w:lang w:val="ru-RU" w:eastAsia="ru-RU" w:bidi="ar-SA"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dnoteText">
    <w:name w:val="endnote text"/>
    <w:link w:val="Style8"/>
    <w:uiPriority w:val="99"/>
    <w:semiHidden/>
    <w:unhideWhenUsed/>
    <w:qFormat/>
    <w:pPr>
      <w:widowControl/>
      <w:bidi w:val="0"/>
      <w:spacing w:before="0" w:after="0"/>
      <w:jc w:val="start"/>
    </w:pPr>
    <w:rPr>
      <w:rFonts w:ascii="Calibri" w:hAnsi="Calibri" w:eastAsia="Times New Roman" w:asciiTheme="minorHAnsi" w:hAnsiTheme="minorHAnsi" w:cs="Times New Roman"/>
      <w:color w:val="000000"/>
      <w:kern w:val="0"/>
      <w:sz w:val="20"/>
      <w:szCs w:val="20"/>
      <w:lang w:val="ru-RU" w:eastAsia="ru-RU" w:bidi="ar-SA"/>
    </w:rPr>
  </w:style>
  <w:style w:type="paragraph" w:styleId="CommentText">
    <w:name w:val="annotation text"/>
    <w:basedOn w:val="Normal"/>
    <w:link w:val="Style15"/>
    <w:uiPriority w:val="99"/>
    <w:semiHidden/>
    <w:unhideWhenUsed/>
    <w:pPr>
      <w:spacing w:lineRule="auto" w:line="240"/>
    </w:pPr>
    <w:rPr>
      <w:sz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pPr/>
    <w:rPr>
      <w:b/>
      <w:bCs/>
    </w:rPr>
  </w:style>
  <w:style w:type="paragraph" w:styleId="FootnoteText">
    <w:name w:val="footnote text"/>
    <w:link w:val="Style7"/>
    <w:uiPriority w:val="99"/>
    <w:semiHidden/>
    <w:unhideWhenUsed/>
    <w:qFormat/>
    <w:pPr>
      <w:widowControl/>
      <w:bidi w:val="0"/>
      <w:spacing w:before="0" w:after="40"/>
      <w:jc w:val="start"/>
    </w:pPr>
    <w:rPr>
      <w:rFonts w:ascii="Calibri" w:hAnsi="Calibri" w:eastAsia="Times New Roman" w:asciiTheme="minorHAnsi" w:hAnsiTheme="minorHAnsi" w:cs="Times New Roman"/>
      <w:color w:val="000000"/>
      <w:kern w:val="0"/>
      <w:sz w:val="18"/>
      <w:szCs w:val="20"/>
      <w:lang w:val="ru-RU" w:eastAsia="ru-RU" w:bidi="ar-SA"/>
    </w:rPr>
  </w:style>
  <w:style w:type="paragraph" w:styleId="TOC8">
    <w:name w:val="toc 8"/>
    <w:next w:val="Normal"/>
    <w:link w:val="81"/>
    <w:uiPriority w:val="39"/>
    <w:qFormat/>
    <w:pPr>
      <w:widowControl/>
      <w:bidi w:val="0"/>
      <w:spacing w:lineRule="auto" w:line="276" w:before="0" w:after="160"/>
      <w:ind w:start="1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20" w:customStyle="1">
    <w:name w:val="Колонтитулы"/>
    <w:link w:val="HeaderandFooter1"/>
    <w:qFormat/>
    <w:pPr>
      <w:widowControl/>
      <w:bidi w:val="0"/>
      <w:spacing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">
    <w:name w:val="header"/>
    <w:basedOn w:val="Normal"/>
    <w:link w:val="Style10"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9">
    <w:name w:val="toc 9"/>
    <w:next w:val="Normal"/>
    <w:link w:val="91"/>
    <w:uiPriority w:val="39"/>
    <w:qFormat/>
    <w:pPr>
      <w:widowControl/>
      <w:bidi w:val="0"/>
      <w:spacing w:lineRule="auto" w:line="276" w:before="0" w:after="160"/>
      <w:ind w:start="1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1"/>
    <w:uiPriority w:val="39"/>
    <w:pPr>
      <w:widowControl/>
      <w:bidi w:val="0"/>
      <w:spacing w:lineRule="auto" w:line="276" w:before="0" w:after="160"/>
      <w:ind w:start="1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pPr>
      <w:widowControl/>
      <w:bidi w:val="0"/>
      <w:spacing w:lineRule="auto" w:line="276" w:before="0" w:after="16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bidi w:val="0"/>
      <w:spacing w:lineRule="auto" w:line="276" w:before="0" w:after="160"/>
      <w:ind w:start="10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ableofFigures">
    <w:name w:val="table of figures"/>
    <w:uiPriority w:val="99"/>
    <w:unhideWhenUsed/>
    <w:qFormat/>
    <w:pPr>
      <w:widowControl/>
      <w:bidi w:val="0"/>
      <w:spacing w:lineRule="auto" w:line="276" w:before="0" w:after="0"/>
      <w:jc w:val="start"/>
    </w:pPr>
    <w:rPr>
      <w:rFonts w:ascii="Calibri" w:hAnsi="Calibri" w:eastAsia="Times New Roman" w:asciiTheme="minorHAnsi" w:hAnsiTheme="minorHAnsi" w:cs="Times New Roman"/>
      <w:color w:val="000000"/>
      <w:kern w:val="0"/>
      <w:sz w:val="24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qFormat/>
    <w:pPr>
      <w:widowControl/>
      <w:bidi w:val="0"/>
      <w:spacing w:lineRule="auto" w:line="276" w:before="0" w:after="160"/>
      <w:ind w:start="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2">
    <w:name w:val="toc 2"/>
    <w:next w:val="Normal"/>
    <w:link w:val="2"/>
    <w:uiPriority w:val="39"/>
    <w:qFormat/>
    <w:pPr>
      <w:widowControl/>
      <w:bidi w:val="0"/>
      <w:spacing w:lineRule="auto" w:line="276" w:before="0" w:after="160"/>
      <w:ind w:start="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bidi w:val="0"/>
      <w:spacing w:lineRule="auto" w:line="276" w:before="0" w:after="160"/>
      <w:ind w:start="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qFormat/>
    <w:pPr>
      <w:widowControl/>
      <w:bidi w:val="0"/>
      <w:spacing w:lineRule="auto" w:line="276" w:before="0" w:after="160"/>
      <w:ind w:start="8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14"/>
    <w:uiPriority w:val="10"/>
    <w:qFormat/>
    <w:pPr>
      <w:spacing w:lineRule="auto" w:line="240" w:before="0" w:after="80"/>
      <w:contextualSpacing/>
    </w:pPr>
    <w:rPr>
      <w:rFonts w:ascii="Calibri Light" w:hAnsi="Calibri Light" w:asciiTheme="majorHAnsi" w:hAnsiTheme="majorHAnsi"/>
      <w:spacing w:val="-10"/>
      <w:sz w:val="56"/>
    </w:rPr>
  </w:style>
  <w:style w:type="paragraph" w:styleId="Footer">
    <w:name w:val="footer"/>
    <w:basedOn w:val="Normal"/>
    <w:link w:val="Style13"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ubtitle">
    <w:name w:val="Subtitle"/>
    <w:basedOn w:val="Normal"/>
    <w:next w:val="Normal"/>
    <w:link w:val="Style12"/>
    <w:uiPriority w:val="11"/>
    <w:qFormat/>
    <w:pPr/>
    <w:rPr>
      <w:color w:themeColor="text1" w:themeTint="a6" w:val="595959"/>
      <w:spacing w:val="15"/>
      <w:sz w:val="28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start"/>
    </w:pPr>
    <w:rPr>
      <w:rFonts w:ascii="Calibri" w:hAnsi="Calibri" w:eastAsia="Times New Roman" w:asciiTheme="minorHAnsi" w:hAnsiTheme="minorHAnsi" w:cs="Times New Roman"/>
      <w:color w:val="000000"/>
      <w:kern w:val="0"/>
      <w:sz w:val="24"/>
      <w:szCs w:val="20"/>
      <w:lang w:val="ru-RU" w:eastAsia="ru-RU" w:bidi="ar-SA"/>
    </w:rPr>
  </w:style>
  <w:style w:type="paragraph" w:styleId="14" w:customStyle="1">
    <w:name w:val="Заголовок оглавления1"/>
    <w:uiPriority w:val="39"/>
    <w:unhideWhenUsed/>
    <w:qFormat/>
    <w:pPr>
      <w:widowControl/>
      <w:bidi w:val="0"/>
      <w:spacing w:lineRule="auto" w:line="276" w:before="0" w:after="160"/>
      <w:jc w:val="start"/>
    </w:pPr>
    <w:rPr>
      <w:rFonts w:ascii="Calibri" w:hAnsi="Calibri" w:eastAsia="Times New Roman" w:asciiTheme="minorHAnsi" w:hAnsiTheme="minorHAnsi" w:cs="Times New Roman"/>
      <w:color w:val="000000"/>
      <w:kern w:val="0"/>
      <w:sz w:val="24"/>
      <w:szCs w:val="20"/>
      <w:lang w:val="ru-RU" w:eastAsia="ru-RU" w:bidi="ar-SA"/>
    </w:rPr>
  </w:style>
  <w:style w:type="paragraph" w:styleId="IntenseQuote">
    <w:name w:val="Intense Quote"/>
    <w:basedOn w:val="Normal"/>
    <w:next w:val="Normal"/>
    <w:link w:val="Style9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color w:themeColor="accent1" w:themeShade="bf" w:val="2F5496"/>
    </w:rPr>
  </w:style>
  <w:style w:type="paragraph" w:styleId="15" w:customStyle="1">
    <w:name w:val="Основной шрифт абзаца1"/>
    <w:qFormat/>
    <w:pPr>
      <w:widowControl/>
      <w:bidi w:val="0"/>
      <w:spacing w:lineRule="auto" w:line="276" w:before="0" w:after="160"/>
      <w:jc w:val="start"/>
    </w:pPr>
    <w:rPr>
      <w:rFonts w:ascii="Calibri" w:hAnsi="Calibri" w:eastAsia="Times New Roman" w:asciiTheme="minorHAnsi" w:hAnsiTheme="minorHAnsi" w:cs="Times New Roman"/>
      <w:color w:val="000000"/>
      <w:kern w:val="0"/>
      <w:sz w:val="24"/>
      <w:szCs w:val="20"/>
      <w:lang w:val="ru-RU" w:eastAsia="ru-RU" w:bidi="ar-SA"/>
    </w:rPr>
  </w:style>
  <w:style w:type="paragraph" w:styleId="Endnote" w:customStyle="1">
    <w:name w:val="Endnote"/>
    <w:link w:val="Endnote1"/>
    <w:qFormat/>
    <w:pPr>
      <w:widowControl/>
      <w:bidi w:val="0"/>
      <w:spacing w:lineRule="auto" w:line="276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link w:val="Style11"/>
    <w:qFormat/>
    <w:pPr>
      <w:spacing w:before="0" w:after="160"/>
      <w:ind w:start="720"/>
      <w:contextualSpacing/>
    </w:pPr>
    <w:rPr/>
  </w:style>
  <w:style w:type="paragraph" w:styleId="Quote">
    <w:name w:val="Quote"/>
    <w:basedOn w:val="Normal"/>
    <w:next w:val="Normal"/>
    <w:link w:val="21"/>
    <w:qFormat/>
    <w:pPr>
      <w:spacing w:before="160" w:after="160"/>
      <w:jc w:val="center"/>
    </w:pPr>
    <w:rPr>
      <w:i/>
      <w:color w:themeColor="text1" w:themeTint="bf" w:val="404040"/>
    </w:rPr>
  </w:style>
  <w:style w:type="paragraph" w:styleId="p1" w:customStyle="1">
    <w:name w:val="p1"/>
    <w:basedOn w:val="Normal"/>
    <w:link w:val="p11"/>
    <w:qFormat/>
    <w:pPr>
      <w:spacing w:lineRule="auto" w:line="240" w:before="0" w:after="0"/>
    </w:pPr>
    <w:rPr>
      <w:rFonts w:ascii="Times New Roman" w:hAnsi="Times New Roman"/>
      <w:sz w:val="21"/>
    </w:rPr>
  </w:style>
  <w:style w:type="paragraph" w:styleId="Footnote" w:customStyle="1">
    <w:name w:val="Footnote"/>
    <w:link w:val="Footnote1"/>
    <w:qFormat/>
    <w:pPr>
      <w:widowControl/>
      <w:bidi w:val="0"/>
      <w:spacing w:lineRule="auto" w:line="276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6" w:customStyle="1">
    <w:name w:val="Сильная ссылка1"/>
    <w:basedOn w:val="15"/>
    <w:link w:val="22"/>
    <w:qFormat/>
    <w:pPr/>
    <w:rPr>
      <w:b/>
      <w:smallCaps/>
      <w:color w:themeColor="accent1" w:themeShade="bf" w:val="2F5496"/>
      <w:spacing w:val="5"/>
    </w:rPr>
  </w:style>
  <w:style w:type="paragraph" w:styleId="17" w:customStyle="1">
    <w:name w:val="Сильное выделение1"/>
    <w:basedOn w:val="15"/>
    <w:link w:val="23"/>
    <w:qFormat/>
    <w:pPr/>
    <w:rPr>
      <w:i/>
      <w:color w:themeColor="accent1" w:themeShade="bf" w:val="2F5496"/>
    </w:rPr>
  </w:style>
  <w:style w:type="paragraph" w:styleId="s1" w:customStyle="1">
    <w:name w:val="s1"/>
    <w:basedOn w:val="15"/>
    <w:link w:val="s11"/>
    <w:qFormat/>
    <w:pPr/>
    <w:rPr>
      <w:rFonts w:ascii="Times New Roman" w:hAnsi="Times New Roman"/>
      <w:sz w:val="15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qFormat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qFormat/>
    <w:tblStylePr w:type="firstRow">
      <w:rPr>
        <w:b/>
        <w:caps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tblStylePr w:type="firstRow">
      <w:rPr>
        <w:i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6A6A6A" w:themeColor="tex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537DC8" w:themeColor="accen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37DC8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4B184" w:themeColor="accent2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A5A5A5" w:themeColor="accent3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FD865" w:themeColor="accent4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color="537DC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/>
      </w:rPr>
      <w:tblPr/>
    </w:tblStylePr>
    <w:tblStylePr w:type="firstCol">
      <w:rPr>
        <w:b/>
        <w:color w:themeColor="text1" w:themeTint="80"/>
      </w:rPr>
      <w:tblPr/>
    </w:tblStylePr>
    <w:tblStylePr w:type="lastCol">
      <w:rPr>
        <w:b/>
        <w:color w:themeColor="text1" w:themeTint="80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themeColor="accent1" w:themeTint="80"/>
      </w:rPr>
      <w:tblPr/>
      <w:tcPr>
        <w:tcBorders>
          <w:bottom w:val="single" w:color="A0B7E1" w:themeColor="accent1" w:sz="12" w:space="0"/>
        </w:tcBorders>
      </w:tcPr>
    </w:tblStylePr>
    <w:tblStylePr w:type="lastRow">
      <w:rPr>
        <w:b/>
        <w:color w:themeColor="accent1" w:themeTint="80"/>
      </w:rPr>
      <w:tblPr/>
    </w:tblStylePr>
    <w:tblStylePr w:type="firstCol">
      <w:rPr>
        <w:b/>
        <w:color w:themeColor="accent1" w:themeTint="80"/>
      </w:rPr>
      <w:tblPr/>
    </w:tblStylePr>
    <w:tblStylePr w:type="lastCol">
      <w:rPr>
        <w:b/>
        <w:color w:themeColor="accent1" w:themeTint="80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themeColor="accent1" w:themeTint="80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themeColor="accent1" w:themeTint="80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6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themeColor="accent2" w:themeTint="96"/>
      </w:rPr>
      <w:tblPr/>
    </w:tblStylePr>
    <w:tblStylePr w:type="firstCol">
      <w:rPr>
        <w:b/>
        <w:color w:themeColor="accent2" w:themeTint="96"/>
      </w:rPr>
      <w:tblPr/>
    </w:tblStylePr>
    <w:tblStylePr w:type="lastCol">
      <w:rPr>
        <w:b/>
        <w:color w:themeColor="accent2" w:themeTint="96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6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6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/>
      </w:rPr>
      <w:tblPr/>
    </w:tblStylePr>
    <w:tblStylePr w:type="firstCol">
      <w:rPr>
        <w:b/>
        <w:color w:themeColor="accent3"/>
      </w:rPr>
      <w:tblPr/>
    </w:tblStylePr>
    <w:tblStylePr w:type="lastCol">
      <w:rPr>
        <w:b/>
        <w:color w:themeColor="accent3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9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themeColor="accent4" w:themeTint="99"/>
      </w:rPr>
      <w:tblPr/>
    </w:tblStylePr>
    <w:tblStylePr w:type="firstCol">
      <w:rPr>
        <w:b/>
        <w:color w:themeColor="accent4" w:themeTint="99"/>
      </w:rPr>
      <w:tblPr/>
    </w:tblStylePr>
    <w:tblStylePr w:type="lastCol">
      <w:rPr>
        <w:b/>
        <w:color w:themeColor="accent4" w:themeTint="99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9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9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themeColor="accent5" w:themeShade="94"/>
      </w:rPr>
      <w:tblPr/>
    </w:tblStylePr>
    <w:tblStylePr w:type="firstCol">
      <w:rPr>
        <w:b/>
        <w:color w:themeColor="accent5" w:themeShade="94"/>
      </w:rPr>
      <w:tblPr/>
    </w:tblStylePr>
    <w:tblStylePr w:type="lastCol">
      <w:rPr>
        <w:b/>
        <w:color w:themeColor="accent5" w:themeShade="94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themeColor="accent5" w:themeShade="94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themeColor="accent5" w:themeShade="94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4"/>
      </w:rPr>
      <w:tblPr/>
    </w:tblStylePr>
    <w:tblStylePr w:type="firstCol">
      <w:rPr>
        <w:b/>
        <w:color w:themeColor="accent5" w:themeShade="94"/>
      </w:rPr>
      <w:tblPr/>
    </w:tblStylePr>
    <w:tblStylePr w:type="lastCol">
      <w:rPr>
        <w:b/>
        <w:color w:themeColor="accent5" w:themeShade="94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4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4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/>
        <w:sz w:val="22"/>
      </w:rPr>
      <w:tblPr/>
      <w:tcPr>
        <w:tcBorders>
          <w:top w:val="nil"/>
          <w:left w:val="nil"/>
          <w:bottom w:val="single" w:color="7F7F7F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text1" w:themeTint="80"/>
        <w:sz w:val="22"/>
      </w:rPr>
      <w:tblPr/>
      <w:tcPr>
        <w:tcBorders>
          <w:top w:val="single" w:color="7F7F7F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/>
        <w:sz w:val="22"/>
      </w:rPr>
      <w:tblPr/>
      <w:tcPr>
        <w:tcBorders>
          <w:top w:val="nil"/>
          <w:left w:val="nil"/>
          <w:bottom w:val="nil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/>
        <w:sz w:val="22"/>
      </w:rPr>
      <w:tblPr/>
      <w:tcPr>
        <w:tcBorders>
          <w:top w:val="nil"/>
          <w:left w:val="single" w:color="7F7F7F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themeColor="accent1" w:themeTint="80"/>
        <w:sz w:val="22"/>
      </w:rPr>
      <w:tblPr/>
      <w:tcPr>
        <w:tcBorders>
          <w:top w:val="nil"/>
          <w:left w:val="nil"/>
          <w:bottom w:val="single" w:color="A0B7E1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1" w:themeTint="80"/>
        <w:sz w:val="22"/>
      </w:rPr>
      <w:tblPr/>
      <w:tcPr>
        <w:tcBorders>
          <w:top w:val="single" w:color="A0B7E1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/>
        <w:sz w:val="22"/>
      </w:rPr>
      <w:tblPr/>
      <w:tcPr>
        <w:tcBorders>
          <w:top w:val="nil"/>
          <w:left w:val="nil"/>
          <w:bottom w:val="nil"/>
          <w:right w:val="single" w:color="A0B7E1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/>
        <w:sz w:val="22"/>
      </w:rPr>
      <w:tblPr/>
      <w:tcPr>
        <w:tcBorders>
          <w:top w:val="nil"/>
          <w:left w:val="single" w:color="A0B7E1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themeColor="accent1" w:themeTint="80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themeColor="accent1" w:themeTint="80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6"/>
        <w:sz w:val="22"/>
      </w:rPr>
      <w:tblPr/>
      <w:tcPr>
        <w:tcBorders>
          <w:top w:val="nil"/>
          <w:left w:val="nil"/>
          <w:bottom w:val="single" w:color="F4B184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2" w:themeTint="96"/>
        <w:sz w:val="22"/>
      </w:rPr>
      <w:tblPr/>
      <w:tcPr>
        <w:tcBorders>
          <w:top w:val="single" w:color="F4B184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6"/>
        <w:sz w:val="22"/>
      </w:rPr>
      <w:tblPr/>
      <w:tcPr>
        <w:tcBorders>
          <w:top w:val="nil"/>
          <w:left w:val="nil"/>
          <w:bottom w:val="nil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6"/>
        <w:sz w:val="22"/>
      </w:rPr>
      <w:tblPr/>
      <w:tcPr>
        <w:tcBorders>
          <w:top w:val="nil"/>
          <w:left w:val="single" w:color="F4B184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6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6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/>
        <w:sz w:val="22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3"/>
        <w:sz w:val="22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/>
        <w:sz w:val="22"/>
      </w:rPr>
      <w:tblPr/>
      <w:tcPr>
        <w:tcBorders>
          <w:top w:val="nil"/>
          <w:left w:val="nil"/>
          <w:bottom w:val="nil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/>
        <w:sz w:val="22"/>
      </w:rPr>
      <w:tblPr/>
      <w:tcPr>
        <w:tcBorders>
          <w:top w:val="nil"/>
          <w:left w:val="single" w:color="A5A5A5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9"/>
        <w:sz w:val="22"/>
      </w:rPr>
      <w:tblPr/>
      <w:tcPr>
        <w:tcBorders>
          <w:top w:val="nil"/>
          <w:left w:val="nil"/>
          <w:bottom w:val="single" w:color="FFD865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4" w:themeTint="99"/>
        <w:sz w:val="22"/>
      </w:rPr>
      <w:tblPr/>
      <w:tcPr>
        <w:tcBorders>
          <w:top w:val="single" w:color="FFD865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9"/>
        <w:sz w:val="22"/>
      </w:rPr>
      <w:tblPr/>
      <w:tcPr>
        <w:tcBorders>
          <w:top w:val="nil"/>
          <w:left w:val="nil"/>
          <w:bottom w:val="nil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9"/>
        <w:sz w:val="22"/>
      </w:rPr>
      <w:tblPr/>
      <w:tcPr>
        <w:tcBorders>
          <w:top w:val="nil"/>
          <w:left w:val="single" w:color="FFD865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9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9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5" w:themeShade="94"/>
        <w:sz w:val="22"/>
      </w:rPr>
      <w:tblPr/>
      <w:tcPr>
        <w:tcBorders>
          <w:top w:val="single" w:color="A2C6E7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4"/>
        <w:sz w:val="22"/>
      </w:rPr>
      <w:tblPr/>
      <w:tcPr>
        <w:tcBorders>
          <w:top w:val="nil"/>
          <w:left w:val="single" w:color="A2C6E7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themeColor="accent5" w:themeShade="94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themeColor="accent5" w:themeShade="94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themeColor="accent6" w:themeShade="94"/>
        <w:sz w:val="22"/>
      </w:rPr>
      <w:tblPr/>
      <w:tcPr>
        <w:tcBorders>
          <w:top w:val="single" w:color="ADD394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4"/>
        <w:sz w:val="22"/>
      </w:rPr>
      <w:tblPr/>
      <w:tcPr>
        <w:tcBorders>
          <w:top w:val="nil"/>
          <w:left w:val="single" w:color="ADD394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4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4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qFormat/>
    <w:tblStylePr w:type="firstRow">
      <w:rPr>
        <w:b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StylePr w:type="firstRow">
      <w:rPr>
        <w:b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1" w:sz="4" w:space="0"/>
          <w:left w:val="nil"/>
          <w:bottom w:val="single" w:color="95AFDD" w:themeColor="accen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1" w:sz="4" w:space="0"/>
          <w:left w:val="nil"/>
          <w:bottom w:val="single" w:color="95AFDD" w:themeColor="accen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il"/>
          <w:bottom w:val="single" w:color="F4B58A" w:themeColor="accent2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il"/>
          <w:bottom w:val="single" w:color="F4B58A" w:themeColor="accent2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il"/>
          <w:bottom w:val="single" w:color="CCCCCC" w:themeColor="accent3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il"/>
          <w:bottom w:val="single" w:color="CCCCCC" w:themeColor="accent3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il"/>
          <w:bottom w:val="single" w:color="FFDB6F" w:themeColor="accent4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il"/>
          <w:bottom w:val="single" w:color="FFDB6F" w:themeColor="accent4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5" w:sz="4" w:space="0"/>
          <w:left w:val="nil"/>
          <w:bottom w:val="single" w:color="A2C6E7" w:themeColor="accent5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5" w:sz="4" w:space="0"/>
          <w:left w:val="nil"/>
          <w:bottom w:val="single" w:color="A2C6E7" w:themeColor="accent5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il"/>
          <w:bottom w:val="single" w:color="ADD394" w:themeColor="accent6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il"/>
          <w:bottom w:val="single" w:color="ADD394" w:themeColor="accent6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BC2E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themeColor="accent1" w:themeShade="94"/>
      </w:rPr>
      <w:tblPr/>
    </w:tblStylePr>
    <w:tblStylePr w:type="lastCol">
      <w:rPr>
        <w:b/>
        <w:color w:themeColor="accent1" w:themeShade="94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themeColor="accent1" w:themeShade="94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themeColor="accent1" w:themeShade="94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themeColor="accent2" w:themeTint="96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themeColor="accent2" w:themeTint="96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themeColor="accent2" w:themeTint="96"/>
      </w:rPr>
      <w:tblPr/>
    </w:tblStylePr>
    <w:tblStylePr w:type="lastCol">
      <w:rPr>
        <w:b/>
        <w:color w:themeColor="accent2" w:themeTint="96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6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6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themeColor="accent3" w:themeTint="99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themeColor="accent3" w:themeTint="99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themeColor="accent3" w:themeTint="99"/>
      </w:rPr>
      <w:tblPr/>
    </w:tblStylePr>
    <w:tblStylePr w:type="lastCol">
      <w:rPr>
        <w:b/>
        <w:color w:themeColor="accent3" w:themeTint="99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9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9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themeColor="accent4" w:themeTint="99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themeColor="accent4" w:themeTint="99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themeColor="accent4" w:themeTint="99"/>
      </w:rPr>
      <w:tblPr/>
    </w:tblStylePr>
    <w:tblStylePr w:type="lastCol">
      <w:rPr>
        <w:b/>
        <w:color w:themeColor="accent4" w:themeTint="99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9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9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themeColor="accent5" w:themeTint="99"/>
      </w:rPr>
      <w:tblPr/>
      <w:tcPr>
        <w:tcBorders>
          <w:bottom w:val="single" w:color="9BC2E5" w:themeColor="accent5" w:sz="4" w:space="0"/>
        </w:tcBorders>
      </w:tcPr>
    </w:tblStylePr>
    <w:tblStylePr w:type="lastRow">
      <w:rPr>
        <w:b/>
        <w:color w:themeColor="accent5" w:themeTint="99"/>
      </w:rPr>
      <w:tblPr/>
      <w:tcPr>
        <w:tcBorders>
          <w:top w:val="single" w:color="9BC2E5" w:themeColor="accent5" w:sz="4" w:space="0"/>
        </w:tcBorders>
      </w:tcPr>
    </w:tblStylePr>
    <w:tblStylePr w:type="firstCol">
      <w:rPr>
        <w:b/>
        <w:color w:themeColor="accent5" w:themeTint="99"/>
      </w:rPr>
      <w:tblPr/>
    </w:tblStylePr>
    <w:tblStylePr w:type="lastCol">
      <w:rPr>
        <w:b/>
        <w:color w:themeColor="accent5" w:themeTint="99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themeColor="accent5" w:themeTint="99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themeColor="accent5" w:themeTint="99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themeColor="accent6" w:themeTint="99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themeColor="accent6" w:themeTint="99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themeColor="accent6" w:themeTint="99"/>
      </w:rPr>
      <w:tblPr/>
    </w:tblStylePr>
    <w:tblStylePr w:type="lastCol">
      <w:rPr>
        <w:b/>
        <w:color w:themeColor="accent6" w:themeTint="99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9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9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/>
        <w:sz w:val="22"/>
      </w:rPr>
      <w:tblPr/>
      <w:tcPr>
        <w:tcBorders>
          <w:top w:val="nil"/>
          <w:left w:val="nil"/>
          <w:bottom w:val="single" w:color="7F7F7F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text1" w:themeTint="80"/>
        <w:sz w:val="22"/>
      </w:rPr>
      <w:tblPr/>
      <w:tcPr>
        <w:tcBorders>
          <w:top w:val="single" w:color="7F7F7F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/>
        <w:sz w:val="22"/>
      </w:rPr>
      <w:tblPr/>
      <w:tcPr>
        <w:tcBorders>
          <w:top w:val="nil"/>
          <w:left w:val="nil"/>
          <w:bottom w:val="nil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/>
        <w:sz w:val="22"/>
      </w:rPr>
      <w:tblPr/>
      <w:tcPr>
        <w:tcBorders>
          <w:top w:val="nil"/>
          <w:left w:val="single" w:color="7F7F7F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color="4472C4" w:themeColor="accent1" w:sz="4" w:space="0"/>
      </w:tblBorders>
    </w:tblPr>
    <w:tblStylePr w:type="firstRow">
      <w:rPr>
        <w:i/>
        <w:color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themeColor="accent1" w:themeShade="94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themeColor="accent1" w:themeShade="94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color="F4B184" w:themeColor="accent2" w:themeTint="97" w:sz="4" w:space="0"/>
      </w:tblBorders>
    </w:tblPr>
    <w:tblStylePr w:type="firstRow">
      <w:rPr>
        <w:i/>
        <w:color w:themeColor="accent2" w:themeTint="96"/>
        <w:sz w:val="22"/>
      </w:rPr>
      <w:tblPr/>
      <w:tcPr>
        <w:tcBorders>
          <w:top w:val="nil"/>
          <w:left w:val="nil"/>
          <w:bottom w:val="single" w:color="F4B184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2" w:themeTint="96"/>
        <w:sz w:val="22"/>
      </w:rPr>
      <w:tblPr/>
      <w:tcPr>
        <w:tcBorders>
          <w:top w:val="single" w:color="F4B184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6"/>
        <w:sz w:val="22"/>
      </w:rPr>
      <w:tblPr/>
      <w:tcPr>
        <w:tcBorders>
          <w:top w:val="nil"/>
          <w:left w:val="nil"/>
          <w:bottom w:val="nil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6"/>
        <w:sz w:val="22"/>
      </w:rPr>
      <w:tblPr/>
      <w:tcPr>
        <w:tcBorders>
          <w:top w:val="nil"/>
          <w:left w:val="single" w:color="F4B184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6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6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i/>
        <w:color w:themeColor="accent3" w:themeTint="99"/>
        <w:sz w:val="22"/>
      </w:rPr>
      <w:tblPr/>
      <w:tcPr>
        <w:tcBorders>
          <w:top w:val="nil"/>
          <w:left w:val="nil"/>
          <w:bottom w:val="single" w:color="C9C9C9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3" w:themeTint="99"/>
        <w:sz w:val="22"/>
      </w:rPr>
      <w:tblPr/>
      <w:tcPr>
        <w:tcBorders>
          <w:top w:val="single" w:color="C9C9C9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9"/>
        <w:sz w:val="22"/>
      </w:rPr>
      <w:tblPr/>
      <w:tcPr>
        <w:tcBorders>
          <w:top w:val="nil"/>
          <w:left w:val="nil"/>
          <w:bottom w:val="nil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9"/>
        <w:sz w:val="22"/>
      </w:rPr>
      <w:tblPr/>
      <w:tcPr>
        <w:tcBorders>
          <w:top w:val="nil"/>
          <w:left w:val="single" w:color="C9C9C9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9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9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color="FFD865" w:themeColor="accent4" w:themeTint="9a" w:sz="4" w:space="0"/>
      </w:tblBorders>
    </w:tblPr>
    <w:tblStylePr w:type="firstRow">
      <w:rPr>
        <w:i/>
        <w:color w:themeColor="accent4" w:themeTint="99"/>
        <w:sz w:val="22"/>
      </w:rPr>
      <w:tblPr/>
      <w:tcPr>
        <w:tcBorders>
          <w:top w:val="nil"/>
          <w:left w:val="nil"/>
          <w:bottom w:val="single" w:color="FFD865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4" w:themeTint="99"/>
        <w:sz w:val="22"/>
      </w:rPr>
      <w:tblPr/>
      <w:tcPr>
        <w:tcBorders>
          <w:top w:val="single" w:color="FFD865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9"/>
        <w:sz w:val="22"/>
      </w:rPr>
      <w:tblPr/>
      <w:tcPr>
        <w:tcBorders>
          <w:top w:val="nil"/>
          <w:left w:val="nil"/>
          <w:bottom w:val="nil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9"/>
        <w:sz w:val="22"/>
      </w:rPr>
      <w:tblPr/>
      <w:tcPr>
        <w:tcBorders>
          <w:top w:val="nil"/>
          <w:left w:val="single" w:color="FFD865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9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9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color="9BC2E5" w:themeColor="accent5" w:themeTint="9a" w:sz="4" w:space="0"/>
      </w:tblBorders>
    </w:tblPr>
    <w:tblStylePr w:type="firstRow">
      <w:rPr>
        <w:i/>
        <w:color w:themeColor="accent5" w:themeTint="99"/>
        <w:sz w:val="22"/>
      </w:rPr>
      <w:tblPr/>
      <w:tcPr>
        <w:tcBorders>
          <w:top w:val="nil"/>
          <w:left w:val="nil"/>
          <w:bottom w:val="single" w:color="9BC2E5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5" w:themeTint="99"/>
        <w:sz w:val="22"/>
      </w:rPr>
      <w:tblPr/>
      <w:tcPr>
        <w:tcBorders>
          <w:top w:val="single" w:color="9BC2E5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9"/>
        <w:sz w:val="22"/>
      </w:rPr>
      <w:tblPr/>
      <w:tcPr>
        <w:tcBorders>
          <w:top w:val="nil"/>
          <w:left w:val="nil"/>
          <w:bottom w:val="nil"/>
          <w:right w:val="single" w:color="9BC2E5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9"/>
        <w:sz w:val="22"/>
      </w:rPr>
      <w:tblPr/>
      <w:tcPr>
        <w:tcBorders>
          <w:top w:val="nil"/>
          <w:left w:val="single" w:color="9BC2E5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themeColor="accent5" w:themeTint="99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themeColor="accent5" w:themeTint="99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i/>
        <w:color w:themeColor="accent6" w:themeTint="99"/>
        <w:sz w:val="22"/>
      </w:rPr>
      <w:tblPr/>
      <w:tcPr>
        <w:tcBorders>
          <w:top w:val="nil"/>
          <w:left w:val="nil"/>
          <w:bottom w:val="single" w:color="A9D08E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themeColor="accent6" w:themeTint="99"/>
        <w:sz w:val="22"/>
      </w:rPr>
      <w:tblPr/>
      <w:tcPr>
        <w:tcBorders>
          <w:top w:val="single" w:color="A9D08E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9"/>
        <w:sz w:val="22"/>
      </w:rPr>
      <w:tblPr/>
      <w:tcPr>
        <w:tcBorders>
          <w:top w:val="nil"/>
          <w:left w:val="nil"/>
          <w:bottom w:val="nil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9"/>
        <w:sz w:val="22"/>
      </w:rPr>
      <w:tblPr/>
      <w:tcPr>
        <w:tcBorders>
          <w:top w:val="nil"/>
          <w:left w:val="single" w:color="A9D08E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9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9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Borders>
        <w:top w:val="single" w:color="254175" w:themeColor="accent1" w:sz="4" w:space="0"/>
        <w:left w:val="single" w:color="254175" w:themeColor="accent1" w:sz="4" w:space="0"/>
        <w:bottom w:val="single" w:color="254175" w:themeColor="accent1" w:sz="4" w:space="0"/>
        <w:right w:val="single" w:color="254175" w:themeColor="accent1" w:sz="4" w:space="0"/>
        <w:insideH w:val="single" w:color="254175" w:themeColor="accent1" w:sz="4" w:space="0"/>
        <w:insideV w:val="single" w:color="254175" w:themeColor="accent1" w:sz="4" w:space="0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Borders>
        <w:top w:val="single" w:color="245A8D" w:themeColor="accent5" w:sz="4" w:space="0"/>
        <w:left w:val="single" w:color="245A8D" w:themeColor="accent5" w:sz="4" w:space="0"/>
        <w:bottom w:val="single" w:color="245A8D" w:themeColor="accent5" w:sz="4" w:space="0"/>
        <w:right w:val="single" w:color="245A8D" w:themeColor="accent5" w:sz="4" w:space="0"/>
        <w:insideH w:val="single" w:color="245A8D" w:themeColor="accent5" w:sz="4" w:space="0"/>
        <w:insideV w:val="single" w:color="245A8D" w:themeColor="accent5" w:sz="4" w:space="0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BC2E5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BC2E5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C2E5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Style10">
    <w:name w:val="_Style 10"/>
    <w:basedOn w:val="TableNormal"/>
    <w:tblPr>
      <w:tblCellMar>
        <w:left w:w="108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7BA43-F57F-4EF8-BDAD-56A917E4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LibreOffice/25.8.0.4$Linux_X86_64 LibreOffice_project/48f00303701489684e67c38c28aff00cd5929e67</Application>
  <AppVersion>15.0000</AppVersion>
  <Pages>35</Pages>
  <Words>3925</Words>
  <Characters>26643</Characters>
  <CharactersWithSpaces>29685</CharactersWithSpaces>
  <Paragraphs>1029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2026-03-23T15:40:00Z</dcterms:created>
  <dc:creator>ivste</dc:creator>
  <dc:description/>
  <dc:language>ru-RU</dc:language>
  <cp:lastModifiedBy/>
  <dcterms:modified xsi:type="dcterms:W3CDTF">2026-05-13T13:51:31Z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C0DB4E6D928F4513B2E1548D1243B6BB_13</vt:lpwstr>
  </property>
  <property fmtid="{D5CDD505-2E9C-101B-9397-08002B2CF9AE}" pid="3" name="KSOProductBuildVer">
    <vt:lpwstr>1049-12.2.0.21546</vt:lpwstr>
  </property>
</Properties>
</file>