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оборудования.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«ОКПД2 27.11.31. Поставка дизель-генераторных установок с комплектующими»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Лот №_________-ТПИР ОТМ-2027-СахаЭ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9035_3084006660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204" w:leader="dot"/>
            </w:tabs>
            <w:rPr/>
          </w:pPr>
          <w:hyperlink w:anchor="__RefHeading___Toc9037_3084006660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204" w:leader="dot"/>
            </w:tabs>
            <w:rPr/>
          </w:pPr>
          <w:hyperlink w:anchor="__RefHeading___Toc9039_3084006660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10204" w:leader="dot"/>
            </w:tabs>
            <w:rPr/>
          </w:pPr>
          <w:hyperlink w:anchor="__RefHeading___Toc9041_3084006660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9043_3084006660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10204" w:leader="dot"/>
            </w:tabs>
            <w:rPr/>
          </w:pPr>
          <w:hyperlink w:anchor="__RefHeading___Toc9045_3084006660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204" w:leader="dot"/>
            </w:tabs>
            <w:rPr/>
          </w:pPr>
          <w:hyperlink w:anchor="__RefHeading___Toc9047_3084006660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9049_3084006660"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204" w:leader="dot"/>
            </w:tabs>
            <w:rPr/>
          </w:pPr>
          <w:hyperlink w:anchor="__RefHeading___Toc9051_3084006660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9053_3084006660"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10204" w:leader="dot"/>
            </w:tabs>
            <w:rPr/>
          </w:pPr>
          <w:hyperlink w:anchor="__RefHeading___Toc9055_3084006660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9057_3084006660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10204" w:leader="dot"/>
            </w:tabs>
            <w:rPr/>
          </w:pPr>
          <w:hyperlink w:anchor="__RefHeading___Toc9059_3084006660">
            <w:r>
              <w:rPr>
                <w:webHidden/>
                <w:rStyle w:val="Style14"/>
                <w:vanish w:val="false"/>
              </w:rPr>
              <w:t>2.2.1. Требования к закупаемой продукции:</w:t>
              <w:tab/>
              <w:t>18</w:t>
            </w:r>
          </w:hyperlink>
        </w:p>
        <w:p>
          <w:pPr>
            <w:pStyle w:val="TOC4"/>
            <w:tabs>
              <w:tab w:val="clear" w:pos="708"/>
              <w:tab w:val="right" w:pos="10204" w:leader="dot"/>
            </w:tabs>
            <w:rPr/>
          </w:pPr>
          <w:hyperlink w:anchor="__RefHeading___Toc3910_3961127944_%D0%9A%D0%BE%D0%BF%D0%B8%D1%8F_">
            <w:r>
              <w:rPr>
                <w:webHidden/>
                <w:rStyle w:val="Style14"/>
                <w:vanish w:val="false"/>
              </w:rPr>
              <w:t>2.2.2. В составе заявки необходимо предоставить:</w:t>
              <w:tab/>
              <w:t>18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9061_3084006660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3. Требования к документации по ценообразованию на этапе закупки.</w:t>
              <w:tab/>
              <w:t>18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9063_3084006660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4. Приложение к техническим требованиям: Приложение №1 - Опросный лист.</w:t>
              <w:tab/>
              <w:t>19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/>
      </w:pPr>
      <w:r>
        <w:rPr/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</w:rPr>
      </w:pPr>
      <w:bookmarkStart w:id="0" w:name="__RefHeading___Toc9035_3084006660"/>
      <w:bookmarkStart w:id="1" w:name="_Toc148695166"/>
      <w:bookmarkStart w:id="2" w:name="_Toc205555230"/>
      <w:bookmarkStart w:id="3" w:name="_Toc51339692"/>
      <w:bookmarkEnd w:id="0"/>
      <w:r>
        <w:rPr/>
        <w:t>Общие сведения</w:t>
      </w:r>
      <w:bookmarkEnd w:id="1"/>
      <w:bookmarkEnd w:id="2"/>
      <w:bookmarkEnd w:id="3"/>
    </w:p>
    <w:p>
      <w:pPr>
        <w:pStyle w:val="Heading4"/>
        <w:numPr>
          <w:ilvl w:val="1"/>
          <w:numId w:val="1"/>
        </w:numPr>
        <w:rPr/>
      </w:pPr>
      <w:bookmarkStart w:id="4" w:name="__RefHeading___Toc9037_3084006660"/>
      <w:bookmarkStart w:id="5" w:name="_Toc148695167"/>
      <w:bookmarkStart w:id="6" w:name="_Toc205555231"/>
      <w:bookmarkStart w:id="7" w:name="_Toc46743505"/>
      <w:bookmarkEnd w:id="4"/>
      <w:r>
        <w:rPr/>
        <w:t>Обозначения и сокращения</w:t>
      </w:r>
      <w:bookmarkEnd w:id="5"/>
      <w:bookmarkEnd w:id="6"/>
      <w:bookmarkEnd w:id="7"/>
    </w:p>
    <w:p>
      <w:pPr>
        <w:pStyle w:val="Normal"/>
        <w:rPr>
          <w:rStyle w:val="Style10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70"/>
        <w:gridCol w:w="8579"/>
      </w:tblGrid>
      <w:tr>
        <w:trPr>
          <w:cantSplit w:val="true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ТТ</w:t>
            </w: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ЭГ</w:t>
            </w: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Электрический генератор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АПС</w:t>
            </w: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Аварийно-предупредительная сигнализация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ТЗ</w:t>
            </w: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Технологическая защита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ЩАУ</w:t>
            </w: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Щит автоматического управления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ДГА</w:t>
            </w:r>
          </w:p>
        </w:tc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i/>
                <w:i/>
              </w:rPr>
            </w:pPr>
            <w:r>
              <w:rPr>
                <w:i/>
              </w:rPr>
              <w:t>Дизель – генераторный агрегат</w:t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БУТ</w:t>
            </w:r>
          </w:p>
        </w:tc>
        <w:tc>
          <w:tcPr>
            <w:tcW w:w="8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Блок утилизациии тепла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8" w:name="__RefHeading___Toc9039_3084006660"/>
      <w:bookmarkStart w:id="9" w:name="_Toc205555232"/>
      <w:bookmarkStart w:id="10" w:name="_Toc46743506"/>
      <w:bookmarkStart w:id="11" w:name="_Toc148695168"/>
      <w:bookmarkEnd w:id="8"/>
      <w:r>
        <w:rPr/>
        <w:t>Наименование закупаемой продукции</w:t>
      </w:r>
      <w:bookmarkEnd w:id="9"/>
      <w:bookmarkEnd w:id="10"/>
      <w:bookmarkEnd w:id="11"/>
    </w:p>
    <w:p>
      <w:pPr>
        <w:pStyle w:val="Normal"/>
        <w:ind w:firstLine="426"/>
        <w:rPr>
          <w:sz w:val="24"/>
        </w:rPr>
      </w:pPr>
      <w:r>
        <w:rPr>
          <w:sz w:val="24"/>
        </w:rPr>
        <w:t xml:space="preserve"> </w:t>
      </w:r>
      <w:bookmarkStart w:id="12" w:name="_Toc148695169"/>
      <w:r>
        <w:rPr>
          <w:sz w:val="24"/>
        </w:rPr>
        <w:t>«Дизель-генераторные установки»</w:t>
      </w:r>
      <w:bookmarkEnd w:id="12"/>
    </w:p>
    <w:p>
      <w:pPr>
        <w:pStyle w:val="Heading4"/>
        <w:tabs>
          <w:tab w:val="clear" w:pos="0"/>
        </w:tabs>
        <w:ind w:left="0" w:hanging="0"/>
        <w:rPr/>
      </w:pPr>
      <w:bookmarkStart w:id="13" w:name="__RefHeading___Toc9041_3084006660"/>
      <w:bookmarkEnd w:id="13"/>
      <w:r>
        <w:rPr/>
        <w:br w:type="textWrapping" w:clear="all"/>
      </w:r>
      <w:bookmarkStart w:id="14" w:name="_Toc205555233"/>
      <w:bookmarkStart w:id="15" w:name="_Toc148695170"/>
      <w:r>
        <w:rPr/>
        <w:t>1.3.</w:t>
      </w:r>
      <w:bookmarkStart w:id="16" w:name="_Toc46743507"/>
      <w:r>
        <w:rPr/>
        <w:t xml:space="preserve"> Цель использования закупаемой продукции</w:t>
      </w:r>
      <w:bookmarkEnd w:id="14"/>
      <w:bookmarkEnd w:id="15"/>
      <w:bookmarkEnd w:id="16"/>
    </w:p>
    <w:p>
      <w:pPr>
        <w:pStyle w:val="Normal"/>
        <w:ind w:firstLine="426"/>
        <w:rPr>
          <w:sz w:val="24"/>
        </w:rPr>
      </w:pPr>
      <w:r>
        <w:rPr>
          <w:sz w:val="24"/>
        </w:rPr>
        <w:t>Выполнение Плана замены основного оборудования на 2026 г.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</w:rPr>
      </w:pPr>
      <w:bookmarkStart w:id="17" w:name="__RefHeading___Toc9043_3084006660"/>
      <w:bookmarkStart w:id="18" w:name="_Toc148695171"/>
      <w:bookmarkStart w:id="19" w:name="_Toc51339693"/>
      <w:bookmarkStart w:id="20" w:name="_Toc205555234"/>
      <w:bookmarkStart w:id="21" w:name="_Toc50125126"/>
      <w:bookmarkStart w:id="22" w:name="_Toc46743510"/>
      <w:bookmarkEnd w:id="17"/>
      <w:bookmarkEnd w:id="21"/>
      <w:bookmarkEnd w:id="22"/>
      <w:r>
        <w:rPr>
          <w:iCs/>
        </w:rPr>
        <w:t>Требования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1"/>
        </w:numPr>
        <w:rPr/>
      </w:pPr>
      <w:bookmarkStart w:id="23" w:name="__RefHeading___Toc9045_3084006660"/>
      <w:bookmarkStart w:id="24" w:name="_Toc148695172"/>
      <w:bookmarkStart w:id="25" w:name="_Toc205555235"/>
      <w:bookmarkEnd w:id="23"/>
      <w:r>
        <w:rPr/>
        <w:t>Требования к объемам и срокам поставки</w:t>
      </w:r>
      <w:bookmarkEnd w:id="24"/>
      <w:bookmarkEnd w:id="25"/>
    </w:p>
    <w:p>
      <w:pPr>
        <w:pStyle w:val="Heading3"/>
        <w:numPr>
          <w:ilvl w:val="2"/>
          <w:numId w:val="1"/>
        </w:numPr>
        <w:rPr/>
      </w:pPr>
      <w:bookmarkStart w:id="26" w:name="__RefHeading___Toc9047_3084006660"/>
      <w:bookmarkStart w:id="27" w:name="_Toc205555236"/>
      <w:bookmarkStart w:id="28" w:name="_Toc148695173"/>
      <w:bookmarkEnd w:id="26"/>
      <w:r>
        <w:rPr/>
        <w:t>Перечень и объем закупаемой продукции</w:t>
      </w:r>
      <w:bookmarkEnd w:id="27"/>
      <w:bookmarkEnd w:id="2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9" w:name="__RefHeading___Toc9049_3084006660"/>
      <w:bookmarkStart w:id="30" w:name="_Toc205555237"/>
      <w:bookmarkStart w:id="31" w:name="_Toc148695174"/>
      <w:bookmarkStart w:id="32" w:name="_Toc51339695"/>
      <w:bookmarkEnd w:id="29"/>
      <w:r>
        <w:rPr>
          <w:sz w:val="24"/>
          <w:szCs w:val="24"/>
        </w:rPr>
        <w:t xml:space="preserve">Таблица 1. Перечень </w:t>
      </w:r>
      <w:bookmarkEnd w:id="32"/>
      <w:r>
        <w:rPr>
          <w:sz w:val="24"/>
          <w:szCs w:val="24"/>
        </w:rPr>
        <w:t>и объем закупаемой продукции</w:t>
      </w:r>
      <w:bookmarkEnd w:id="30"/>
      <w:bookmarkEnd w:id="31"/>
    </w:p>
    <w:tbl>
      <w:tblPr>
        <w:tblW w:w="10350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1"/>
        <w:gridCol w:w="6875"/>
        <w:gridCol w:w="1131"/>
        <w:gridCol w:w="1582"/>
      </w:tblGrid>
      <w:tr>
        <w:trPr>
          <w:trHeight w:val="417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Валоповоротник 3824591/3377371 для спецтехники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АД-100С-Т400-50-3РPX-G3-O0-УХЛ3 100кВт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АД-120С-Т400-50-3РPX-G3-O0-УХЛ3 120кВт 400В 1500об/мин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АД-130С-Т400-50-3РPX-G3-O0-УХЛ3 130кВт 1500об/мин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АД-200С-Т400-50-3РPX-G3-O0-УХЛ3 200кВт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АД-30С-Т400-50-3РPX-G3-O0-УХЛ3 30кВт 400В 1500об/мин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АД-315С-Т400-50-3РPX-G3-O0-УХЛ3 315кВт 400В 1500об/мин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АД-50С-Т400-50-3РPX-G3-O0-УХЛ3 50кВт 400В 3 фазы 1500об/мин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АД-60С-Т400-50-3РPX-G3-O0-УХЛ3 60кВт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Генератор дизельный АД-80С-Т400-50-3РPX-G3-O0-УХЛ3 80кВт 400В 1500об/мин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давления и температуры воздуха 651.1130548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давления масла ММ355-382910 ММЗ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давления масла ММ370 КамАЗ,МАЗ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давления масла С3967251 Cummins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положения коленчатого вала 0231-00-3847000-00 Автоприбор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скорости 3034572 Cummins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650.1130556-01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и давления топлива и масла 5340-1130552 ЯМЗ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охлаждающей жидкости C3967250 Cummins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охлаждающей жидкости ТМ100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частоты вращения двигателя 5340.1130544 ЯМЗ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Контроллер ComAp InteliGen 200 для генераторной установки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выколоток 380960 Дело Техники 6 предметов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инструмента автомобильного 1/2", 1/4", 4-32мм 71108 Сервис Ключ 108 предметов в чемодане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Оправка поршневых колец 53-175мм Автодело 40054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шариковый 6-180312 (6312 2RS) 60х130х31мм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шариковый радиальный однорядный 62182RSC3 (180218) 90х160х30мм MBY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шариковый радиальный однорядный 6308-2RS C3 40х90х23мм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шариковый радиальный однорядный 6322 110х240х50мм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шариковый радиальный однорядный закрытый 6310-RS 50х110х27мм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шариковый радиальный однорядный закрытый 6315RS 75х160х37мм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автомобильный диагностический Сканматик 3 базовый комплект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Регулятор оборотов программируемый GAC ESD5500 для дизельного генератора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генератора 6РК860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привода водяного насоса двигателя OAVх13-1045 ЯМЗ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привода генератора 5413029 Cummins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привода генератора 6РК1371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приводной вентилятора 5340.1308170-10 (6PK1371) Урал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приводной клиновой двигателя дизельного МТЗ 11х10х1250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 электроэнергии Мир С-07.05S-230-5(10)-G2R-S2T2HQ-G-D 3 фазы 230/400В 5/10А 0.5S/1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Съемник масляного фильтра АвтоDело 40537 30-160мм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воздушный AF872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грубой очистки топлива PL-420-У-СПЕЦМАШ-24V (насос)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двигателя масляный 5340-1012075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LF670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LF777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ФМ 009-1012005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грубой очистки PL270 с колбой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 020-1117010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 WDK962/1 5340.1117075 для спецтехники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Форсунка 0445120178 5340-1112010 ЯМЗ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Форсунка 3095773 Cummins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Форсунка топливная 172.1112010-11.01 АЗПИ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Форсунка топливная 267.1112010-01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 фильтрующий воздушный 238Н-1109080/В-4301М8/EFV225/ДФВ5912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>
        <w:trPr>
          <w:trHeight w:val="256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 фильтрующий масляный 840-1012040-12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>
          <w:trHeight w:val="417" w:hRule="atLeast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 фильтрующий очистки масла 840.1012040-14/EFM625 ТМЗ,ЯМЗ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tabs>
          <w:tab w:val="clear" w:pos="0"/>
        </w:tabs>
        <w:ind w:left="1224" w:hanging="0"/>
        <w:rPr>
          <w:sz w:val="12"/>
        </w:rPr>
      </w:pPr>
      <w:r>
        <w:rPr>
          <w:sz w:val="12"/>
        </w:rPr>
      </w:r>
    </w:p>
    <w:p>
      <w:pPr>
        <w:pStyle w:val="Heading3"/>
        <w:numPr>
          <w:ilvl w:val="2"/>
          <w:numId w:val="1"/>
        </w:numPr>
        <w:rPr/>
      </w:pPr>
      <w:bookmarkStart w:id="33" w:name="__RefHeading___Toc9051_3084006660"/>
      <w:bookmarkStart w:id="34" w:name="_Toc148695175"/>
      <w:bookmarkStart w:id="35" w:name="_Toc205555238"/>
      <w:bookmarkEnd w:id="33"/>
      <w:r>
        <w:rPr/>
        <w:t>Требования к срокам поставки продукции и оказания сопутствующих услуг</w:t>
      </w:r>
      <w:bookmarkEnd w:id="34"/>
      <w:bookmarkEnd w:id="3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6" w:name="__RefHeading___Toc9053_3084006660"/>
      <w:bookmarkStart w:id="37" w:name="_Toc205555239"/>
      <w:bookmarkStart w:id="38" w:name="_Toc148695176"/>
      <w:bookmarkStart w:id="39" w:name="_Toc50125127"/>
      <w:bookmarkStart w:id="40" w:name="_Toc51339697"/>
      <w:bookmarkEnd w:id="36"/>
      <w:r>
        <w:rPr>
          <w:sz w:val="24"/>
          <w:szCs w:val="24"/>
        </w:rPr>
        <w:t xml:space="preserve">Таблица 2.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9"/>
      <w:bookmarkEnd w:id="40"/>
      <w:bookmarkEnd w:id="41"/>
      <w:r>
        <w:rPr>
          <w:sz w:val="24"/>
          <w:szCs w:val="24"/>
        </w:rPr>
        <w:t>поставки продукции</w:t>
      </w:r>
      <w:bookmarkEnd w:id="37"/>
      <w:bookmarkEnd w:id="38"/>
      <w:r>
        <w:rPr>
          <w:sz w:val="24"/>
          <w:szCs w:val="24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0"/>
        <w:gridCol w:w="2720"/>
        <w:gridCol w:w="2987"/>
        <w:gridCol w:w="3108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06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Дизель-генераторные установки с комплектующими в соответствии с таблицей (62 поз.)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(ста двадцати)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42" w:name="__RefHeading___Toc9055_3084006660"/>
      <w:bookmarkStart w:id="43" w:name="_Toc50125131"/>
      <w:bookmarkStart w:id="44" w:name="_Toc51339698"/>
      <w:bookmarkStart w:id="45" w:name="_Toc205555240"/>
      <w:bookmarkStart w:id="46" w:name="_Toc148695177"/>
      <w:bookmarkStart w:id="47" w:name="_Toc46743511"/>
      <w:bookmarkStart w:id="48" w:name="_Toc50125126_Копия_1"/>
      <w:bookmarkStart w:id="49" w:name="_Toc46743510_Копия_1"/>
      <w:bookmarkEnd w:id="42"/>
      <w:bookmarkEnd w:id="48"/>
      <w:bookmarkEnd w:id="49"/>
      <w:r>
        <w:rPr/>
        <w:t xml:space="preserve">Требования к </w:t>
      </w:r>
      <w:bookmarkEnd w:id="47"/>
      <w:r>
        <w:rPr/>
        <w:t>качеству продукции</w:t>
      </w:r>
      <w:bookmarkEnd w:id="45"/>
      <w:bookmarkEnd w:id="4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50" w:name="__RefHeading___Toc9057_3084006660"/>
      <w:bookmarkEnd w:id="50"/>
      <w:r>
        <w:rPr>
          <w:sz w:val="24"/>
          <w:szCs w:val="24"/>
        </w:rPr>
        <w:t xml:space="preserve"> </w:t>
      </w:r>
      <w:bookmarkStart w:id="51" w:name="_Toc205555241"/>
      <w:bookmarkStart w:id="52" w:name="_Toc75446582"/>
      <w:bookmarkStart w:id="53" w:name="_Toc148695178"/>
      <w:r>
        <w:rPr>
          <w:sz w:val="24"/>
          <w:szCs w:val="24"/>
        </w:rPr>
        <w:t>Таблица 3. Требования к продукции</w:t>
      </w:r>
      <w:bookmarkEnd w:id="51"/>
      <w:bookmarkEnd w:id="52"/>
      <w:bookmarkEnd w:id="53"/>
      <w:r>
        <w:rPr>
          <w:sz w:val="24"/>
          <w:szCs w:val="24"/>
        </w:rPr>
        <w:t xml:space="preserve"> </w:t>
      </w:r>
      <w:bookmarkEnd w:id="43"/>
      <w:bookmarkEnd w:id="44"/>
    </w:p>
    <w:p>
      <w:pPr>
        <w:pStyle w:val="Normal"/>
        <w:rPr>
          <w:rStyle w:val="Style10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rStyle w:val="Style10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</w:t>
      </w:r>
      <w:r>
        <w:rPr>
          <w:b/>
          <w:sz w:val="24"/>
          <w:szCs w:val="24"/>
        </w:rPr>
        <w:t>«</w:t>
      </w:r>
      <w:r>
        <w:rPr>
          <w:b/>
          <w:color w:val="000000"/>
          <w:sz w:val="26"/>
          <w:szCs w:val="26"/>
        </w:rPr>
        <w:t>Дизель-генераторные установки</w:t>
      </w:r>
      <w:r>
        <w:rPr>
          <w:rFonts w:eastAsia="Calibri"/>
          <w:b/>
          <w:sz w:val="24"/>
          <w:szCs w:val="24"/>
        </w:rPr>
        <w:t>»</w:t>
      </w:r>
    </w:p>
    <w:tbl>
      <w:tblPr>
        <w:tblStyle w:val="afffd"/>
        <w:tblW w:w="1556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3"/>
        <w:gridCol w:w="3290"/>
        <w:gridCol w:w="182"/>
        <w:gridCol w:w="3474"/>
        <w:gridCol w:w="2551"/>
        <w:gridCol w:w="2411"/>
        <w:gridCol w:w="2692"/>
      </w:tblGrid>
      <w:tr>
        <w:trPr/>
        <w:tc>
          <w:tcPr>
            <w:tcW w:w="9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9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65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9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9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5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2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94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4"/>
                <w:lang w:val="ru-RU" w:bidi="ar-SA"/>
              </w:rPr>
              <w:t>1.1.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в отношении каждой позиции продукции</w:t>
            </w:r>
          </w:p>
        </w:tc>
        <w:tc>
          <w:tcPr>
            <w:tcW w:w="36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Представлены в Приложении № 1 (опросный лист) к настоящим Техническим требованиям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Заполненный Опросный лист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( Приложение № 1 к ТТ)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1.2.</w:t>
            </w:r>
          </w:p>
        </w:tc>
        <w:tc>
          <w:tcPr>
            <w:tcW w:w="36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оформлению Опросного листа (Приложение № 1 к ТТ)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Если по тем позициям Опросного листа (Приложение № 1 к ТТ), по которым требовалось подтверждение в форме согласия («Согласны с требованием»), Участник предоставит свои подробные предложения в отношении поставляемой продукции (то есть отличные от простого согласия) вместе с требуемым согласием, такие подробные предложения будут расцениваться как двусмысленное толкование. Данная заявка Участника подлежит отклонению</w:t>
            </w:r>
          </w:p>
        </w:tc>
        <w:tc>
          <w:tcPr>
            <w:tcW w:w="24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1.3.</w:t>
            </w:r>
          </w:p>
        </w:tc>
        <w:tc>
          <w:tcPr>
            <w:tcW w:w="32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ДГА и ГПУ</w:t>
            </w:r>
          </w:p>
        </w:tc>
        <w:tc>
          <w:tcPr>
            <w:tcW w:w="365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val="ru-RU" w:eastAsia="ar-SA" w:bidi="ar-SA"/>
              </w:rPr>
              <w:t xml:space="preserve">ДГА "длительной мощностью" (СОР) 50, 80, 120, 160, 400 кВт., и ГПУ "длительной мощностью" (СОР) 400 кВт по ГОСТ </w:t>
              <w:br/>
              <w:t>10150-2014,  открытого исполнения на раме, с возможностью параллельной работы на единую нагрузку.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94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Основные требования к системе управления и контроля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2.1.1.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автоматизации ДГА и  ГПУ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ДГА и ГПУ должны соответствовать нормам ГОСТ Р 55437-2013 (кроме пункта 4.5. вышеуказанного ГОСТа) «Двигатели внутреннего сгорания поршневые. Классификация по объёму автоматизации и тех. требования к автоматизации» и автоматизированы в объеме не ниже 3-й степени автоматизации.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2.1.2.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параллельному режиму работы ДГА и ГПУ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Параллельный режим работы ДГА и ГПУ, должен обеспечивать выполнение следующих операций: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автоматическую синхронизацию при включении в параллель и автоматический прием нагрузки при параллельной работе ДГА и ГПУ между собой.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автоматическое, пропорциональное распределение активной нагрузки между ДГА и ГПУ различной мощности с точностью 10 % номинальной мощности меньшего по мощности агрегата. При этом системы возбуждения электрогенераторов (далее ЭГ) должны обеспечивать распределение реактивной мощности с точностью 10 % при изменении суммарной нагрузки от 25 % и выше.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автоматическую поддержку номинальной частоты вращения и выходного напряжения ЭГ во всем диапазоне нагрузок.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плавную разгрузку ДГА и ГПУ при выходе с параллели.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2.1.3.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Аварийно-предупредительная сигнализация (далее АПС) и технологическая защита (далее ТЗ) ЭГ должна иметь две ступени – предупреждение и авария по следующим параметрам: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низкое/высокое напряжение ЭГ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низкая/высокая частота ЭГ, вращение двигателя внутреннего сгорания (далее ДВС)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короткое замыкание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перегруз по току, мощности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перекос по току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обратная мощность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низкое/высокое напряжение сети 24 В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2.1.4.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АПС и ТЗ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Система АПС и ТЗ ДВС должна соответствовать ГОСТ 11928-83 и обеспечивать сигнализацию и технологическую защиту по нижеперечисленным параметрам: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температура охлаждающей жидкости в системе охлаждения более допустимой (АПС и ТЗ);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температура масла в системе смазки более допустимой (АПС и ТЗ);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температура выпускных газов на выходе по цилиндрам или перед турбокомпрессором (при наличии), более допустимой (только АПС);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 давление масла в системе смазки менее допустимого (АПС и ТЗ);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превышение номинальной частоты вращения коленчатого вала более 15% (АПС и ТЗ);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сопротивление воздуха во впускном коллекторе после воздушного фильтра более 5 кПа,  (только АПС) 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неудавшийся пуск (только АПС);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незавершенный останов (АПС и ТЗ);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- минимальный уровень охлаждающей жидкости в системе охлаждения (АПС </w:t>
            </w:r>
            <w:r>
              <w:rPr>
                <w:bCs/>
                <w:strike/>
                <w:kern w:val="0"/>
                <w:sz w:val="24"/>
                <w:szCs w:val="24"/>
                <w:lang w:val="ru-RU" w:bidi="ar-SA"/>
              </w:rPr>
              <w:t>и ТЗ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 превышение «длительной мощности» более 10% (только АПС). При достижении аварийных (предупредительных) значений контролируемых параметров должен выдаваться звуковой и световой сигналы, указывающие режим неисправности на дисплее ДГА и ГПУ. При срабатывании защиты по любому из аварийных режимов, должно обеспечиваться своевременное снятие нагрузки с ЭГ, с последующим остановом ДВС ДГА и ГПУ и осуществлением блокировки повторного пуска. Останов ДГА и ГПУ, при перегреве ДВС, должен осуществляться после предварительного снятия нагрузки с ЭГ и последующей работы ДГА и ГПУ "длительной мощностью" (СОР)на холостом ходу до окончания аварийной ситуации (кроме аварийных ситуаций требующих экстренной остановки).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Предусмотреть датчики температуры подшипников генератора.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2.1.5.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контроллеру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При недостаточном количестве встроенных аналоговых входов предусмотреть установку модуля (ей) расширения с дополнительными аналоговыми входами.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Контроллер должен быть оснащен системой удаленной связи и визуализации по интерфейсу RS-485 и должен быть укомплектован: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- преобразователем связи RS-485 для подключения к компьютеру.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Разъем для подключения к интерфейсу </w:t>
            </w:r>
            <w:r>
              <w:rPr>
                <w:kern w:val="0"/>
                <w:sz w:val="24"/>
                <w:szCs w:val="24"/>
                <w:lang w:val="en-US" w:bidi="ar-SA"/>
              </w:rPr>
              <w:t>RS</w:t>
            </w:r>
            <w:r>
              <w:rPr>
                <w:kern w:val="0"/>
                <w:sz w:val="24"/>
                <w:szCs w:val="24"/>
                <w:lang w:val="ru-RU" w:bidi="ar-SA"/>
              </w:rPr>
              <w:t>-485 должен быть выведен к клеммной колодке ЩАУ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В ЩАУ (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box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A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) предусмотреть защиту от неправильной полюсовки питания контроллера.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В ЩАУ (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boxA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) предусмотреть защиту цепи управления контроллером регулятора напряжения генератора от замыкания на корпус.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Указание характеристик в Приложении № 1 к ТТ (Опросный лист)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Заполненный Опросный лист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(Приложение № 1 к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2.1.6.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силовому коммутационному аппарату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Силовой коммутационный аппарат (устанавливается в ЩАУ) должен быть следующей комплектации: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В качестве коммутационных аппаратов для ЩАУ использовать последовательно соединенные автоматический выключатель (типа фирмы КЭАЗ или эквивалент с наличием теплового и электромагнитного расцепителей, дополнительного блока контактов положения, задействованного для индикации срабатывания защит) и вакуумный контактор серии КВТ-1,14XXX производства ОАО «НПП Контакт» или эквивалент. Номинальный ток автоматического выключателя и вакуумного контактора подобрать по мощности ДГА. Укомплектовать вакуумный контактор: блоком управления, ограничителем перенапряжения ОПН380В, блок-контакт ЛБК1.660=2шт (1н.о.+1н.з.) на 660В. Напряжение цепи управления ~220В/380В. Эксплуатация при температуре воздуха ±60С, по питающему напряжению «провал» ±30% от Uном, с увеличенным диапазоном отклонения напряжения цепи управления.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дистанционное/ручное управление.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2.1.7.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комплектующим системам управления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Комплектующие системы управления: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  Щит автоматического управления (box A);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  Щит клеммный (box B);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  Контрольный кабель щита управления до щита клеммного (от box A до box B).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  Силовой кабель от генератора до щита управления.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  МТР согласно пункта 6 опросного листа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2.1.8.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жгуту контрольного кабеля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Количество и сечение жил проводов жгута контрольного кабеля должно обеспечивать выполнение требований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п.2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Система управления и контроля данного технического задания: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- Жгут контрольного кабеля должен быть экранирован и защищен от проникновения влаги, с маркировкой и наконечниками. Подключение жгута к щиту автоматического управления выполнить через разъемы марки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Phoenix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contact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серии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HEAVYCON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EVO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с защитной крышкой, которые должны быть установлены на боковых стенках щита;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контрольный кабель должен быть выполнен гибкими проводами типа ПВ-3;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Предусмотреть в общем жгуте 4 резервных провода.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2.1.9.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Пуск ДГА и ГПУ на номинальные обороты (1500об/мин) должен производиться через промежуточные обороты (1000 об/мин) для прогрева ДВС.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2.1.10.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управлению Управление реактивной (возбуждением ЭГ) и активной мощностью при параллельной работе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Управление реактивной (возбуждением ЭГ) и активной мощностью (регулятором оборотов) при параллельной работе должно производиться контроллером системы управления.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2.1.11.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щиту автоматического управления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1134" w:leader="none"/>
              </w:tabs>
              <w:spacing w:before="0" w:after="0"/>
              <w:ind w:left="0" w:hanging="0"/>
              <w:contextualSpacing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val="ru-RU" w:bidi="ar-SA"/>
              </w:rPr>
              <w:t>Щит автоматического управления</w:t>
            </w:r>
            <w:r>
              <w:rPr>
                <w:bCs/>
                <w:kern w:val="0"/>
                <w:lang w:val="ru-RU" w:bidi="ar-SA"/>
              </w:rPr>
              <w:t xml:space="preserve"> (box A) </w:t>
            </w:r>
            <w:r>
              <w:rPr>
                <w:kern w:val="0"/>
                <w:lang w:val="ru-RU" w:bidi="ar-SA"/>
              </w:rPr>
              <w:t xml:space="preserve">выполнить настенного, одностороннего, переднего обслуживания с габаритами не более ШхГхВ - 750мм х 300мм х 1200мм, со степенью защиты </w:t>
            </w:r>
            <w:r>
              <w:rPr>
                <w:kern w:val="0"/>
                <w:lang w:val="en-US" w:bidi="ar-SA"/>
              </w:rPr>
              <w:t>IP</w:t>
            </w:r>
            <w:r>
              <w:rPr>
                <w:kern w:val="0"/>
                <w:lang w:val="ru-RU" w:bidi="ar-SA"/>
              </w:rPr>
              <w:t>55, со съемными монтажными панелями. В нижней части щита box А предусмотреть технологические отверстия с габаритами 150х100мм со съемными крышками.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1134" w:leader="none"/>
              </w:tabs>
              <w:spacing w:before="0" w:after="0"/>
              <w:ind w:left="0" w:hanging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агрегатов мощностью 500 кВт щит автоматизированного управления выполнить напольного исполнения с габаритами, достаточными для установки силового коммутационного аппарата.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Электронный регулятор скорости установить в щите управления (box A).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Для агрегатов с системой впрыска топлива типа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Common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Rail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System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предусмотреть разъём OBD-2 для подключения к электронному блоку управления двигателем (с подключением необходимых проводов).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Измерительные трансформаторы тока установить в щите управления (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box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>A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Разделить цепи 220 В и 24 В, выполнив монтаж группы клеммных колодок переменного напряжения 220В отдельно от группы колодок постоянного напряжения 24В.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2.1.12.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Требование к щиту клеммному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1134" w:leader="none"/>
              </w:tabs>
              <w:spacing w:before="0" w:after="0"/>
              <w:ind w:left="4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Щит клеммный (box B) предназначен для установки на ДГА и ГПУ. С габаритами не более ШхГхВ (300мм х 120мм х 300мм) степень защиты IP55 со съемной монтажной панелью. Щит должен быть закреплен на жесткой конструкции, приваренной к раме ДГА  с резиновыми амортизаторами, расположенный сбоку от генератора. В составе щита: клеммная колодка для подключения проводов всех датчиков, актуатора, питания 24В, зарядного генератора, управления АРН, стоп-устройства и т.п.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ru-RU" w:bidi="ar-SA"/>
              </w:rPr>
              <w:t>2.1.13.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Требование к монтажу 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силовых и контрольных кабелей</w:t>
            </w:r>
          </w:p>
        </w:tc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1134" w:leader="none"/>
              </w:tabs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Монтаж силовых и контрольных кабелей произвести с помощью сальниковых вводов.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1134" w:leader="none"/>
              </w:tabs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Силовой кабель с опрессованными наконечниками ТМЛ, должен быть защищен от механических воздействий, воздействий масла и солнечных лучей.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1134" w:leader="none"/>
              </w:tabs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Силовые кабеля с сечением согласно номинальной нагрузки PRIME должны быть подключены к клеммам генератора и выведены через проходные сальники.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1134" w:leader="none"/>
              </w:tabs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Обвязку регулятора оборотов, корректора напряжения, всех датчиков выполнить экранированным проводом.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94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lang w:val="ru-RU" w:bidi="ar-SA"/>
              </w:rPr>
              <w:t>Основные требования к утилизационному блоку тепла антифриза (далее — БУТ)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472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комплектности БУТ</w:t>
            </w:r>
          </w:p>
        </w:tc>
        <w:tc>
          <w:tcPr>
            <w:tcW w:w="34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 состав БУТ должны входить все узлы для подключения блока к трубопроводам жидкостного охлаждения ДГА и ГПУ (согласно Приложения № 1 Опросного листа).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Заполненный Опросный лист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( Приложение № 1 к ТТ)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472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Требования к монтажу БУТ</w:t>
            </w:r>
          </w:p>
        </w:tc>
        <w:tc>
          <w:tcPr>
            <w:tcW w:w="34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На трубопроводах охлаждения между ДГА и ГПУ и воздушным радиатором должны быть  выведены фланцы для монтажа БУТ при установке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ДГА и ГПУ на энергообъекте. Диаметры трубопроводов и запорной арматуры БУТ должны быть подобраны с учетом технических расчетов производителя, в зависимости от мощности ДГА и ГПУ, при этом не должно создавать дополнительный подпор во время работы ДВС.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Заполненный Опросный лист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( Приложение № 1 к ТТ)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94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 677004 Республика Саха (Якутия) г.Якутск, ул. Беринга, д.42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bookmarkStart w:id="54" w:name="__RefHeading___Toc3914_3961127944"/>
            <w:bookmarkStart w:id="55" w:name="_Toc148695179"/>
            <w:bookmarkEnd w:id="54"/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  <w:bookmarkEnd w:id="55"/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Условия транспортирования</w:t>
            </w:r>
          </w:p>
        </w:tc>
        <w:tc>
          <w:tcPr>
            <w:tcW w:w="3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ГОСТ 15150-69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4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Предоставление гарантии</w:t>
            </w:r>
          </w:p>
        </w:tc>
        <w:tc>
          <w:tcPr>
            <w:tcW w:w="3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Гарантийный срок эксплуатации  ДГА и ГПУ должен быть не менее - 18 месяцев с момента ввода его в эксплуатацию, при гарантийной наработке не более значений назначенных ресурсов до первой (полной) переборки, установленных в технических условиях на двигатели конкретного типа (ГОСТ 10150-2014, п.9.2.).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46" w:type="dxa"/>
            <w:gridSpan w:val="3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комплектации и приемосдаточным испытаниям</w:t>
            </w:r>
          </w:p>
        </w:tc>
        <w:tc>
          <w:tcPr>
            <w:tcW w:w="2551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Документы, передаваемые вместе с продукцией</w:t>
            </w:r>
          </w:p>
        </w:tc>
        <w:tc>
          <w:tcPr>
            <w:tcW w:w="3656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ДГА и ГПУ должны сопровождаться следующими документами: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Паспорт на ДГА и ГПУ;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Паспорт на ДВС;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Паспорта теплообменного оборудования (БУТ);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Документы, подтверждающих соответствие предлагаемой продукции требованиям Заказчика (ГОСТам, ТУ)                                                                                                                                                                                                        - Формуляр (с записью проведенных, заводских испытаний);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Каталог деталей и сборочных единиц ДВС(на бумажном и электронном носителе);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Руководство по эксплуатации дизельного двигателя (на бумажном и электронном носителе);                                                                                                                                                                                   - Руководство по ремонту дизельного двигателя (ТУ на ремонт) (на бумажном и электронном носителе);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Технические условия на эксплуатационные материалы (рекомендации по выбору рабочих жидкостей) (на бумажном и электронном носителе);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bookmarkStart w:id="56" w:name="__RefHeading___Toc3916_3961127944"/>
            <w:bookmarkStart w:id="57" w:name="_Toc148695180"/>
            <w:bookmarkEnd w:id="56"/>
            <w:r>
              <w:rPr>
                <w:kern w:val="0"/>
                <w:sz w:val="24"/>
                <w:szCs w:val="24"/>
                <w:lang w:val="ru-RU" w:bidi="ar-SA"/>
              </w:rPr>
              <w:t>- Схема щита управления (дополнительно в электронном виде на диске либо по электронной почте);</w:t>
            </w:r>
            <w:bookmarkEnd w:id="57"/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bookmarkStart w:id="58" w:name="__RefHeading___Toc3918_3961127944"/>
            <w:bookmarkStart w:id="59" w:name="_Toc148695181"/>
            <w:bookmarkStart w:id="60" w:name="_Toc136869815"/>
            <w:bookmarkEnd w:id="58"/>
            <w:r>
              <w:rPr>
                <w:kern w:val="0"/>
                <w:sz w:val="24"/>
                <w:szCs w:val="24"/>
                <w:lang w:val="ru-RU" w:bidi="ar-SA"/>
              </w:rPr>
              <w:t>- Протокол испытаний под нагрузкой;</w:t>
            </w:r>
            <w:bookmarkEnd w:id="59"/>
            <w:bookmarkEnd w:id="60"/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bookmarkStart w:id="61" w:name="__RefHeading___Toc3920_3961127944"/>
            <w:bookmarkStart w:id="62" w:name="_Toc148695182"/>
            <w:bookmarkStart w:id="63" w:name="_Toc136869816"/>
            <w:bookmarkEnd w:id="61"/>
            <w:r>
              <w:rPr>
                <w:kern w:val="0"/>
                <w:sz w:val="24"/>
                <w:szCs w:val="24"/>
                <w:lang w:val="ru-RU" w:bidi="ar-SA"/>
              </w:rPr>
              <w:t>- Руководство по эксплуатации ДГА и ГПУ(на бумажном и электронном носителе).</w:t>
            </w:r>
            <w:bookmarkEnd w:id="62"/>
            <w:bookmarkEnd w:id="63"/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bookmarkStart w:id="64" w:name="__RefHeading___Toc3922_3961127944"/>
            <w:bookmarkStart w:id="65" w:name="_Toc136869817"/>
            <w:bookmarkStart w:id="66" w:name="_Toc148695183"/>
            <w:bookmarkEnd w:id="64"/>
            <w:r>
              <w:rPr>
                <w:kern w:val="0"/>
                <w:sz w:val="24"/>
                <w:szCs w:val="24"/>
                <w:lang w:val="ru-RU" w:bidi="ar-SA"/>
              </w:rPr>
              <w:t>- Руководство по эксплуатации силового генератора (на бумажном и электронном носителе)</w:t>
            </w:r>
            <w:bookmarkEnd w:id="65"/>
            <w:bookmarkEnd w:id="66"/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bookmarkStart w:id="67" w:name="__RefHeading___Toc3924_3961127944"/>
            <w:bookmarkStart w:id="68" w:name="_Toc148695184"/>
            <w:bookmarkEnd w:id="67"/>
            <w:r>
              <w:rPr>
                <w:kern w:val="0"/>
                <w:sz w:val="24"/>
                <w:szCs w:val="24"/>
                <w:lang w:val="ru-RU" w:bidi="ar-SA"/>
              </w:rPr>
              <w:t>- Руководство по эксплуатации щита управления (на бумажном и электронном носителе)</w:t>
            </w:r>
            <w:bookmarkEnd w:id="68"/>
            <w:r>
              <w:rPr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bookmarkStart w:id="69" w:name="__RefHeading___Toc3926_3961127944"/>
            <w:bookmarkEnd w:id="69"/>
            <w:r>
              <w:rPr>
                <w:kern w:val="0"/>
                <w:sz w:val="24"/>
                <w:szCs w:val="24"/>
                <w:lang w:val="ru-RU" w:bidi="ar-SA"/>
              </w:rPr>
              <w:t>- Упаковочные листы на каждый дизель-генератор (с указанием количества транспортных мест).</w:t>
            </w:r>
          </w:p>
        </w:tc>
        <w:tc>
          <w:tcPr>
            <w:tcW w:w="2551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Liberation Serif" w:cs="Liberation Serif"/>
                <w:b w:val="false"/>
                <w:bCs w:val="false"/>
                <w:color w:val="000000"/>
                <w:kern w:val="0"/>
                <w:sz w:val="24"/>
                <w:szCs w:val="24"/>
                <w:lang w:val="ru-RU" w:bidi="ar-SA"/>
              </w:rPr>
              <w:t>Проведение приемосдаточных испытаний</w:t>
            </w:r>
          </w:p>
        </w:tc>
        <w:tc>
          <w:tcPr>
            <w:tcW w:w="3656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После изготовления продукции, провести заводские приемосдаточные испытания на аттестованном стенде с участием представителя Заказчика. Согласование ПМИ с Заказчиком в объеме предусмотренном ГОСТ 31540-2012</w:t>
            </w:r>
          </w:p>
        </w:tc>
        <w:tc>
          <w:tcPr>
            <w:tcW w:w="2551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9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.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Liberation Serif" w:cs="Liberation Serif"/>
                <w:b/>
                <w:color w:val="000000"/>
                <w:kern w:val="0"/>
                <w:sz w:val="24"/>
                <w:szCs w:val="24"/>
                <w:lang w:val="ru-RU" w:bidi="ar-SA"/>
              </w:rPr>
              <w:t>Требования к безопасности</w:t>
            </w:r>
          </w:p>
        </w:tc>
        <w:tc>
          <w:tcPr>
            <w:tcW w:w="3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963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8.1</w:t>
            </w:r>
          </w:p>
        </w:tc>
        <w:tc>
          <w:tcPr>
            <w:tcW w:w="32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Требования к наличию и предоставлению документов, подтверждающих безопасность оборудования</w:t>
            </w:r>
          </w:p>
        </w:tc>
        <w:tc>
          <w:tcPr>
            <w:tcW w:w="3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В соответствии с Федеральным Законом от 27.12.2002 г. № 184-ФЗ «О техническом регулировании», 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дизель-генераторные установки должны иметь декларацию о соответствии согласно Техническому регламенту Таможенного союза "О безопасности машин и оборудования" (ТР ТС 010/2011).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Декларация о соответствии должна иметь электронную регистрацию в едином реестре деклараций на сайте https://fsa.gov.ru/( требование п.6 ст.24 ФЗ-184, статус действующего документа)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Cs/>
                <w:color w:val="000000"/>
                <w:kern w:val="0"/>
                <w:sz w:val="24"/>
                <w:szCs w:val="24"/>
                <w:lang w:val="ru-RU" w:bidi="ar-SA"/>
              </w:rPr>
              <w:t>Требование применимо ко всему мощностному ряду дизель-генераторов.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Предоставить регистрационные номера деклараций о соответствии или копии деклараций о соответствии на дизель-генераторные установки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709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ind w:right="-680" w:hanging="0"/>
        <w:jc w:val="both"/>
        <w:rPr>
          <w:sz w:val="24"/>
          <w:szCs w:val="24"/>
        </w:rPr>
      </w:pPr>
      <w:r>
        <w:rPr>
          <w:sz w:val="24"/>
          <w:szCs w:val="24"/>
        </w:rPr>
        <w:t>* Примечание: «Указанные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  <w:r>
        <w:br w:type="page"/>
      </w:r>
    </w:p>
    <w:p>
      <w:pPr>
        <w:pStyle w:val="Heading4"/>
        <w:numPr>
          <w:ilvl w:val="2"/>
          <w:numId w:val="1"/>
        </w:numPr>
        <w:rPr/>
      </w:pPr>
      <w:bookmarkStart w:id="70" w:name="__RefHeading___Toc9059_3084006660"/>
      <w:bookmarkStart w:id="71" w:name="_Toc205555242"/>
      <w:bookmarkEnd w:id="70"/>
      <w:r>
        <w:rPr>
          <w:sz w:val="28"/>
          <w:szCs w:val="28"/>
        </w:rPr>
        <w:t>Требования к закупаемой продукции:</w:t>
      </w:r>
      <w:bookmarkEnd w:id="71"/>
    </w:p>
    <w:p>
      <w:pPr>
        <w:pStyle w:val="Normal"/>
        <w:spacing w:lineRule="auto" w:line="276"/>
        <w:ind w:firstLine="737"/>
        <w:rPr/>
      </w:pPr>
      <w:r>
        <w:rPr/>
        <w:t>2.2.1.1 В случае расхождения информации, указанной в настоящих Технических требованиях и опросных листах (Приложение №1 к настоящим техническим требованиям), считать основным документом настоящие Технические требования.</w:t>
      </w:r>
    </w:p>
    <w:p>
      <w:pPr>
        <w:pStyle w:val="Normal"/>
        <w:spacing w:lineRule="auto" w:line="276"/>
        <w:ind w:firstLine="737"/>
        <w:rPr/>
      </w:pPr>
      <w:r>
        <w:rPr/>
        <w:t>2.2.1.2 В случае если какой-либо из указанных в настоящих Технических требованиях ГОСТ или нормативный документ был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Heading4"/>
        <w:numPr>
          <w:ilvl w:val="2"/>
          <w:numId w:val="1"/>
        </w:numPr>
        <w:rPr/>
      </w:pPr>
      <w:bookmarkStart w:id="72" w:name="__RefHeading___Toc3910_3961127944_Копия_"/>
      <w:bookmarkStart w:id="73" w:name="_Toc205555243"/>
      <w:bookmarkStart w:id="74" w:name="_Toc148695177_Копия_1"/>
      <w:bookmarkEnd w:id="72"/>
      <w:r>
        <w:rPr>
          <w:sz w:val="28"/>
          <w:szCs w:val="28"/>
        </w:rPr>
        <w:t>В составе заявки необходимо предоставит</w:t>
      </w:r>
      <w:bookmarkEnd w:id="74"/>
      <w:r>
        <w:rPr>
          <w:sz w:val="28"/>
          <w:szCs w:val="28"/>
        </w:rPr>
        <w:t>ь:</w:t>
      </w:r>
      <w:bookmarkEnd w:id="73"/>
    </w:p>
    <w:p>
      <w:pPr>
        <w:pStyle w:val="Normal"/>
        <w:spacing w:lineRule="auto" w:line="276"/>
        <w:ind w:firstLine="737"/>
        <w:rPr/>
      </w:pPr>
      <w:r>
        <w:rPr/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</w:t>
      </w:r>
    </w:p>
    <w:p>
      <w:pPr>
        <w:pStyle w:val="Normal"/>
        <w:spacing w:lineRule="auto" w:line="276"/>
        <w:ind w:firstLine="737"/>
        <w:rPr/>
      </w:pPr>
      <w:r>
        <w:rPr/>
        <w:t xml:space="preserve">1. </w:t>
      </w:r>
      <w:r>
        <w:rPr>
          <w:rStyle w:val="Style10"/>
          <w:b w:val="false"/>
          <w:i w:val="false"/>
          <w:shd w:fill="auto" w:val="clear"/>
        </w:rPr>
        <w:t>Техническое предложение, подготовленное в соответствии с настоящими ТТ по форме, представленное в документации о закупке.</w:t>
      </w:r>
    </w:p>
    <w:p>
      <w:pPr>
        <w:pStyle w:val="Normal"/>
        <w:spacing w:lineRule="auto" w:line="276"/>
        <w:rPr/>
      </w:pPr>
      <w:r>
        <w:rPr/>
        <w:t xml:space="preserve">          </w:t>
      </w:r>
      <w:r>
        <w:rPr/>
        <w:t>2. Заполненный опросный лист (Приложение № 1 к ТТ);</w:t>
      </w:r>
    </w:p>
    <w:p>
      <w:pPr>
        <w:pStyle w:val="Normal"/>
        <w:spacing w:lineRule="auto" w:line="276"/>
        <w:rPr/>
      </w:pPr>
      <w:r>
        <w:rPr/>
        <w:t xml:space="preserve">          </w:t>
      </w:r>
      <w:r>
        <w:rPr/>
        <w:t>3. 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лиц”;</w:t>
      </w:r>
    </w:p>
    <w:p>
      <w:pPr>
        <w:pStyle w:val="Normal"/>
        <w:spacing w:lineRule="auto" w:line="276"/>
        <w:rPr/>
      </w:pPr>
      <w:r>
        <w:rPr/>
        <w:t xml:space="preserve">        </w:t>
      </w:r>
      <w:r>
        <w:rPr/>
        <w:t>4. Копии деклараций о соответствии на дизель-генераторные установки в соответствии с Техническим регламентом Таможенного союза ТР ТС 010/2011 "О безопасности машин и оборудования". Требование применимо ко всему мощностному ряду дизель-генераторов.</w:t>
      </w:r>
    </w:p>
    <w:p>
      <w:pPr>
        <w:pStyle w:val="Heading1"/>
        <w:spacing w:lineRule="auto" w:line="276"/>
        <w:ind w:left="0" w:hanging="0"/>
        <w:rPr>
          <w:sz w:val="24"/>
          <w:szCs w:val="24"/>
        </w:rPr>
      </w:pPr>
      <w:bookmarkStart w:id="75" w:name="__RefHeading___Toc9061_3084006660"/>
      <w:bookmarkEnd w:id="75"/>
      <w:r>
        <w:rPr>
          <w:sz w:val="24"/>
          <w:szCs w:val="24"/>
        </w:rPr>
        <w:t xml:space="preserve">     </w:t>
      </w:r>
      <w:bookmarkStart w:id="76" w:name="_Toc205555244"/>
      <w:r>
        <w:rPr>
          <w:sz w:val="24"/>
          <w:szCs w:val="24"/>
        </w:rPr>
        <w:t xml:space="preserve">3. </w:t>
      </w:r>
      <w:bookmarkStart w:id="77" w:name="_Toc54279844"/>
      <w:bookmarkStart w:id="78" w:name="_Toc141728506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77"/>
      <w:bookmarkEnd w:id="78"/>
      <w:r>
        <w:rPr>
          <w:sz w:val="24"/>
          <w:szCs w:val="24"/>
        </w:rPr>
        <w:t>.</w:t>
      </w:r>
      <w:bookmarkEnd w:id="76"/>
    </w:p>
    <w:p>
      <w:pPr>
        <w:pStyle w:val="Normal"/>
        <w:spacing w:lineRule="auto" w:line="276"/>
        <w:rPr/>
      </w:pPr>
      <w:r>
        <w:rPr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pacing w:lineRule="auto" w:line="276"/>
        <w:rPr/>
      </w:pPr>
      <w:r>
        <w:rPr/>
        <w:t>Дополнительные документы по ценообразованию в состав заявки не включаются</w:t>
      </w:r>
    </w:p>
    <w:p>
      <w:pPr>
        <w:pStyle w:val="Heading1"/>
        <w:spacing w:before="120" w:after="60"/>
        <w:ind w:left="0" w:hanging="0"/>
        <w:rPr/>
      </w:pPr>
      <w:bookmarkStart w:id="79" w:name="__RefHeading___Toc9063_3084006660"/>
      <w:bookmarkEnd w:id="79"/>
      <w:r>
        <w:rPr/>
        <w:t xml:space="preserve">      </w:t>
      </w:r>
      <w:bookmarkStart w:id="80" w:name="_Toc205555245"/>
      <w:r>
        <w:rPr/>
        <w:t xml:space="preserve">4. Приложение к техническим требованиям: </w:t>
      </w:r>
      <w:r>
        <w:rPr>
          <w:b w:val="false"/>
        </w:rPr>
        <w:t xml:space="preserve">Приложение №1 - </w:t>
      </w:r>
      <w:r>
        <w:rPr>
          <w:rStyle w:val="Style10"/>
          <w:b/>
          <w:i w:val="false"/>
          <w:shd w:fill="auto" w:val="clear"/>
        </w:rPr>
        <w:t>Опросный лист.</w:t>
      </w:r>
      <w:bookmarkEnd w:id="80"/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680" w:top="1134" w:footer="0" w:bottom="70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2B9C7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2B9C7B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825" w:hanging="82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825"/>
      </w:pPr>
      <w:rPr/>
    </w:lvl>
    <w:lvl w:ilvl="2">
      <w:start w:val="15"/>
      <w:numFmt w:val="decimal"/>
      <w:lvlText w:val="%1.%2.%3."/>
      <w:lvlJc w:val="left"/>
      <w:pPr>
        <w:tabs>
          <w:tab w:val="num" w:pos="0"/>
        </w:tabs>
        <w:ind w:left="825" w:hanging="82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1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val="365F91" w:themeColor="accent1" w:themeShade="bf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val="365F91" w:themeColor="accent1" w:themeShade="bf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val="365F91" w:themeColor="accent1" w:themeShade="bf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val="365F91" w:themeColor="accent1" w:themeShade="bf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Style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1" w:customStyle="1">
    <w:name w:val="Подзаголовок Знак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2" w:customStyle="1">
    <w:name w:val="Цитата 2 Знак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Style2" w:customStyle="1">
    <w:name w:val="Выделенная цитата Знак"/>
    <w:basedOn w:val="DefaultParagraphFont"/>
    <w:link w:val="IntenseQuote"/>
    <w:uiPriority w:val="30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1" w:customStyle="1">
    <w:name w:val="Strong1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1" w:customStyle="1">
    <w:name w:val="Верхний колонтитул Знак1"/>
    <w:basedOn w:val="DefaultParagraphFont"/>
    <w:uiPriority w:val="99"/>
    <w:qFormat/>
    <w:rPr/>
  </w:style>
  <w:style w:type="character" w:styleId="Style3" w:customStyle="1">
    <w:name w:val="Нижний колонтитул Знак"/>
    <w:basedOn w:val="DefaultParagraphFont"/>
    <w:uiPriority w:val="99"/>
    <w:qFormat/>
    <w:rPr/>
  </w:style>
  <w:style w:type="character" w:styleId="11" w:customStyle="1">
    <w:name w:val="Текст сноски Знак1"/>
    <w:basedOn w:val="DefaultParagraphFont"/>
    <w:uiPriority w:val="99"/>
    <w:semiHidden/>
    <w:qFormat/>
    <w:rPr>
      <w:sz w:val="20"/>
      <w:szCs w:val="20"/>
    </w:rPr>
  </w:style>
  <w:style w:type="character" w:styleId="Style4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12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</w:rPr>
  </w:style>
  <w:style w:type="character" w:styleId="Style6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Style9" w:customStyle="1">
    <w:name w:val="Абзац списка Знак"/>
    <w:link w:val="ListParagraph"/>
    <w:uiPriority w:val="34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>
      <w:b/>
      <w:bCs/>
    </w:rPr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link w:val="Style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13"/>
    <w:qFormat/>
    <w:pPr/>
    <w:rPr/>
  </w:style>
  <w:style w:type="paragraph" w:styleId="Indexheading1111" w:customStyle="1">
    <w:name w:val="index heading1111"/>
    <w:basedOn w:val="13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ubtitle">
    <w:name w:val="Subtitle"/>
    <w:basedOn w:val="Normal"/>
    <w:next w:val="Normal"/>
    <w:link w:val="Style1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2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paragraph" w:styleId="NoSpacing">
    <w:name w:val="No Spacing"/>
    <w:basedOn w:val="Normal"/>
    <w:uiPriority w:val="1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3"/>
    <w:uiPriority w:val="99"/>
    <w:unhideWhenUsed/>
    <w:pPr>
      <w:tabs>
        <w:tab w:val="clear" w:pos="708"/>
        <w:tab w:val="center" w:pos="4844" w:leader="none"/>
        <w:tab w:val="right" w:pos="9689" w:leader="none"/>
      </w:tabs>
    </w:pPr>
    <w:rPr/>
  </w:style>
  <w:style w:type="paragraph" w:styleId="EndnoteText">
    <w:name w:val="Endnote Text"/>
    <w:basedOn w:val="Normal"/>
    <w:link w:val="Style4"/>
    <w:uiPriority w:val="99"/>
    <w:semiHidden/>
    <w:unhideWhenUsed/>
    <w:pPr/>
    <w:rPr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Indexheading111111" w:customStyle="1">
    <w:name w:val="index heading111111"/>
    <w:basedOn w:val="Normal"/>
    <w:qFormat/>
    <w:pPr>
      <w:suppressLineNumbers/>
    </w:pPr>
    <w:rPr>
      <w:rFonts w:cs="Lohit Devanagari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FootnoteText">
    <w:name w:val="Footnote Text"/>
    <w:basedOn w:val="Normal"/>
    <w:link w:val="11"/>
    <w:uiPriority w:val="99"/>
    <w:pPr/>
    <w:rPr>
      <w:sz w:val="20"/>
      <w:szCs w:val="20"/>
    </w:rPr>
  </w:style>
  <w:style w:type="paragraph" w:styleId="Header">
    <w:name w:val="Header"/>
    <w:basedOn w:val="Normal"/>
    <w:link w:val="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9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1" w:customStyle="1">
    <w:name w:val="Раздел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qFormat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2"/>
    <w:uiPriority w:val="99"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pPr/>
    <w:rPr>
      <w:b/>
      <w:bCs/>
    </w:rPr>
  </w:style>
  <w:style w:type="paragraph" w:styleId="Style23" w:customStyle="1">
    <w:name w:val="[РГ] Текст"/>
    <w:basedOn w:val="Normal"/>
    <w:qFormat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14" w:customStyle="1">
    <w:name w:val="Обычный (веб)1"/>
    <w:basedOn w:val="Normal"/>
    <w:uiPriority w:val="99"/>
    <w:qFormat/>
    <w:pPr>
      <w:spacing w:beforeAutospacing="1" w:afterAutospacing="1"/>
      <w:ind w:left="1724" w:hanging="0"/>
      <w:jc w:val="both"/>
    </w:pPr>
    <w:rPr>
      <w:color w:val="000000" w:themeColor="text1"/>
      <w:sz w:val="24"/>
      <w:szCs w:val="24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Revision">
    <w:name w:val="Revision"/>
    <w:uiPriority w:val="99"/>
    <w:semiHidden/>
    <w:qFormat/>
    <w:rsid w:val="00fc2c00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5761921771" w:customStyle="1">
    <w:name w:val="15761921771"/>
    <w:qFormat/>
  </w:style>
  <w:style w:type="numbering" w:styleId="34052808731" w:customStyle="1">
    <w:name w:val="340528087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110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afffd">
    <w:name w:val="Table Grid"/>
    <w:basedOn w:val="a1"/>
    <w:uiPriority w:val="3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Application>AlterOffice/3.4.0.8$Linux_X86_64 LibreOffice_project/8f3f3c847f0b8d6fea24e251d3d8ed4f23cbe23c</Application>
  <AppVersion>15.0000</AppVersion>
  <Pages>21</Pages>
  <Words>3039</Words>
  <Characters>19917</Characters>
  <CharactersWithSpaces>22814</CharactersWithSpaces>
  <Paragraphs>535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2025-04-04T02:38:00Z</dcterms:created>
  <dc:creator>Таллаева Акулина Николаевна</dc:creator>
  <dc:description/>
  <dc:language>ru-RU</dc:language>
  <cp:lastModifiedBy>zakharovav@sed.local</cp:lastModifiedBy>
  <cp:lastPrinted>2025-08-01T16:20:00Z</cp:lastPrinted>
  <dcterms:modified xsi:type="dcterms:W3CDTF">2026-05-14T10:05:03Z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