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_rels/document.xml.rels" ContentType="application/vnd.openxmlformats-package.relationships+xml"/>
  <Override PartName="/word/media/image43.png" ContentType="image/png"/>
  <Override PartName="/word/media/image10.jpeg" ContentType="image/jpeg"/>
  <Override PartName="/word/media/image42.png" ContentType="image/png"/>
  <Override PartName="/word/media/image41.png" ContentType="image/png"/>
  <Override PartName="/word/media/image38.jpeg" ContentType="image/jpeg"/>
  <Override PartName="/word/media/image37.jpeg" ContentType="image/jpeg"/>
  <Override PartName="/word/media/image44.png" ContentType="image/png"/>
  <Override PartName="/word/media/image36.jpeg" ContentType="image/jpeg"/>
  <Override PartName="/word/media/image28.jpeg" ContentType="image/jpeg"/>
  <Override PartName="/word/media/image39.png" ContentType="image/png"/>
  <Override PartName="/word/media/image52.jpeg" ContentType="image/jpeg"/>
  <Override PartName="/word/media/image1.jpeg" ContentType="image/jpeg"/>
  <Override PartName="/word/media/image11.jpeg" ContentType="image/jpeg"/>
  <Override PartName="/word/media/image45.jpeg" ContentType="image/jpeg"/>
  <Override PartName="/word/media/image16.jpeg" ContentType="image/jpeg"/>
  <Override PartName="/word/media/image14.jpeg" ContentType="image/jpeg"/>
  <Override PartName="/word/media/image48.jpeg" ContentType="image/jpeg"/>
  <Override PartName="/word/media/image17.jpeg" ContentType="image/jpeg"/>
  <Override PartName="/word/media/image50.jpeg" ContentType="image/jpeg"/>
  <Override PartName="/word/media/image47.jpeg" ContentType="image/jpeg"/>
  <Override PartName="/word/media/image13.jpeg" ContentType="image/jpeg"/>
  <Override PartName="/word/media/image5.jpeg" ContentType="image/jpeg"/>
  <Override PartName="/word/media/image22.jpeg" ContentType="image/jpeg"/>
  <Override PartName="/word/media/image40.png" ContentType="image/png"/>
  <Override PartName="/word/media/image15.jpeg" ContentType="image/jpeg"/>
  <Override PartName="/word/media/image49.jpeg" ContentType="image/jpeg"/>
  <Override PartName="/word/media/image18.jpeg" ContentType="image/jpeg"/>
  <Override PartName="/word/media/image51.jpeg" ContentType="image/jpeg"/>
  <Override PartName="/word/media/image27.jpeg" ContentType="image/jpeg"/>
  <Override PartName="/word/media/image21.jpeg" ContentType="image/jpeg"/>
  <Override PartName="/word/media/image4.jpeg" ContentType="image/jpeg"/>
  <Override PartName="/word/media/image46.jpeg" ContentType="image/jpeg"/>
  <Override PartName="/word/media/image12.jpeg" ContentType="image/jpeg"/>
  <Override PartName="/word/media/image53.jpeg" ContentType="image/jpeg"/>
  <Override PartName="/word/media/image2.jpeg" ContentType="image/jpeg"/>
  <Override PartName="/word/media/image29.jpeg" ContentType="image/jpeg"/>
  <Override PartName="/word/media/image24.jpeg" ContentType="image/jpeg"/>
  <Override PartName="/word/media/image7.jpeg" ContentType="image/jpeg"/>
  <Override PartName="/word/media/image6.jpeg" ContentType="image/jpeg"/>
  <Override PartName="/word/media/image23.jpeg" ContentType="image/jpeg"/>
  <Override PartName="/word/media/image20.jpeg" ContentType="image/jpeg"/>
  <Override PartName="/word/media/image54.jpeg" ContentType="image/jpeg"/>
  <Override PartName="/word/media/image3.jpeg" ContentType="image/jpeg"/>
  <Override PartName="/word/media/image25.jpeg" ContentType="image/jpeg"/>
  <Override PartName="/word/media/image8.jpeg" ContentType="image/jpeg"/>
  <Override PartName="/word/media/image19.jpeg" ContentType="image/jpeg"/>
  <Override PartName="/word/media/image26.jpeg" ContentType="image/jpeg"/>
  <Override PartName="/word/media/image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header7.xml" ContentType="application/vnd.openxmlformats-officedocument.wordprocessingml.header+xml"/>
  <Override PartName="/word/header5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header9.xml" ContentType="application/vnd.openxmlformats-officedocument.wordprocessingml.header+xml"/>
  <Override PartName="/word/header6.xml" ContentType="application/vnd.openxmlformats-officedocument.wordprocessingml.header+xml"/>
  <Override PartName="/word/styles.xml" ContentType="application/vnd.openxmlformats-officedocument.wordprocessingml.styles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0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header11.xml" ContentType="application/vnd.openxmlformats-officedocument.wordprocessingml.header+xml"/>
  <Override PartName="/word/header8.xml" ContentType="application/vnd.openxmlformats-officedocument.wordprocessingml.header+xml"/>
  <Override PartName="/word/header1.xml" ContentType="application/vnd.openxmlformats-officedocument.wordprocessingml.header+xml"/>
  <Override PartName="/word/header14.xml" ContentType="application/vnd.openxmlformats-officedocument.wordprocessingml.header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keepNext w:val="true"/>
        <w:keepLines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</w:r>
    </w:p>
    <w:p>
      <w:pPr>
        <w:pStyle w:val="Normal"/>
        <w:keepNext w:val="true"/>
        <w:keepLines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</w:r>
    </w:p>
    <w:p>
      <w:pPr>
        <w:pStyle w:val="Normal"/>
        <w:keepNext w:val="true"/>
        <w:keepLines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Normal"/>
        <w:keepNext w:val="true"/>
        <w:keepLines/>
        <w:jc w:val="center"/>
        <w:rPr/>
      </w:pPr>
      <w:r>
        <w:rPr>
          <w:rFonts w:eastAsia="Calibri"/>
          <w:b/>
        </w:rPr>
        <w:t>Технические требования</w:t>
      </w:r>
    </w:p>
    <w:p>
      <w:pPr>
        <w:pStyle w:val="Normal"/>
        <w:keepNext w:val="true"/>
        <w:keepLines/>
        <w:jc w:val="center"/>
        <w:rPr>
          <w:rFonts w:eastAsia="Calibri"/>
          <w:b/>
          <w:sz w:val="26"/>
          <w:szCs w:val="26"/>
        </w:rPr>
      </w:pPr>
      <w:r>
        <w:rPr>
          <w:rFonts w:eastAsia="Calibri"/>
          <w:b/>
          <w:sz w:val="26"/>
          <w:szCs w:val="26"/>
        </w:rPr>
      </w:r>
    </w:p>
    <w:p>
      <w:pPr>
        <w:pStyle w:val="Normal"/>
        <w:keepNext w:val="true"/>
        <w:keepLines/>
        <w:jc w:val="center"/>
        <w:rPr>
          <w:rFonts w:eastAsia="Calibri"/>
          <w:b/>
          <w:sz w:val="26"/>
          <w:szCs w:val="26"/>
        </w:rPr>
      </w:pPr>
      <w:r>
        <w:rPr>
          <w:rFonts w:eastAsia="Calibri"/>
          <w:b/>
          <w:sz w:val="26"/>
          <w:szCs w:val="26"/>
        </w:rPr>
      </w:r>
    </w:p>
    <w:p>
      <w:pPr>
        <w:pStyle w:val="Normal"/>
        <w:keepNext w:val="true"/>
        <w:keepLines/>
        <w:jc w:val="center"/>
        <w:rPr/>
      </w:pPr>
      <w:r>
        <w:rPr>
          <w:rFonts w:eastAsia="Calibri"/>
          <w:b/>
          <w:sz w:val="26"/>
          <w:szCs w:val="26"/>
        </w:rPr>
        <w:t>«ОКПД2 27.11.43.000 Комплектные трансформаторные подстанции</w:t>
      </w:r>
      <w:r>
        <w:rPr>
          <w:rFonts w:eastAsia="Calibri"/>
          <w:b/>
          <w:i/>
          <w:sz w:val="26"/>
          <w:szCs w:val="26"/>
        </w:rPr>
        <w:t>»</w:t>
      </w:r>
    </w:p>
    <w:p>
      <w:pPr>
        <w:pStyle w:val="Normal"/>
        <w:keepNext w:val="true"/>
        <w:keepLines/>
        <w:jc w:val="center"/>
        <w:rPr>
          <w:rFonts w:eastAsia="Calibri"/>
          <w:b/>
          <w:bCs/>
          <w:sz w:val="26"/>
          <w:szCs w:val="26"/>
        </w:rPr>
      </w:pPr>
      <w:r>
        <w:rPr>
          <w:rFonts w:eastAsia="Calibri"/>
          <w:b/>
          <w:bCs/>
          <w:sz w:val="26"/>
          <w:szCs w:val="26"/>
        </w:rPr>
      </w:r>
    </w:p>
    <w:p>
      <w:pPr>
        <w:pStyle w:val="Normal"/>
        <w:jc w:val="center"/>
        <w:rPr>
          <w:rFonts w:eastAsia="Calibri"/>
          <w:b/>
          <w:bCs/>
          <w:sz w:val="26"/>
          <w:szCs w:val="26"/>
          <w:highlight w:val="green"/>
        </w:rPr>
      </w:pPr>
      <w:r>
        <w:rPr/>
      </w:r>
    </w:p>
    <w:p>
      <w:pPr>
        <w:pStyle w:val="Normal"/>
        <w:jc w:val="center"/>
        <w:rPr>
          <w:sz w:val="26"/>
          <w:szCs w:val="26"/>
        </w:rPr>
      </w:pPr>
      <w:r>
        <w:rPr>
          <w:sz w:val="26"/>
          <w:szCs w:val="26"/>
        </w:rPr>
      </w:r>
      <w:r>
        <w:br w:type="page"/>
      </w:r>
    </w:p>
    <w:p>
      <w:pPr>
        <w:pStyle w:val="Normal"/>
        <w:rPr/>
      </w:pPr>
      <w:r>
        <w:rPr>
          <w:b/>
        </w:rPr>
        <w:t>СОДЕРЖАНИЕ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14_1601336961" w:tgtFrame="#__RefHeading___Toc147614_1601336961">
        <w:r>
          <w:rPr>
            <w:rStyle w:val="Style18"/>
            <w:rFonts w:cs="Times New Roman"/>
          </w:rPr>
          <w:t>1. Общие сведения</w:t>
          <w:tab/>
        </w:r>
      </w:hyperlink>
      <w:r>
        <w:rPr>
          <w:rStyle w:val="Style18"/>
          <w:rFonts w:cs="Times New Roman"/>
        </w:rPr>
        <w:t>3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16_1601336961" w:tgtFrame="#__RefHeading___Toc147616_1601336961">
        <w:r>
          <w:rPr>
            <w:rStyle w:val="Style18"/>
            <w:rFonts w:cs="Times New Roman"/>
          </w:rPr>
          <w:t xml:space="preserve">2. </w:t>
        </w:r>
        <w:r>
          <w:rPr>
            <w:rStyle w:val="Style18"/>
            <w:rFonts w:cs="Times New Roman"/>
            <w:iCs/>
          </w:rPr>
          <w:t>Требования к продукции</w:t>
        </w:r>
        <w:r>
          <w:rPr>
            <w:rStyle w:val="Style18"/>
            <w:rFonts w:cs="Times New Roman"/>
          </w:rPr>
          <w:tab/>
          <w:t>4</w:t>
        </w:r>
      </w:hyperlink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18_1601336961" w:tgtFrame="#__RefHeading___Toc147618_1601336961">
        <w:r>
          <w:rPr>
            <w:rStyle w:val="Style18"/>
            <w:rFonts w:cs="Times New Roman"/>
          </w:rPr>
          <w:t>Таблица 1.1 Перечень и объем закупаемой продукции</w:t>
          <w:tab/>
          <w:t>4</w:t>
        </w:r>
      </w:hyperlink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20_1601336961" w:tgtFrame="#__RefHeading___Toc147620_1601336961">
        <w:r>
          <w:rPr>
            <w:rStyle w:val="Style18"/>
            <w:rFonts w:cs="Times New Roman"/>
          </w:rPr>
          <w:t>Таблица 2.1 Требования по срокам поставки продукции</w:t>
          <w:tab/>
          <w:t>5</w:t>
        </w:r>
      </w:hyperlink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22_1601336961" w:tgtFrame="#__RefHeading___Toc147622_1601336961">
        <w:r>
          <w:rPr>
            <w:rStyle w:val="Style18"/>
            <w:rFonts w:cs="Times New Roman"/>
          </w:rPr>
          <w:t>Таблица 3.1. Требования к продукции</w:t>
          <w:tab/>
          <w:t>6</w:t>
        </w:r>
      </w:hyperlink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22_1601336961" w:tgtFrame="#__RefHeading___Toc147622_1601336961">
        <w:r>
          <w:rPr>
            <w:rStyle w:val="Style18"/>
            <w:rFonts w:cs="Times New Roman"/>
          </w:rPr>
          <w:t>Таблица 3.2. Требования к продукции</w:t>
          <w:tab/>
        </w:r>
      </w:hyperlink>
      <w:r>
        <w:rPr>
          <w:rFonts w:cs="Times New Roman"/>
        </w:rPr>
        <w:t>24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24_1601336961" w:tgtFrame="#__RefHeading___Toc147624_1601336961">
        <w:r>
          <w:rPr>
            <w:rStyle w:val="Style18"/>
            <w:rFonts w:cs="Times New Roman"/>
          </w:rPr>
          <w:t>Таблица 3.3. Требования к продукции</w:t>
          <w:tab/>
        </w:r>
      </w:hyperlink>
      <w:r>
        <w:rPr>
          <w:rFonts w:cs="Times New Roman"/>
        </w:rPr>
        <w:t>42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26_1601336961" w:tgtFrame="#__RefHeading___Toc147626_1601336961">
        <w:r>
          <w:rPr>
            <w:rStyle w:val="Style18"/>
            <w:rFonts w:cs="Times New Roman"/>
          </w:rPr>
          <w:t>Таблица 3.4 Требования к продукции</w:t>
          <w:tab/>
          <w:t>....................................…...…</w:t>
        </w:r>
      </w:hyperlink>
      <w:r>
        <w:rPr>
          <w:rFonts w:cs="Times New Roman"/>
        </w:rPr>
        <w:t>60</w:t>
      </w:r>
    </w:p>
    <w:p>
      <w:pPr>
        <w:pStyle w:val="TOC1"/>
        <w:widowControl/>
        <w:tabs>
          <w:tab w:val="clear" w:pos="9911"/>
          <w:tab w:val="right" w:pos="9918" w:leader="dot"/>
        </w:tabs>
        <w:suppressAutoHyphens w:val="false"/>
        <w:bidi w:val="0"/>
        <w:spacing w:before="120" w:after="0"/>
        <w:ind w:left="0" w:right="0" w:hanging="0"/>
        <w:jc w:val="left"/>
        <w:rPr>
          <w:rFonts w:cs="Times New Roman"/>
        </w:rPr>
      </w:pPr>
      <w:hyperlink w:anchor="__RefHeading___Toc147628_1601336961" w:tgtFrame="#__RefHeading___Toc147628_1601336961">
        <w:r>
          <w:rPr>
            <w:rStyle w:val="Style18"/>
            <w:rFonts w:cs="Times New Roman"/>
          </w:rPr>
          <w:t>Таблица 3.5 Требования к продукции</w:t>
          <w:tab/>
        </w:r>
      </w:hyperlink>
      <w:r>
        <w:rPr>
          <w:rFonts w:cs="Times New Roman"/>
        </w:rPr>
        <w:t>...............79</w:t>
      </w:r>
    </w:p>
    <w:p>
      <w:pPr>
        <w:pStyle w:val="TOC1"/>
        <w:tabs>
          <w:tab w:val="clear" w:pos="9911"/>
        </w:tabs>
        <w:rPr>
          <w:rFonts w:cs="Times New Roman"/>
        </w:rPr>
      </w:pPr>
      <w:hyperlink w:anchor="__RefHeading___Toc147630_1601336961" w:tgtFrame="#__RefHeading___Toc147630_1601336961">
        <w:r>
          <w:rPr>
            <w:rStyle w:val="Style18"/>
            <w:rFonts w:cs="Times New Roman"/>
          </w:rPr>
          <w:t>Таблица 3.6 Требования к продукции</w:t>
          <w:tab/>
          <w:t>........</w:t>
        </w:r>
      </w:hyperlink>
      <w:r>
        <w:rPr>
          <w:rFonts w:cs="Times New Roman"/>
        </w:rPr>
        <w:t>..................................................................................97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32_1601336961" w:tgtFrame="#__RefHeading___Toc147632_1601336961">
        <w:r>
          <w:rPr>
            <w:rStyle w:val="Style18"/>
            <w:rFonts w:cs="Times New Roman"/>
          </w:rPr>
          <w:t>Таблица 3.7 Требования к продукции</w:t>
          <w:tab/>
        </w:r>
      </w:hyperlink>
      <w:r>
        <w:rPr>
          <w:rFonts w:cs="Times New Roman"/>
        </w:rPr>
        <w:t>117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34_1601336961" w:tgtFrame="#__RefHeading___Toc147634_1601336961">
        <w:r>
          <w:rPr>
            <w:rStyle w:val="Style18"/>
            <w:rFonts w:cs="Times New Roman"/>
          </w:rPr>
          <w:t>Таблица 3.8 Требования к продукции</w:t>
          <w:tab/>
        </w:r>
      </w:hyperlink>
      <w:r>
        <w:rPr>
          <w:rFonts w:cs="Times New Roman"/>
        </w:rPr>
        <w:t>135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36_1601336961" w:tgtFrame="#__RefHeading___Toc147636_1601336961">
        <w:r>
          <w:rPr>
            <w:rStyle w:val="Style18"/>
            <w:rFonts w:cs="Times New Roman"/>
          </w:rPr>
          <w:t>Таблица 3.9 Требования к продукции...........................................................................................1</w:t>
        </w:r>
      </w:hyperlink>
      <w:r>
        <w:rPr>
          <w:rFonts w:cs="Times New Roman"/>
        </w:rPr>
        <w:t>56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38_1601336961" w:tgtFrame="#__RefHeading___Toc147638_1601336961">
        <w:r>
          <w:rPr>
            <w:rStyle w:val="Style18"/>
            <w:rFonts w:cs="Times New Roman"/>
          </w:rPr>
          <w:t>Таблица 3.10 Требования к продукции.........................................................................................1</w:t>
        </w:r>
      </w:hyperlink>
      <w:r>
        <w:rPr>
          <w:rFonts w:cs="Times New Roman"/>
        </w:rPr>
        <w:t>77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44_4125836466" w:tgtFrame="#__RefHeading___Toc98344_4125836466">
        <w:r>
          <w:rPr>
            <w:rStyle w:val="Style18"/>
            <w:rFonts w:cs="Times New Roman"/>
          </w:rPr>
          <w:t>Таблица 3.11 Требования к продукции.........................................................................................</w:t>
        </w:r>
      </w:hyperlink>
      <w:r>
        <w:rPr>
          <w:rFonts w:cs="Times New Roman"/>
        </w:rPr>
        <w:t>198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52_1601336961" w:tgtFrame="#__RefHeading___Toc147652_1601336961">
        <w:r>
          <w:rPr>
            <w:rStyle w:val="Style18"/>
            <w:rFonts w:cs="Times New Roman"/>
          </w:rPr>
          <w:t>Таблица 3.12 Требования к продукции.........................................................................................</w:t>
        </w:r>
      </w:hyperlink>
      <w:r>
        <w:rPr>
          <w:rFonts w:cs="Times New Roman"/>
        </w:rPr>
        <w:t>219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44_1601336961" w:tgtFrame="#__RefHeading___Toc147644_1601336961">
        <w:r>
          <w:rPr>
            <w:rStyle w:val="Style18"/>
            <w:rFonts w:cs="Times New Roman"/>
          </w:rPr>
          <w:t>Таблица 3.13 Требования к продукции.........................................................................................</w:t>
        </w:r>
      </w:hyperlink>
      <w:r>
        <w:rPr>
          <w:rFonts w:cs="Times New Roman"/>
        </w:rPr>
        <w:t>239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147644_1601336961" w:tgtFrame="#__RefHeading___Toc147644_1601336961">
        <w:r>
          <w:rPr>
            <w:rStyle w:val="Style18"/>
            <w:rFonts w:cs="Times New Roman"/>
          </w:rPr>
          <w:t>Таблица 3.14 Требования к продукции.........................................................................................</w:t>
        </w:r>
      </w:hyperlink>
      <w:r>
        <w:rPr>
          <w:rFonts w:cs="Times New Roman"/>
        </w:rPr>
        <w:t>260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r>
        <w:rPr>
          <w:rFonts w:cs="Times New Roman"/>
        </w:rPr>
        <w:t>3</w:t>
      </w:r>
      <w:hyperlink w:anchor="__RefHeading___Toc28606_3473696645" w:tgtFrame="#__RefHeading___Toc28606_3473696645">
        <w:r>
          <w:rPr>
            <w:rStyle w:val="Style18"/>
            <w:rFonts w:cs="Times New Roman"/>
          </w:rPr>
          <w:t>. Требования к предоставлению документов в составе заявки..............................................2</w:t>
        </w:r>
      </w:hyperlink>
      <w:r>
        <w:rPr>
          <w:rStyle w:val="Style18"/>
          <w:rFonts w:cs="Times New Roman"/>
        </w:rPr>
        <w:t>82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r>
        <w:rPr>
          <w:rFonts w:cs="Times New Roman"/>
        </w:rPr>
        <w:t>4</w:t>
      </w:r>
      <w:hyperlink w:anchor="__RefHeading___Toc28606_3473696645" w:tgtFrame="#__RefHeading___Toc28606_3473696645">
        <w:r>
          <w:rPr>
            <w:rStyle w:val="Style18"/>
            <w:rFonts w:cs="Times New Roman"/>
          </w:rPr>
          <w:t>. Состав заявки.................................................................................................................................28</w:t>
        </w:r>
      </w:hyperlink>
      <w:r>
        <w:rPr>
          <w:rStyle w:val="Style18"/>
          <w:rFonts w:cs="Times New Roman"/>
        </w:rPr>
        <w:t>3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28606_3473696645" w:tgtFrame="#__RefHeading___Toc28606_3473696645">
        <w:r>
          <w:rPr>
            <w:rStyle w:val="Style18"/>
            <w:rFonts w:cs="Times New Roman"/>
          </w:rPr>
          <w:t>5. Требования к документации по ценообразованию на этапе закупки.................................28</w:t>
        </w:r>
      </w:hyperlink>
      <w:r>
        <w:rPr>
          <w:rStyle w:val="Style18"/>
          <w:rFonts w:cs="Times New Roman"/>
        </w:rPr>
        <w:t>4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46_4125836466" w:tgtFrame="#__RefHeading___Toc98346_4125836466">
        <w:r>
          <w:rPr>
            <w:rStyle w:val="Style18"/>
            <w:rFonts w:cs="Times New Roman"/>
          </w:rPr>
          <w:t>Приложение к таблице №3.1...........................................................................................................28</w:t>
        </w:r>
      </w:hyperlink>
      <w:r>
        <w:rPr>
          <w:rStyle w:val="Style18"/>
          <w:rFonts w:cs="Times New Roman"/>
        </w:rPr>
        <w:t>5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48_4125836466" w:tgtFrame="#__RefHeading___Toc98348_4125836466">
        <w:r>
          <w:rPr>
            <w:rStyle w:val="Style18"/>
            <w:rFonts w:cs="Times New Roman"/>
          </w:rPr>
          <w:t>Приложение к таблице №3.2...........................................................................................................29</w:t>
        </w:r>
      </w:hyperlink>
      <w:r>
        <w:rPr>
          <w:rStyle w:val="Style18"/>
          <w:rFonts w:cs="Times New Roman"/>
        </w:rPr>
        <w:t>1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0_4125836466" w:tgtFrame="#__RefHeading___Toc98350_4125836466">
        <w:r>
          <w:rPr>
            <w:rStyle w:val="Style18"/>
            <w:rFonts w:cs="Times New Roman"/>
          </w:rPr>
          <w:t>Приложение к таблице №3.3...........................................................................................................</w:t>
        </w:r>
      </w:hyperlink>
      <w:r>
        <w:rPr>
          <w:rStyle w:val="Style18"/>
          <w:rFonts w:cs="Times New Roman"/>
        </w:rPr>
        <w:t>297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2_4125836466" w:tgtFrame="#__RefHeading___Toc98352_4125836466">
        <w:r>
          <w:rPr>
            <w:rStyle w:val="Style18"/>
            <w:rFonts w:cs="Times New Roman"/>
          </w:rPr>
          <w:t>Приложение к таблице №3.4...........................................................................................................</w:t>
        </w:r>
      </w:hyperlink>
      <w:r>
        <w:rPr>
          <w:rStyle w:val="Style18"/>
          <w:rFonts w:cs="Times New Roman"/>
        </w:rPr>
        <w:t>303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4_4125836466" w:tgtFrame="#__RefHeading___Toc98354_4125836466">
        <w:r>
          <w:rPr>
            <w:rStyle w:val="Style18"/>
            <w:rFonts w:cs="Times New Roman"/>
          </w:rPr>
          <w:t>Приложение к таблице №3.5...........................................................................................................</w:t>
        </w:r>
      </w:hyperlink>
      <w:r>
        <w:rPr>
          <w:rStyle w:val="Style18"/>
          <w:rFonts w:cs="Times New Roman"/>
        </w:rPr>
        <w:t>309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6_4125836466" w:tgtFrame="#__RefHeading___Toc98356_4125836466">
        <w:r>
          <w:rPr>
            <w:rStyle w:val="Style18"/>
            <w:rFonts w:cs="Times New Roman"/>
          </w:rPr>
          <w:t>Приложение к таблице №3.6...........................................................................................................</w:t>
        </w:r>
      </w:hyperlink>
      <w:r>
        <w:rPr>
          <w:rStyle w:val="Style18"/>
          <w:rFonts w:cs="Times New Roman"/>
        </w:rPr>
        <w:t>315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8_4125836466" w:tgtFrame="#__RefHeading___Toc98358_4125836466">
        <w:r>
          <w:rPr>
            <w:rStyle w:val="Style18"/>
            <w:rFonts w:cs="Times New Roman"/>
          </w:rPr>
          <w:t>Приложение к таблице №3.7...........................................................................................................</w:t>
        </w:r>
      </w:hyperlink>
      <w:r>
        <w:rPr>
          <w:rFonts w:cs="Times New Roman"/>
        </w:rPr>
        <w:t>321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60_4125836466" w:tgtFrame="#__RefHeading___Toc98360_4125836466">
        <w:r>
          <w:rPr>
            <w:rStyle w:val="Style18"/>
            <w:rFonts w:cs="Times New Roman"/>
          </w:rPr>
          <w:t>Приложение к таблице №3.8...........................................................................................................</w:t>
        </w:r>
      </w:hyperlink>
      <w:r>
        <w:rPr>
          <w:rFonts w:cs="Times New Roman"/>
        </w:rPr>
        <w:t>327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60_4125836466" w:tgtFrame="#__RefHeading___Toc98360_4125836466">
        <w:r>
          <w:rPr>
            <w:rStyle w:val="Style18"/>
            <w:rFonts w:cs="Times New Roman"/>
          </w:rPr>
          <w:t>Приложение к таблице №3.9...........................................................................................................33</w:t>
        </w:r>
      </w:hyperlink>
      <w:r>
        <w:rPr>
          <w:rStyle w:val="Style18"/>
          <w:rFonts w:cs="Times New Roman"/>
        </w:rPr>
        <w:t>3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46_4125836466" w:tgtFrame="#__RefHeading___Toc98346_4125836466">
        <w:r>
          <w:rPr>
            <w:rStyle w:val="Style18"/>
            <w:rFonts w:cs="Times New Roman"/>
          </w:rPr>
          <w:t>Приложение к таблице №3.10.........................................................................................................</w:t>
        </w:r>
      </w:hyperlink>
      <w:r>
        <w:rPr>
          <w:rFonts w:cs="Times New Roman"/>
        </w:rPr>
        <w:t>336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48_4125836466" w:tgtFrame="#__RefHeading___Toc98348_4125836466">
        <w:r>
          <w:rPr>
            <w:rStyle w:val="Style18"/>
            <w:rFonts w:cs="Times New Roman"/>
          </w:rPr>
          <w:t>Приложение к таблице №3.11.........................................................................................................</w:t>
        </w:r>
      </w:hyperlink>
      <w:r>
        <w:rPr>
          <w:rFonts w:cs="Times New Roman"/>
        </w:rPr>
        <w:t>339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0_4125836466" w:tgtFrame="#__RefHeading___Toc98350_4125836466">
        <w:r>
          <w:rPr>
            <w:rStyle w:val="Style18"/>
            <w:rFonts w:cs="Times New Roman"/>
          </w:rPr>
          <w:t>Приложение к таблице №3.12.........................................................................................................</w:t>
        </w:r>
      </w:hyperlink>
      <w:r>
        <w:rPr>
          <w:rFonts w:cs="Times New Roman"/>
        </w:rPr>
        <w:t>342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2_4125836466" w:tgtFrame="#__RefHeading___Toc98352_4125836466">
        <w:r>
          <w:rPr>
            <w:rStyle w:val="Style18"/>
            <w:rFonts w:cs="Times New Roman"/>
          </w:rPr>
          <w:t>Приложение к таблице №3.13.........................................................................................................</w:t>
        </w:r>
      </w:hyperlink>
      <w:r>
        <w:rPr>
          <w:rFonts w:cs="Times New Roman"/>
        </w:rPr>
        <w:t>345</w:t>
      </w:r>
    </w:p>
    <w:p>
      <w:pPr>
        <w:pStyle w:val="TOC1"/>
        <w:tabs>
          <w:tab w:val="clear" w:pos="9911"/>
          <w:tab w:val="right" w:pos="9921" w:leader="dot"/>
        </w:tabs>
        <w:rPr>
          <w:rFonts w:cs="Times New Roman"/>
        </w:rPr>
      </w:pPr>
      <w:hyperlink w:anchor="__RefHeading___Toc98352_4125836466" w:tgtFrame="#__RefHeading___Toc98352_4125836466">
        <w:r>
          <w:rPr>
            <w:rStyle w:val="Style18"/>
            <w:rFonts w:cs="Times New Roman"/>
          </w:rPr>
          <w:t>Приложение к таблице №3.14.........................................................................................................</w:t>
        </w:r>
      </w:hyperlink>
      <w:r>
        <w:rPr>
          <w:rStyle w:val="Style18"/>
          <w:rFonts w:cs="Times New Roman"/>
        </w:rPr>
        <w:t>348</w:t>
      </w:r>
    </w:p>
    <w:p>
      <w:pPr>
        <w:pStyle w:val="Normal"/>
        <w:keepNext w:val="true"/>
        <w:keepLines/>
        <w:rPr>
          <w:rFonts w:eastAsia="Calibri"/>
          <w:b/>
          <w:i/>
          <w:i/>
          <w:sz w:val="24"/>
          <w:szCs w:val="24"/>
        </w:rPr>
      </w:pPr>
      <w:r>
        <w:rPr>
          <w:rFonts w:eastAsia="Calibri"/>
          <w:b/>
          <w:i/>
          <w:sz w:val="24"/>
          <w:szCs w:val="24"/>
        </w:rPr>
      </w:r>
      <w:r>
        <w:br w:type="page"/>
      </w:r>
    </w:p>
    <w:p>
      <w:pPr>
        <w:pStyle w:val="Heading1"/>
        <w:keepLines/>
        <w:numPr>
          <w:ilvl w:val="0"/>
          <w:numId w:val="1"/>
        </w:numPr>
        <w:ind w:left="357" w:hanging="357"/>
        <w:rPr/>
      </w:pPr>
      <w:bookmarkStart w:id="0" w:name="__RefHeading___Toc147614_1601336961"/>
      <w:bookmarkStart w:id="1" w:name="_Toc184304500"/>
      <w:bookmarkStart w:id="2" w:name="_Toc149029430"/>
      <w:bookmarkStart w:id="3" w:name="_Toc144285425"/>
      <w:bookmarkStart w:id="4" w:name="_Toc51339692"/>
      <w:bookmarkEnd w:id="0"/>
      <w:r>
        <w:rPr/>
        <w:t>Общие сведения</w:t>
      </w:r>
      <w:bookmarkEnd w:id="1"/>
      <w:bookmarkEnd w:id="2"/>
      <w:bookmarkEnd w:id="3"/>
      <w:bookmarkEnd w:id="4"/>
    </w:p>
    <w:p>
      <w:pPr>
        <w:pStyle w:val="Heading4"/>
        <w:numPr>
          <w:ilvl w:val="1"/>
          <w:numId w:val="1"/>
        </w:numPr>
        <w:rPr/>
      </w:pPr>
      <w:bookmarkStart w:id="5" w:name="__RefHeading___Toc28534_3473696645"/>
      <w:bookmarkStart w:id="6" w:name="_Toc144285426"/>
      <w:bookmarkStart w:id="7" w:name="_Toc46743505"/>
      <w:bookmarkStart w:id="8" w:name="_Toc149029431"/>
      <w:bookmarkStart w:id="9" w:name="_Toc184304501"/>
      <w:bookmarkEnd w:id="5"/>
      <w:r>
        <w:rPr/>
        <w:t>Обозначения и сокращения</w:t>
      </w:r>
      <w:bookmarkEnd w:id="6"/>
      <w:bookmarkEnd w:id="7"/>
      <w:bookmarkEnd w:id="8"/>
      <w:bookmarkEnd w:id="9"/>
    </w:p>
    <w:p>
      <w:pPr>
        <w:pStyle w:val="Normal"/>
        <w:spacing w:before="0" w:after="120"/>
        <w:rPr>
          <w:rFonts w:eastAsia="Calibri"/>
          <w:bCs/>
          <w:iCs/>
          <w:sz w:val="22"/>
          <w:szCs w:val="22"/>
        </w:rPr>
      </w:pPr>
      <w:r>
        <w:rPr>
          <w:rFonts w:eastAsia="Calibri"/>
          <w:bCs/>
          <w:iCs/>
          <w:sz w:val="22"/>
          <w:szCs w:val="22"/>
        </w:rPr>
      </w:r>
    </w:p>
    <w:tbl>
      <w:tblPr>
        <w:tblW w:w="9783" w:type="dxa"/>
        <w:jc w:val="left"/>
        <w:tblInd w:w="113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785"/>
        <w:gridCol w:w="7997"/>
      </w:tblGrid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АПЗУ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iCs/>
                <w:color w:val="111111"/>
                <w:sz w:val="22"/>
                <w:szCs w:val="22"/>
              </w:rPr>
              <w:t>Анти присадочное защитное устройство</w:t>
            </w:r>
          </w:p>
        </w:tc>
      </w:tr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АЧР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Автоматическая частотная разгрузка</w:t>
            </w:r>
          </w:p>
        </w:tc>
      </w:tr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ВЛ-10-6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Воздушные линии электропередачи 6-10 кВ</w:t>
            </w:r>
          </w:p>
        </w:tc>
      </w:tr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ВЛИ-0,4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Воздушная линия, выполненная изолированными проводами</w:t>
            </w:r>
          </w:p>
        </w:tc>
      </w:tr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ВНА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Выключатель нагрузки автогазовый</w:t>
            </w:r>
          </w:p>
        </w:tc>
      </w:tr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Высокое напряжение;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Высокое напряжение;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ГОСТ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Государственный стандарт;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КВЭ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Кассетный выдвижной элемент</w:t>
            </w:r>
          </w:p>
        </w:tc>
      </w:tr>
      <w:tr>
        <w:trPr>
          <w:trHeight w:val="315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2КТПН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Двух трансформаторная комплектная трансформаторная подстанция наружной установки;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КЛ-0,4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Кабельная линия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НН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Низкое напряжение;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НТД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Нормативно-техническая документация;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ОПН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Ограничитель перенапряжений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ПБВ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Переключение без возбуждения;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ПТЭ и ЭСиС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Правила технической эксплуатации электрических станций и сетей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ПУЭ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Правила устройства электроустановок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РВЗ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Разъединитель внутренней установки с заземляющим ножами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РУВН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Распределительное устройство высокого напряжения;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РУНН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Распределительное устройство низкого напряжения;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РУ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Распределительное устройство;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СИ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Средства измерений:</w:t>
            </w:r>
          </w:p>
        </w:tc>
      </w:tr>
      <w:tr>
        <w:trPr>
          <w:trHeight w:val="329" w:hRule="atLeast"/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ТУ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Технические условия;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ТМГ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Трехфазный трансформатор маслонаполненный герметичного исполнения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УХЛ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Климатическое исполнение «умеренный и холодный климат»;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ШСН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Шкаф собственных нужд</w:t>
            </w:r>
          </w:p>
        </w:tc>
      </w:tr>
      <w:tr>
        <w:trPr>
          <w:cantSplit w:val="true"/>
        </w:trPr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ЩСН</w:t>
            </w:r>
          </w:p>
        </w:tc>
        <w:tc>
          <w:tcPr>
            <w:tcW w:w="7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rPr/>
            </w:pPr>
            <w:r>
              <w:rPr>
                <w:color w:val="000000"/>
                <w:sz w:val="24"/>
                <w:szCs w:val="24"/>
              </w:rPr>
              <w:t>Щит собственных нужд</w:t>
            </w:r>
          </w:p>
        </w:tc>
      </w:tr>
    </w:tbl>
    <w:p>
      <w:pPr>
        <w:pStyle w:val="Normal"/>
        <w:keepNext w:val="true"/>
        <w:keepLines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keepNext w:val="true"/>
        <w:keepLines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keepNext w:val="true"/>
        <w:keepLines/>
        <w:rPr>
          <w:sz w:val="24"/>
          <w:szCs w:val="24"/>
        </w:rPr>
      </w:pPr>
      <w:r>
        <w:rPr>
          <w:sz w:val="24"/>
          <w:szCs w:val="24"/>
        </w:rPr>
      </w:r>
      <w:r>
        <w:br w:type="page"/>
      </w:r>
    </w:p>
    <w:p>
      <w:pPr>
        <w:pStyle w:val="Heading4"/>
        <w:numPr>
          <w:ilvl w:val="1"/>
          <w:numId w:val="1"/>
        </w:numPr>
        <w:rPr/>
      </w:pPr>
      <w:bookmarkStart w:id="10" w:name="__RefHeading___Toc28536_3473696645"/>
      <w:bookmarkStart w:id="11" w:name="_Toc46743506"/>
      <w:bookmarkStart w:id="12" w:name="_Toc144285427"/>
      <w:bookmarkStart w:id="13" w:name="_Toc149029432"/>
      <w:bookmarkStart w:id="14" w:name="_Toc184304502"/>
      <w:bookmarkEnd w:id="10"/>
      <w:r>
        <w:rPr/>
        <w:t>Наименование закупаемой продукции</w:t>
      </w:r>
      <w:bookmarkEnd w:id="11"/>
      <w:bookmarkEnd w:id="12"/>
      <w:bookmarkEnd w:id="13"/>
      <w:bookmarkEnd w:id="14"/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rPr/>
      </w:pPr>
      <w:r>
        <w:rPr>
          <w:rFonts w:eastAsia="Calibri"/>
          <w:sz w:val="24"/>
          <w:szCs w:val="24"/>
        </w:rPr>
        <w:t>«ОКПД2 27.11.43.000 Комплектные трансформаторные подстанции»</w:t>
      </w:r>
    </w:p>
    <w:p>
      <w:pPr>
        <w:pStyle w:val="Heading4"/>
        <w:numPr>
          <w:ilvl w:val="1"/>
          <w:numId w:val="1"/>
        </w:numPr>
        <w:spacing w:before="240" w:after="60"/>
        <w:ind w:left="431" w:hanging="431"/>
        <w:rPr/>
      </w:pPr>
      <w:bookmarkStart w:id="15" w:name="__RefHeading___Toc28538_3473696645"/>
      <w:bookmarkStart w:id="16" w:name="_Toc184304503"/>
      <w:bookmarkStart w:id="17" w:name="_Toc149029433"/>
      <w:bookmarkStart w:id="18" w:name="_Toc46743507"/>
      <w:bookmarkEnd w:id="15"/>
      <w:r>
        <w:rPr/>
        <w:t xml:space="preserve">Цель </w:t>
      </w:r>
      <w:bookmarkEnd w:id="18"/>
      <w:r>
        <w:rPr/>
        <w:t>использования закупаемой продукции</w:t>
      </w:r>
      <w:bookmarkEnd w:id="16"/>
      <w:bookmarkEnd w:id="17"/>
      <w:r>
        <w:rPr/>
        <w:t xml:space="preserve"> 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240"/>
        <w:rPr/>
      </w:pPr>
      <w:r>
        <w:rPr>
          <w:iCs/>
          <w:sz w:val="24"/>
          <w:szCs w:val="24"/>
        </w:rPr>
        <w:t xml:space="preserve">Для реализации объектов инвестиционной программы (в т.ч. объектов технологического присоединения). АО «Сахаэнерго» </w:t>
      </w:r>
    </w:p>
    <w:p>
      <w:pPr>
        <w:pStyle w:val="Heading1"/>
        <w:keepLines/>
        <w:numPr>
          <w:ilvl w:val="0"/>
          <w:numId w:val="1"/>
        </w:numPr>
        <w:ind w:left="357" w:hanging="357"/>
        <w:rPr/>
      </w:pPr>
      <w:bookmarkStart w:id="19" w:name="__RefHeading___Toc147616_1601336961"/>
      <w:bookmarkStart w:id="20" w:name="_Toc144285430"/>
      <w:bookmarkStart w:id="21" w:name="_Toc51339693"/>
      <w:bookmarkStart w:id="22" w:name="_Toc149029434"/>
      <w:bookmarkStart w:id="23" w:name="_Toc184304504"/>
      <w:bookmarkStart w:id="24" w:name="_Toc50125126"/>
      <w:bookmarkEnd w:id="19"/>
      <w:bookmarkEnd w:id="24"/>
      <w:r>
        <w:rPr>
          <w:iCs/>
        </w:rPr>
        <w:t>Требования к продукции</w:t>
      </w:r>
      <w:bookmarkEnd w:id="20"/>
      <w:bookmarkEnd w:id="21"/>
      <w:bookmarkEnd w:id="22"/>
      <w:bookmarkEnd w:id="23"/>
    </w:p>
    <w:p>
      <w:pPr>
        <w:pStyle w:val="Heading3"/>
        <w:numPr>
          <w:ilvl w:val="2"/>
          <w:numId w:val="1"/>
        </w:numPr>
        <w:ind w:left="0" w:hanging="0"/>
        <w:rPr/>
      </w:pPr>
      <w:bookmarkStart w:id="25" w:name="__RefHeading___Toc28544_3473696645"/>
      <w:bookmarkStart w:id="26" w:name="_Toc149029436"/>
      <w:bookmarkStart w:id="27" w:name="_Toc184304506"/>
      <w:bookmarkStart w:id="28" w:name="_Toc144285432"/>
      <w:bookmarkEnd w:id="25"/>
      <w:r>
        <w:rPr/>
        <w:t>Перечень и объем закупаемой продукции</w:t>
      </w:r>
      <w:bookmarkEnd w:id="26"/>
      <w:bookmarkEnd w:id="27"/>
      <w:bookmarkEnd w:id="28"/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29" w:name="__RefHeading___Toc147618_1601336961"/>
      <w:bookmarkStart w:id="30" w:name="_Toc149029437"/>
      <w:bookmarkStart w:id="31" w:name="_Toc144285433"/>
      <w:bookmarkStart w:id="32" w:name="_Toc184304507"/>
      <w:bookmarkStart w:id="33" w:name="_Toc51339695"/>
      <w:bookmarkEnd w:id="29"/>
      <w:r>
        <w:rPr>
          <w:sz w:val="24"/>
          <w:szCs w:val="24"/>
        </w:rPr>
        <w:t xml:space="preserve">Таблица 1.1 Перечень </w:t>
      </w:r>
      <w:bookmarkEnd w:id="33"/>
      <w:r>
        <w:rPr>
          <w:sz w:val="24"/>
          <w:szCs w:val="24"/>
        </w:rPr>
        <w:t>и объем закупаемой продукции</w:t>
      </w:r>
      <w:bookmarkEnd w:id="30"/>
      <w:bookmarkEnd w:id="31"/>
      <w:bookmarkEnd w:id="32"/>
    </w:p>
    <w:tbl>
      <w:tblPr>
        <w:tblW w:w="9773" w:type="dxa"/>
        <w:jc w:val="left"/>
        <w:tblInd w:w="-3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904"/>
        <w:gridCol w:w="6458"/>
        <w:gridCol w:w="1291"/>
        <w:gridCol w:w="1119"/>
      </w:tblGrid>
      <w:tr>
        <w:trPr/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п/п</w:t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продукции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Единица измерения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Количество</w:t>
            </w:r>
          </w:p>
        </w:tc>
      </w:tr>
      <w:tr>
        <w:trPr/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</w:tr>
      <w:tr>
        <w:trPr/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55" w:type="dxa"/>
              <w:bottom w:w="55" w:type="dxa"/>
            </w:tcMar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0" w:after="200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55" w:type="dxa"/>
              <w:bottom w:w="55" w:type="dxa"/>
            </w:tcMar>
            <w:vAlign w:val="center"/>
          </w:tcPr>
          <w:p>
            <w:pPr>
              <w:pStyle w:val="Style43"/>
              <w:widowControl w:val="false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Корпус 2КТП-1000/6/0.4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55" w:type="dxa"/>
              <w:bottom w:w="55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i/>
                <w:i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bottom w:w="55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i/>
                <w:i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0" w:after="200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rFonts w:eastAsia="Times New Roman" w:cs="Times New Roman"/>
                <w:color w:val="000000"/>
                <w:sz w:val="22"/>
                <w:szCs w:val="22"/>
              </w:rPr>
              <w:t>Корпус КТПН 100/10/0.4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i/>
                <w:i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0" w:after="200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color w:val="000000"/>
                <w:sz w:val="22"/>
                <w:szCs w:val="22"/>
              </w:rPr>
              <w:t>Корпус без трансформатора КТПН 100/6/0.4 (разборно-сборный фундамент, распределительные устройства РУВН и РУНН)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i/>
                <w:i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</w:p>
        </w:tc>
      </w:tr>
      <w:tr>
        <w:trPr/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43"/>
              <w:widowControl w:val="false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Корпус КТПН 160/10/0.4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</w:t>
            </w:r>
          </w:p>
        </w:tc>
      </w:tr>
      <w:tr>
        <w:trPr/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43"/>
              <w:widowControl w:val="false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Корпус КТПН 160/6/0.4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</w:t>
            </w:r>
          </w:p>
        </w:tc>
      </w:tr>
      <w:tr>
        <w:trPr/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color w:val="000000"/>
                <w:sz w:val="22"/>
                <w:szCs w:val="22"/>
              </w:rPr>
              <w:t>Корпус КТПН 250/10/0.4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color w:val="000000"/>
                <w:sz w:val="22"/>
                <w:szCs w:val="22"/>
              </w:rPr>
              <w:t>Корпус КТПН 250/6/0.4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</w:r>
          </w:p>
        </w:tc>
        <w:tc>
          <w:tcPr>
            <w:tcW w:w="6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color w:val="000000"/>
                <w:sz w:val="22"/>
                <w:szCs w:val="22"/>
              </w:rPr>
              <w:t>Корпус КТПН 63/10/0.4 с разборно-сборным фундаментом и распределительными устройствами РУВН и РУНН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43"/>
              <w:widowControl w:val="false"/>
              <w:rPr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Подстанция комплектная трансформаторная КТП-400/10/0,4 к комплекте с ТМГ-400/10/0,4 для технологического присоединения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шт.</w:t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2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Style43"/>
              <w:widowControl w:val="false"/>
              <w:rPr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Подстанция комплектная трансформаторная КТП-100/6/0,4 к комплекте с ТМГ-100/6/0,4 для технологического присоединения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шт.</w:t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1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FFFFFF" w:fill="FFFFFF" w:val="clear"/>
            <w:vAlign w:val="center"/>
          </w:tcPr>
          <w:p>
            <w:pPr>
              <w:pStyle w:val="Style43"/>
              <w:widowControl w:val="false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Подстанция комплектная трансформаторная КТП-400/6/0.4 в комплекте с ТМГ-400/ 6/ 0,4 по программе технического перевооружения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шт.</w:t>
            </w:r>
          </w:p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1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FFFFFF" w:fill="FFFFFF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cs="Times New Roman"/>
                <w:sz w:val="22"/>
                <w:szCs w:val="22"/>
                <w:highlight w:val="white"/>
              </w:rPr>
            </w:pPr>
            <w:r>
              <w:rPr>
                <w:rFonts w:eastAsia="Times New Roman" w:cs="Times New Roman"/>
                <w:color w:val="000000"/>
                <w:sz w:val="22"/>
                <w:szCs w:val="22"/>
                <w:highlight w:val="white"/>
              </w:rPr>
              <w:t xml:space="preserve">Подстанция комплектная трансформаторная КТП-250/6/0.4 в комплекте с ТМГ 250/6/0,4 </w:t>
            </w: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по программе технического перевооружения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шт.</w:t>
            </w:r>
          </w:p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1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FFFFFF" w:fill="FFFFFF" w:val="clear"/>
            <w:vAlign w:val="center"/>
          </w:tcPr>
          <w:p>
            <w:pPr>
              <w:pStyle w:val="Style43"/>
              <w:widowControl w:val="false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Подстанция комплектная трансформаторная  КТП-630/6/0.4 в комплекте с ТМГ 630/6/0.4 по программе технического перевооружения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шт.</w:t>
            </w:r>
          </w:p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1</w:t>
            </w:r>
          </w:p>
        </w:tc>
      </w:tr>
      <w:tr>
        <w:trPr/>
        <w:tc>
          <w:tcPr>
            <w:tcW w:w="9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7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64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FFFFFF" w:fill="FFFFFF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color w:val="000000"/>
                <w:sz w:val="22"/>
                <w:szCs w:val="22"/>
              </w:rPr>
              <w:t xml:space="preserve">Подстанция комплектная трансформаторная КТП-160/6/0.4 в комплекте с ТМГ 160/6/0,4кВ </w:t>
            </w: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по программе технического перевооружения</w:t>
            </w:r>
          </w:p>
        </w:tc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шт.</w:t>
            </w:r>
          </w:p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shd w:fill="81D41A" w:val="clear"/>
              </w:rPr>
            </w:pPr>
            <w:r>
              <w:rPr>
                <w:color w:val="000000"/>
                <w:sz w:val="22"/>
                <w:szCs w:val="22"/>
                <w:shd w:fill="81D41A" w:val="clear"/>
              </w:rPr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  <w:highlight w:val="white"/>
                <w:shd w:fill="81D41A" w:val="clear"/>
              </w:rPr>
            </w:pPr>
            <w:r>
              <w:rPr>
                <w:color w:val="000000"/>
                <w:sz w:val="22"/>
                <w:szCs w:val="22"/>
                <w:highlight w:val="white"/>
                <w:shd w:fill="81D41A" w:val="clear"/>
              </w:rPr>
              <w:t>1</w:t>
            </w:r>
          </w:p>
        </w:tc>
      </w:tr>
    </w:tbl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ind w:firstLine="142"/>
        <w:rPr>
          <w:bCs/>
          <w:i/>
          <w:i/>
          <w:sz w:val="24"/>
          <w:szCs w:val="24"/>
        </w:rPr>
      </w:pPr>
      <w:r>
        <w:rPr>
          <w:bCs/>
          <w:i/>
          <w:sz w:val="24"/>
          <w:szCs w:val="24"/>
        </w:rPr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ind w:firstLine="142"/>
        <w:rPr>
          <w:bCs/>
          <w:i/>
          <w:i/>
          <w:sz w:val="24"/>
          <w:szCs w:val="24"/>
          <w:shd w:fill="FFFF99" w:val="clear"/>
        </w:rPr>
      </w:pPr>
      <w:r>
        <w:rPr>
          <w:bCs/>
          <w:i/>
          <w:sz w:val="24"/>
          <w:szCs w:val="24"/>
          <w:shd w:fill="FFFF99" w:val="clear"/>
        </w:rPr>
      </w:r>
    </w:p>
    <w:p>
      <w:pPr>
        <w:pStyle w:val="Heading3"/>
        <w:numPr>
          <w:ilvl w:val="2"/>
          <w:numId w:val="1"/>
        </w:numPr>
        <w:ind w:left="0" w:hanging="0"/>
        <w:rPr/>
      </w:pPr>
      <w:bookmarkStart w:id="34" w:name="__RefHeading___Toc28548_3473696645"/>
      <w:bookmarkStart w:id="35" w:name="_Toc184304508"/>
      <w:bookmarkStart w:id="36" w:name="_Toc149029438"/>
      <w:bookmarkStart w:id="37" w:name="_Toc144285434"/>
      <w:bookmarkStart w:id="38" w:name="_Toc51339696"/>
      <w:bookmarkEnd w:id="34"/>
      <w:r>
        <w:rPr/>
        <w:t xml:space="preserve">Требования </w:t>
      </w:r>
      <w:bookmarkEnd w:id="38"/>
      <w:r>
        <w:rPr/>
        <w:t>к срокам поставки продукции и оказания сопутствующих услуг</w:t>
      </w:r>
      <w:bookmarkEnd w:id="35"/>
      <w:bookmarkEnd w:id="36"/>
      <w:bookmarkEnd w:id="37"/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39" w:name="__RefHeading___Toc147620_1601336961"/>
      <w:bookmarkStart w:id="40" w:name="_Toc184304509"/>
      <w:bookmarkStart w:id="41" w:name="_Toc149029439"/>
      <w:bookmarkStart w:id="42" w:name="_Toc144285435"/>
      <w:bookmarkStart w:id="43" w:name="_Toc51339697"/>
      <w:bookmarkStart w:id="44" w:name="_Toc50125127"/>
      <w:bookmarkStart w:id="45" w:name="_Toc50125126_Копия_1"/>
      <w:bookmarkEnd w:id="39"/>
      <w:bookmarkEnd w:id="45"/>
      <w:r>
        <w:rPr>
          <w:sz w:val="24"/>
          <w:szCs w:val="24"/>
        </w:rPr>
        <w:t xml:space="preserve">Таблица 2.1 </w:t>
      </w:r>
      <w:bookmarkStart w:id="46" w:name="_Hlk50465284"/>
      <w:r>
        <w:rPr>
          <w:sz w:val="24"/>
          <w:szCs w:val="24"/>
        </w:rPr>
        <w:t xml:space="preserve">Требования по срокам </w:t>
      </w:r>
      <w:bookmarkEnd w:id="43"/>
      <w:bookmarkEnd w:id="44"/>
      <w:bookmarkEnd w:id="46"/>
      <w:r>
        <w:rPr>
          <w:sz w:val="24"/>
          <w:szCs w:val="24"/>
        </w:rPr>
        <w:t>поставки продукции</w:t>
      </w:r>
      <w:bookmarkEnd w:id="40"/>
      <w:bookmarkEnd w:id="41"/>
      <w:bookmarkEnd w:id="42"/>
      <w:r>
        <w:rPr>
          <w:sz w:val="24"/>
          <w:szCs w:val="24"/>
        </w:rPr>
        <w:t xml:space="preserve"> 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rPr>
          <w:bCs/>
          <w:i/>
          <w:i/>
          <w:iCs/>
          <w:sz w:val="24"/>
          <w:szCs w:val="24"/>
          <w:shd w:fill="FFFF99" w:val="clear"/>
        </w:rPr>
      </w:pPr>
      <w:r>
        <w:rPr>
          <w:bCs/>
          <w:i/>
          <w:iCs/>
          <w:sz w:val="24"/>
          <w:szCs w:val="24"/>
          <w:shd w:fill="FFFF99" w:val="clear"/>
        </w:rPr>
      </w:r>
    </w:p>
    <w:tbl>
      <w:tblPr>
        <w:tblW w:w="9668" w:type="dxa"/>
        <w:jc w:val="left"/>
        <w:tblInd w:w="223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98"/>
        <w:gridCol w:w="4263"/>
        <w:gridCol w:w="2291"/>
        <w:gridCol w:w="2415"/>
      </w:tblGrid>
      <w:tr>
        <w:trPr/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 xml:space="preserve">№ </w:t>
            </w:r>
            <w:r>
              <w:rPr>
                <w:sz w:val="24"/>
                <w:szCs w:val="24"/>
              </w:rPr>
              <w:t>п/п</w:t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Наименование продукции / партии продукции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-108" w:right="-85" w:hanging="0"/>
              <w:jc w:val="center"/>
              <w:rPr/>
            </w:pPr>
            <w:r>
              <w:rPr>
                <w:sz w:val="24"/>
                <w:szCs w:val="24"/>
              </w:rPr>
              <w:t>Требования к началу срока поставки продукции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ind w:left="-108" w:right="-85" w:hanging="0"/>
              <w:jc w:val="center"/>
              <w:rPr/>
            </w:pPr>
            <w:r>
              <w:rPr>
                <w:sz w:val="24"/>
                <w:szCs w:val="24"/>
              </w:rPr>
              <w:t>Требования к окончанию срока поставки продукции</w:t>
            </w:r>
          </w:p>
        </w:tc>
      </w:tr>
      <w:tr>
        <w:trPr/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33"/>
              <w:keepNext w:val="false"/>
              <w:widowControl w:val="false"/>
              <w:spacing w:before="40" w:after="40"/>
              <w:ind w:left="-108" w:right="-85" w:hanging="0"/>
              <w:jc w:val="center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33"/>
              <w:keepNext w:val="false"/>
              <w:widowControl w:val="false"/>
              <w:spacing w:before="40" w:after="40"/>
              <w:ind w:left="-108" w:right="-85" w:hanging="0"/>
              <w:jc w:val="center"/>
              <w:rPr/>
            </w:pPr>
            <w:bookmarkStart w:id="47" w:name="_Toc46743510"/>
            <w:r>
              <w:rPr>
                <w:b/>
                <w:sz w:val="24"/>
                <w:szCs w:val="24"/>
              </w:rPr>
              <w:t>4</w:t>
            </w:r>
            <w:bookmarkEnd w:id="47"/>
          </w:p>
        </w:tc>
      </w:tr>
      <w:tr>
        <w:trPr/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pacing w:before="0" w:after="20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Style43"/>
              <w:widowControl w:val="false"/>
              <w:rPr/>
            </w:pPr>
            <w:r>
              <w:rPr>
                <w:sz w:val="24"/>
                <w:szCs w:val="24"/>
              </w:rPr>
              <w:t>Комплектные трансформаторные подстанции в соответствии с таблицей 1.1 настоящих ТТ.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120"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даты заключения договора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-108" w:right="-85"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90 календарных дней с даты заключения договора</w:t>
            </w:r>
          </w:p>
        </w:tc>
      </w:tr>
    </w:tbl>
    <w:p>
      <w:pPr>
        <w:sectPr>
          <w:headerReference w:type="even" r:id="rId2"/>
          <w:headerReference w:type="default" r:id="rId3"/>
          <w:headerReference w:type="first" r:id="rId4"/>
          <w:type w:val="nextPage"/>
          <w:pgSz w:w="11906" w:h="16838"/>
          <w:pgMar w:left="1134" w:right="851" w:gutter="0" w:header="680" w:top="1134" w:footer="0" w:bottom="992"/>
          <w:pgNumType w:fmt="decimal"/>
          <w:formProt w:val="false"/>
          <w:titlePg/>
          <w:textDirection w:val="lrTb"/>
          <w:docGrid w:type="default" w:linePitch="100" w:charSpace="0"/>
        </w:sectPr>
      </w:pPr>
    </w:p>
    <w:p>
      <w:pPr>
        <w:pStyle w:val="Heading4"/>
        <w:numPr>
          <w:ilvl w:val="1"/>
          <w:numId w:val="1"/>
        </w:numPr>
        <w:rPr/>
      </w:pPr>
      <w:bookmarkStart w:id="48" w:name="__RefHeading___Toc28552_3473696645"/>
      <w:bookmarkStart w:id="49" w:name="_Toc144285436"/>
      <w:bookmarkStart w:id="50" w:name="_Toc184304510"/>
      <w:bookmarkStart w:id="51" w:name="_Toc149029440"/>
      <w:bookmarkStart w:id="52" w:name="_Toc46743511"/>
      <w:bookmarkEnd w:id="48"/>
      <w:r>
        <w:rPr/>
        <w:t xml:space="preserve">Требования к </w:t>
      </w:r>
      <w:bookmarkEnd w:id="52"/>
      <w:r>
        <w:rPr/>
        <w:t>качеству продукции</w:t>
      </w:r>
      <w:bookmarkEnd w:id="49"/>
      <w:bookmarkEnd w:id="50"/>
      <w:bookmarkEnd w:id="51"/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53" w:name="__RefHeading___Toc147622_1601336961"/>
      <w:bookmarkStart w:id="54" w:name="_Toc149029441"/>
      <w:bookmarkStart w:id="55" w:name="_Toc184304511"/>
      <w:bookmarkStart w:id="56" w:name="_Toc144285437"/>
      <w:bookmarkEnd w:id="53"/>
      <w:r>
        <w:rPr>
          <w:sz w:val="24"/>
          <w:szCs w:val="24"/>
        </w:rPr>
        <w:t>Таблица 3.1. Требования к продукции</w:t>
      </w:r>
      <w:bookmarkEnd w:id="55"/>
      <w:bookmarkEnd w:id="56"/>
      <w:r>
        <w:rPr>
          <w:sz w:val="24"/>
          <w:szCs w:val="24"/>
        </w:rPr>
        <w:t xml:space="preserve"> </w:t>
      </w:r>
      <w:bookmarkEnd w:id="54"/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</w:t>
      </w:r>
      <w:r>
        <w:rPr>
          <w:i/>
          <w:sz w:val="24"/>
          <w:szCs w:val="24"/>
        </w:rPr>
        <w:t>(позиция № 1 Таблицы 1.1):</w:t>
      </w:r>
      <w:r>
        <w:rPr>
          <w:b/>
          <w:bCs/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Корпус 2КТП 1000/6/0.4 с разборно-сборным фундаментом и распределительными устройствами РУВН и РУНН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Style w:val="1311"/>
        <w:tblpPr w:bottomFromText="0" w:horzAnchor="text" w:leftFromText="180" w:rightFromText="180" w:tblpX="0" w:tblpXSpec="left" w:tblpY="1" w:topFromText="0" w:vertAnchor="text"/>
        <w:tblW w:w="15495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709"/>
        <w:gridCol w:w="4323"/>
        <w:gridCol w:w="11"/>
        <w:gridCol w:w="3609"/>
        <w:gridCol w:w="2028"/>
        <w:gridCol w:w="2461"/>
        <w:gridCol w:w="2353"/>
      </w:tblGrid>
      <w:tr>
        <w:trPr/>
        <w:tc>
          <w:tcPr>
            <w:tcW w:w="709" w:type="dxa"/>
            <w:vMerge w:val="restart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ind w:left="-108" w:right="-140" w:hanging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 xml:space="preserve">№ </w:t>
            </w: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п/п</w:t>
            </w:r>
          </w:p>
        </w:tc>
        <w:tc>
          <w:tcPr>
            <w:tcW w:w="4334" w:type="dxa"/>
            <w:gridSpan w:val="2"/>
            <w:vMerge w:val="restart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Наименование параметра</w:t>
            </w:r>
          </w:p>
        </w:tc>
        <w:tc>
          <w:tcPr>
            <w:tcW w:w="3609" w:type="dxa"/>
            <w:vMerge w:val="restart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Требование заказчика</w:t>
            </w: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</w:t>
            </w:r>
          </w:p>
        </w:tc>
        <w:tc>
          <w:tcPr>
            <w:tcW w:w="4489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Способ подтверждения участником соответствия требованиям</w:t>
            </w:r>
          </w:p>
        </w:tc>
        <w:tc>
          <w:tcPr>
            <w:tcW w:w="2353" w:type="dxa"/>
            <w:vMerge w:val="restart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709" w:type="dxa"/>
            <w:vMerge w:val="continue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ind w:left="-108" w:right="-140" w:hanging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334" w:type="dxa"/>
            <w:gridSpan w:val="2"/>
            <w:vMerge w:val="continue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609" w:type="dxa"/>
            <w:vMerge w:val="continue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требованием/ 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Предоставление подтверждающего документа на этапе закупки</w:t>
            </w:r>
          </w:p>
        </w:tc>
        <w:tc>
          <w:tcPr>
            <w:tcW w:w="2353" w:type="dxa"/>
            <w:vMerge w:val="continue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ind w:left="-108" w:right="-140" w:hanging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2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246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center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ind w:left="-108" w:right="-140" w:hanging="0"/>
              <w:contextualSpacing/>
              <w:jc w:val="center"/>
              <w:rPr>
                <w:rFonts w:ascii="Times New Roman" w:hAnsi="Times New Roman" w:cs="Times New Roman"/>
                <w:lang w:val="ru-RU" w:eastAsia="ru-RU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7943" w:type="dxa"/>
            <w:gridSpan w:val="3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техническим и функциональным характеристикам КТПН (включая гарантируемые показатели)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(повышающая, киоскового типа)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1.2.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3500*4300мм (Д*Ш)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       2*1000 кВА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Силовые трансформаторы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Отсутствуют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Номинальная частота, Гц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1.5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1.6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Наибольшее рабочее напряжение на стороне ВН, кВ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7,2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1.7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вспомогательных цепей КТПН, В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более 400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1.8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технические требования к поставляемой продукции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цепями;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1.9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1.10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Согласно п. 4.2.88 ПУЭ (изд. 7).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1.11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соответствии с п. 5.4.14. ПТЭ ЭСиС., п. 3.28., 7. ГОСТ 14695-80 «Подстанции трансформаторные комплектные мощностью от 25 до 2500 кВА на напряжение до 10 кВ»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1.12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проходных изоляторов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ИПК (полимерный).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опорных изоляторов в РУ ВН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ИОРП (полимерный).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1.14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1000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1.15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kern w:val="0"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1.16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Высота траверсы ВН над уровнем крыши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1600 – 1800 мм.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1.17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Cs/>
                <w:kern w:val="0"/>
                <w:lang w:val="ru-RU" w:eastAsia="ru-RU" w:bidi="ar-SA"/>
              </w:rPr>
              <w:t>Исполнение ввода ВН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1.18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Исполнение ввода НН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Кабельный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Корпусу КТПН силового трансформатора.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2.3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630/10/0.4 в корпусе трансформаторного отсека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 нагрузки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3.1.1</w:t>
            </w:r>
          </w:p>
        </w:tc>
        <w:tc>
          <w:tcPr>
            <w:tcW w:w="4334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609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ВНА-6(10)/400 ( или эквивалент)</w:t>
            </w:r>
          </w:p>
        </w:tc>
        <w:tc>
          <w:tcPr>
            <w:tcW w:w="2028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 выключателя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Автогазовый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привода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Пружинный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Управление приводом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местное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3.1.5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встроенных элементов защиты и заземления</w:t>
            </w:r>
          </w:p>
        </w:tc>
        <w:tc>
          <w:tcPr>
            <w:tcW w:w="3609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2 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ножами заземления; 4 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3.1.6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Style w:val="Strong"/>
                <w:b w:val="false"/>
                <w:bCs w:val="false"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предохранителей ВН</w:t>
            </w:r>
          </w:p>
        </w:tc>
        <w:tc>
          <w:tcPr>
            <w:tcW w:w="3620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/>
            </w:pPr>
            <w:r>
              <w:rPr>
                <w:rStyle w:val="Strong"/>
                <w:rFonts w:eastAsia="Times New Roman" w:cs="Times New Roman"/>
                <w:b w:val="false"/>
                <w:bCs w:val="false"/>
                <w:kern w:val="0"/>
                <w:sz w:val="24"/>
                <w:szCs w:val="24"/>
                <w:lang w:val="ru-RU" w:eastAsia="ru-RU" w:bidi="ar-SA"/>
              </w:rPr>
              <w:t>ПКТ (либо эквивалент)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3.1.7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Номинальный ток предохранителя ВН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/>
            </w:pPr>
            <w:r>
              <w:rPr>
                <w:rStyle w:val="Strong"/>
                <w:rFonts w:eastAsia="Times New Roman" w:cs="Times New Roman"/>
                <w:b w:val="false"/>
                <w:bCs w:val="false"/>
                <w:kern w:val="0"/>
                <w:sz w:val="24"/>
                <w:szCs w:val="24"/>
                <w:lang w:val="ru-RU" w:eastAsia="ru-RU" w:bidi="ar-SA"/>
              </w:rPr>
              <w:t>160 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3.1.8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РУВН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3.1.9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ВНА-6(10)/400-4 шт,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3.1.10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2000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1000кВА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1000кВА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3.3.1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kern w:val="0"/>
                <w:sz w:val="24"/>
                <w:szCs w:val="24"/>
              </w:rPr>
              <w:t xml:space="preserve">ОПН 6/7,2 </w:t>
            </w:r>
            <w:r>
              <w:rPr>
                <w:rStyle w:val="Strong"/>
                <w:b w:val="false"/>
                <w:kern w:val="0"/>
                <w:sz w:val="24"/>
                <w:szCs w:val="24"/>
                <w:shd w:fill="FFFFFF" w:val="clear"/>
              </w:rPr>
              <w:t>(либо эквивалент)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3.3.2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6 шт (2 трехфазных комплекта)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3.3.3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шахтах вывода ВН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4.1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рубильнику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рубильника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РЕ19  (или эквивалент)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4.1.2</w:t>
            </w:r>
          </w:p>
        </w:tc>
        <w:tc>
          <w:tcPr>
            <w:tcW w:w="4323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3620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2000А2 шт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4.1.3</w:t>
            </w:r>
          </w:p>
        </w:tc>
        <w:tc>
          <w:tcPr>
            <w:tcW w:w="4323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Применить рубильники 0,4 кВ</w:t>
            </w:r>
          </w:p>
        </w:tc>
        <w:tc>
          <w:tcPr>
            <w:tcW w:w="3620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 диэлектрической рукоятью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4.2</w:t>
            </w:r>
          </w:p>
        </w:tc>
        <w:tc>
          <w:tcPr>
            <w:tcW w:w="4323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3620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323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3620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</w:rPr>
              <w:t>В соответствии с номинальным током силового трансформатора следующего габарита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1000кВА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жесткую ошиновку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(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медные или алюминиевые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вывод под трансформатор со стороны НН-РУНН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вводной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ВА (или эквивалент)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1600А 2 шт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вводные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4.4.1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ТТИ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РУНН перед вводным АВ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фаз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первичный ток, А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1600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4.4.5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вторичный ток, А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4.4.6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Класс точности: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для измерений и учета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0,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S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4.4.7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Межповерочный интервал трансформаторов тока 0,4 кВ,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4 лет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4.5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приборам учета э/э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4.5.1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на стороне  НН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Трехфазный прибор учета полукосвенного включения на общий ввод НН Меркурий 230 3х220|380В, 5 100А 0,5S(или эквивалент), 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4.5.2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Род установки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4.5.3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обогрев узла учета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4.6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4.6.1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ОПН 0,4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4.6.2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4.6.3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Род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На шинах РУ-0,4 кВ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безопасности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5.1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Степень защищенности КТПН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Оборудования ВН и НН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54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34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более 70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конструкции, изготовлению и материалам: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lang w:val="ru-RU" w:eastAsia="ru-RU" w:bidi="ar-SA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тамбура обслуживания РУ НН и РУ ВН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Нет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6.4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6.5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6.6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6.7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Конструкция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6.8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Вентиляция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6.9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6.10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6.11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6.13</w:t>
            </w:r>
          </w:p>
        </w:tc>
        <w:tc>
          <w:tcPr>
            <w:tcW w:w="4323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620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25х25 мм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</w:t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6.14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6.15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нутренние петли в конструкции дверей.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6.16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Для запирания дверей применить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т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6.17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Корпусах КТПН РУВН, РУНН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монтаж пола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Из рифленого листового железа толщиной не менее 4 мм,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6.18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2500 кг/м²;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6.19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10 лет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6.20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6.22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620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6.25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6.26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Оснастить выходы  ВЛ-6 кВ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специальными птицезащитными устройствами предотвращающими повреждение птиц (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Птицезащитное устройство колпачного типа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)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Указать тип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6.28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Короба ВН выполнить с учётом ветровых нагрузок (не менее 32 м/с.).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7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Сборно-разборному фундаменту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Сборно-разборный фундамент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должен иметь антикоррозионный слой со всех сторон.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Габаритные размеры сборно-разборного фундамента, мм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3540*4340 (Д*Ш*)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Высота не менее 500мм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Приложение к техническим требованиям №1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 Сборно-разборного фундамента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изготовления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Металлоконструкции с  применением профильной квадратной трубы не менее 100мм*100мм*4мм 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FFFFFF" w:fill="FFFFFF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 w:cs="Times New Roman"/>
                <w:sz w:val="24"/>
                <w:szCs w:val="24"/>
                <w:lang w:val="ru-RU" w:eastAsia="ru-RU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7.4</w:t>
            </w:r>
          </w:p>
        </w:tc>
        <w:tc>
          <w:tcPr>
            <w:tcW w:w="4334" w:type="dxa"/>
            <w:gridSpan w:val="2"/>
            <w:tcBorders/>
            <w:shd w:color="FFFFFF" w:fill="FFFFFF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Конструкция фундамента должна быть легко разборной и сборной </w:t>
            </w:r>
          </w:p>
        </w:tc>
        <w:tc>
          <w:tcPr>
            <w:tcW w:w="3609" w:type="dxa"/>
            <w:tcBorders/>
            <w:shd w:color="FFFFFF" w:fill="FFFFFF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FFFFFF" w:fill="FFFFFF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FFFFFF" w:fill="FFFFFF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FFFFFF" w:fill="FFFFFF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8.1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УХЛ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8.2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Оборудование НН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1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8.3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- УХЛ1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плюс 40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8.4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УХЛ1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Минус 60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8.5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Высота над уровнем моря, м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 1000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8.6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Толщина стенки гололеда, мм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25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8.7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наличии гололеда, м/с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15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8.8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отсутствии гололеда, м/с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40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8.9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Сейсмостойкость, баллов по шкале MSK-64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6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9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качеству поставляемой продукции: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9.1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iCs/>
                <w:sz w:val="24"/>
                <w:szCs w:val="24"/>
              </w:rPr>
            </w:pP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9.2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Год выпуска продукции (оборудования)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10.1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Место поставки продукции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Республика Саха (Якутия), г. Якутск, ул. Беринга, 42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10.2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обозначение стандартов или технических условий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Установить снаружи каждого корпуса КТПН распределительного устройство высокого напряжения РУ ВН атмосферостойкую металлическую бирку: «МТП Головная ДЭС Верхоянск»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10.3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Транспортная маркировка грузов - по ГОСТ 14192-96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10.4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10.5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620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10.6.</w:t>
            </w:r>
          </w:p>
        </w:tc>
        <w:tc>
          <w:tcPr>
            <w:tcW w:w="4334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Требование к окраске всех узлов и деталей корпуса КТП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rPr>
                <w:kern w:val="0"/>
              </w:rPr>
            </w:pPr>
            <w:r>
              <w:rPr>
                <w:kern w:val="0"/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10.7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хранения по ГОСТ 15150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8ОЖ3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10.8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транспортирования согласно ГОСТ 23216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Жесткие (Ж)</w:t>
            </w:r>
          </w:p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11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эксплуатации, обеспечению и утилизации:</w:t>
            </w:r>
          </w:p>
        </w:tc>
        <w:tc>
          <w:tcPr>
            <w:tcW w:w="36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Соответствие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Гарантийный срок эксплуатации КТПН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сервисных центров на территории РФ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12.3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620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13</w:t>
            </w:r>
          </w:p>
        </w:tc>
        <w:tc>
          <w:tcPr>
            <w:tcW w:w="4334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13.1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620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sz w:val="24"/>
                <w:szCs w:val="24"/>
              </w:rPr>
            </w:pPr>
            <w:bookmarkStart w:id="57" w:name="__RefHeading___Toc98312_4125836466_Копия"/>
            <w:bookmarkEnd w:id="57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bookmarkStart w:id="58" w:name="__RefHeading___Toc98312_4125836466"/>
            <w:bookmarkStart w:id="59" w:name="__RefHeading___Toc98312_4125836466"/>
            <w:bookmarkEnd w:id="59"/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886" w:hRule="atLeast"/>
        </w:trPr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13.2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экземпляр.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13.3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Эксплуатационная документация по ГОСТ  Р 2.601-2019, экземпляр.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1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Ведомость ЗИП.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Комплект предохранителей ВН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Приложить перечень ЗИП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76" w:before="0"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76" w:before="0" w:after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14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14.1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4334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60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2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61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5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15.1</w:t>
            </w:r>
          </w:p>
        </w:tc>
        <w:tc>
          <w:tcPr>
            <w:tcW w:w="4334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6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15.2</w:t>
            </w:r>
          </w:p>
        </w:tc>
        <w:tc>
          <w:tcPr>
            <w:tcW w:w="4323" w:type="dxa"/>
            <w:tcBorders>
              <w:right w:val="nil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620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2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61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5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60" w:name="__RefHeading___Toc147624_1601336961"/>
      <w:bookmarkStart w:id="61" w:name="_Toc184304512"/>
      <w:bookmarkStart w:id="62" w:name="_Toc149029442"/>
      <w:bookmarkEnd w:id="60"/>
      <w:bookmarkEnd w:id="62"/>
      <w:r>
        <w:rPr>
          <w:sz w:val="24"/>
          <w:szCs w:val="24"/>
        </w:rPr>
        <w:t>Таблица 3.2. Требования к продукции</w:t>
      </w:r>
      <w:bookmarkEnd w:id="61"/>
      <w:r>
        <w:rPr>
          <w:sz w:val="24"/>
          <w:szCs w:val="24"/>
        </w:rPr>
        <w:t xml:space="preserve"> </w:t>
      </w:r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</w:t>
      </w:r>
      <w:r>
        <w:rPr>
          <w:i/>
          <w:sz w:val="24"/>
          <w:szCs w:val="24"/>
        </w:rPr>
        <w:t>(позиция № 2 Таблицы 1.1):</w:t>
      </w:r>
      <w:r>
        <w:rPr>
          <w:b/>
          <w:bCs/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Корпус КТПН 100/10/0,4 кВ с разборно-сборным фундаментом и распределительными устройствами РУВН и РУНН 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Style w:val="1311"/>
        <w:tblpPr w:bottomFromText="0" w:horzAnchor="text" w:leftFromText="180" w:rightFromText="180" w:tblpX="0" w:tblpXSpec="left" w:tblpY="1" w:topFromText="0" w:vertAnchor="text"/>
        <w:tblW w:w="15495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709"/>
        <w:gridCol w:w="4562"/>
        <w:gridCol w:w="3280"/>
        <w:gridCol w:w="2058"/>
        <w:gridCol w:w="2499"/>
        <w:gridCol w:w="2386"/>
      </w:tblGrid>
      <w:tr>
        <w:trPr/>
        <w:tc>
          <w:tcPr>
            <w:tcW w:w="709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 xml:space="preserve">№ </w:t>
            </w: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п/п</w:t>
            </w:r>
          </w:p>
        </w:tc>
        <w:tc>
          <w:tcPr>
            <w:tcW w:w="4562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Наименование параметра</w:t>
            </w:r>
          </w:p>
        </w:tc>
        <w:tc>
          <w:tcPr>
            <w:tcW w:w="3280" w:type="dxa"/>
            <w:vMerge w:val="restart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Требование заказчика</w:t>
            </w: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</w:t>
            </w:r>
          </w:p>
        </w:tc>
        <w:tc>
          <w:tcPr>
            <w:tcW w:w="4557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Способ подтверждения участником соответствия требованиям</w:t>
            </w:r>
          </w:p>
        </w:tc>
        <w:tc>
          <w:tcPr>
            <w:tcW w:w="2386" w:type="dxa"/>
            <w:vMerge w:val="restart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709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562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280" w:type="dxa"/>
            <w:vMerge w:val="continue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требованием/ указание характеристик</w:t>
            </w:r>
          </w:p>
        </w:tc>
        <w:tc>
          <w:tcPr>
            <w:tcW w:w="249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Предоставление подтверждающего документа на этапе закупки</w:t>
            </w:r>
          </w:p>
        </w:tc>
        <w:tc>
          <w:tcPr>
            <w:tcW w:w="2386" w:type="dxa"/>
            <w:vMerge w:val="continue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58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249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ascii="Times New Roman" w:hAnsi="Times New Roman" w:cs="Times New Roman"/>
                <w:lang w:val="ru-RU" w:eastAsia="ru-RU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784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1.2.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3500*2150мм (Д*Ш)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100кВА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Силовые трансформаторы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Отсутствуют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Номинальная частота, Гц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1.5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1.6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Наибольшее рабочее напряжение на стороне ВН, кВ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1.7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вспомогательных цепей КТПН, В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более 400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1.8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технические требования к поставляемой продукции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1.9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 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1.10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Согласно п. 4.2.88 ПУЭ (изд. 7).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соответствии с п. 5.4.14. ПТЭ ЭСиС., п. 3.28., 7. ГОСТ 14695-80 «Подстанции трансформаторные комплектные мощностью от 25 до 2500 кВА на напряжение до 10 кВ»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проходных изоляторов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ИПК (полимерный).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опорных изоляторов в РУ ВН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ИОРП (полимерный).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1.14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1000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1.15</w:t>
            </w:r>
          </w:p>
        </w:tc>
        <w:tc>
          <w:tcPr>
            <w:tcW w:w="4562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kern w:val="0"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1.16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Высота траверсы ВН над уровнем крыши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Корпуса КТПН распредели</w:t>
            </w: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безопасности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тельного устройство высокого напряжения РУВН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1600 – 1800 мм.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1.17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Исполнение ввода ВН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1.18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Исполнение ввода НН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Корпусу КТПН силового трансформатора.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2.3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100/10/0.4 в корпусе трансформаторного отсека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 нагрузки</w:t>
            </w:r>
          </w:p>
        </w:tc>
        <w:tc>
          <w:tcPr>
            <w:tcW w:w="3280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/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ВНА-10/400 </w:t>
            </w:r>
            <w:r>
              <w:rPr>
                <w:rStyle w:val="Strong"/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(</w:t>
            </w:r>
            <w:r>
              <w:rPr>
                <w:rStyle w:val="Strong"/>
                <w:rFonts w:eastAsia="Times New Roman" w:cs="Times New Roman"/>
                <w:b w:val="false"/>
                <w:bCs w:val="false"/>
                <w:kern w:val="0"/>
                <w:sz w:val="24"/>
                <w:szCs w:val="24"/>
                <w:lang w:val="ru-RU" w:eastAsia="ru-RU" w:bidi="ar-SA"/>
              </w:rPr>
              <w:t>либо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 выключателя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Автогазовый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привода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Пружинный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Управление приводом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местное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3.1.5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встроенных элементов защиты и заземления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3.1.6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rStyle w:val="Strong"/>
                <w:b w:val="false"/>
                <w:bCs w:val="false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предохранителей ВН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/>
            </w:pPr>
            <w:r>
              <w:rPr>
                <w:rStyle w:val="Strong"/>
                <w:rFonts w:eastAsia="Times New Roman" w:cs="Times New Roman"/>
                <w:b w:val="false"/>
                <w:bCs w:val="false"/>
                <w:kern w:val="0"/>
                <w:sz w:val="24"/>
                <w:szCs w:val="24"/>
                <w:lang w:val="ru-RU" w:eastAsia="ru-RU" w:bidi="ar-SA"/>
              </w:rPr>
              <w:t>ПКТ (либо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3.1.7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Номинальный ток предохранителя ВН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b w:val="false"/>
                <w:color w:val="303030"/>
                <w:kern w:val="0"/>
                <w:sz w:val="24"/>
                <w:szCs w:val="24"/>
                <w:shd w:fill="FFFFFF" w:val="clear"/>
                <w:lang w:val="ru-RU" w:eastAsia="ru-RU" w:bidi="ar-SA"/>
              </w:rPr>
              <w:t>16А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3.1.8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ВН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3.1.9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ВНА-10/400-1 шт,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3.1.10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2000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100кВА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100кВА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3.3.1</w:t>
            </w:r>
          </w:p>
        </w:tc>
        <w:tc>
          <w:tcPr>
            <w:tcW w:w="4562" w:type="dxa"/>
            <w:tcBorders>
              <w:left w:val="nil"/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280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ОПН 10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lef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3.3.2</w:t>
            </w:r>
          </w:p>
        </w:tc>
        <w:tc>
          <w:tcPr>
            <w:tcW w:w="4562" w:type="dxa"/>
            <w:tcBorders>
              <w:top w:val="nil"/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3280" w:type="dxa"/>
            <w:tcBorders>
              <w:top w:val="nil"/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058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  <w:lef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3.3.3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шахте ввода ВН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4.1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рубильнику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562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рубильника</w:t>
            </w:r>
          </w:p>
        </w:tc>
        <w:tc>
          <w:tcPr>
            <w:tcW w:w="3280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РЕ19  (или эквивалент)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4.1.2</w:t>
            </w:r>
          </w:p>
        </w:tc>
        <w:tc>
          <w:tcPr>
            <w:tcW w:w="4562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3280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250А 1 шт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4.1.3</w:t>
            </w:r>
          </w:p>
        </w:tc>
        <w:tc>
          <w:tcPr>
            <w:tcW w:w="4562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Применить рубильники 0,4 кВ</w:t>
            </w:r>
          </w:p>
        </w:tc>
        <w:tc>
          <w:tcPr>
            <w:tcW w:w="3280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 диэлектрической рукоятью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4.2</w:t>
            </w:r>
          </w:p>
        </w:tc>
        <w:tc>
          <w:tcPr>
            <w:tcW w:w="4562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3280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562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3280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100кВА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жесткую ошиновку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(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медные или алюминиевые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вывод под трансформатор со стороны НН-РУНН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вводной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ВА 57-35 (или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160А 1 шт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фидерные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Optimat D 250N (или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125А-1 шт, 100А-1шт, 80А-1шт, 40А-1шт, 25А-1шт.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расцепителя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Тепловой и электромагнитный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Защита от перегрузок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4.3.5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Защита от токов короткого замыкания</w:t>
            </w:r>
          </w:p>
        </w:tc>
        <w:tc>
          <w:tcPr>
            <w:tcW w:w="3280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Уставка расцепителя тока короткого замыкания 10ln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ТТИ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РУНН перед вводным АВ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фаз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6 (3 на показания Амперметров, 3 на учет)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первичный ток, 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150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4.4.5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вторичный ток, 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4.4.6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Класс точности: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для измерений и учета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0,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S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4.4.7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Межповерочный интервал трансформаторов тока 0,4 кВ,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4 лет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4.5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Требование к узлу учета электроэнергии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4.5.1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на стороне  НН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</w:t>
            </w:r>
            <w:bookmarkStart w:id="63" w:name="_GoBack_Копия_1"/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эквивалент</w:t>
            </w:r>
            <w:bookmarkEnd w:id="63"/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4"/>
                <w:szCs w:val="24"/>
                <w:lang w:val="ru-RU" w:eastAsia="ru-RU" w:bidi="ar-SA"/>
              </w:rPr>
              <w:t>обогрев узла учета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4.6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4.6.1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ОПН 0,4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4.6.2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4.6.3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Род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На шинах РУ-0,4 кВ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безопасности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5.1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КТПН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Оборудования ВН и НН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54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</w:rPr>
            </w:pPr>
            <w:r>
              <w:rPr>
                <w:bCs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34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более 70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конструкции, изготовлению и материалам: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тамбура обслуживания РУ НН и РУ ВН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6.5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6.6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6.7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Конструкция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6.8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Вентиляция  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6.9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6.10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25х25 мм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6.15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нутренние петли в конструкции дверей.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6.16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Для запирания дверей применить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т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6.17</w:t>
            </w:r>
          </w:p>
        </w:tc>
        <w:tc>
          <w:tcPr>
            <w:tcW w:w="4562" w:type="dxa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Корпусах КТПН РУВН, РУНН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монтаж пола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Из рифленого листового железа толщиной не менее 4 мм,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6.18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2500 кг/м²;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6.19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10 лет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6.20</w:t>
            </w:r>
          </w:p>
        </w:tc>
        <w:tc>
          <w:tcPr>
            <w:tcW w:w="456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280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6.21</w:t>
            </w:r>
          </w:p>
        </w:tc>
        <w:tc>
          <w:tcPr>
            <w:tcW w:w="4562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54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6.24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6.25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6.26</w:t>
            </w:r>
          </w:p>
        </w:tc>
        <w:tc>
          <w:tcPr>
            <w:tcW w:w="4562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Оснастить заходы  ВЛ 6- 10 кВ  в Корпус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Указать тип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6.27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7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Сборно-разборному фундаменту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Сборно-разборный фундамент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должен иметь антикоррозионный слой со всех сторон.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7.2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Габаритные размеры сборно-разборного фундамента, мм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3540*2190 (Д*Ш*)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Высота не менее 500мм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Приложение к техническим требованиям  №2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 Сборно-разборного фундамента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7.3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изготовления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8.1</w:t>
            </w:r>
          </w:p>
        </w:tc>
        <w:tc>
          <w:tcPr>
            <w:tcW w:w="456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УХЛ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8.2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Оборудование НН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1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8.3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- УХЛ1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плюс 40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8.4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УХЛ1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Минус 60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8.5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Высота над уровнем моря, м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 1000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8.6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Толщина стенки гололеда, мм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25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8.7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наличии гололеда, м/с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15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8.8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отсутствии гололеда, м/с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40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8.9</w:t>
            </w:r>
          </w:p>
        </w:tc>
        <w:tc>
          <w:tcPr>
            <w:tcW w:w="456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Сейсмостойкость, баллов по шкале MSK-64</w:t>
            </w:r>
          </w:p>
        </w:tc>
        <w:tc>
          <w:tcPr>
            <w:tcW w:w="3280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6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9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качеству поставляемой продукции: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9.1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iCs/>
                <w:sz w:val="24"/>
                <w:szCs w:val="24"/>
              </w:rPr>
            </w:pP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9.2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Год выпуска продукции (оборудования)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10.1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Место поставки продукции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Республика Саха (Якутия), г. Якутск, ул. Беринга, 42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10.2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обозначение стандартов или технических условий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установить снаружи каждого корпуса КТПН распределительного устройство высокого напряжения РУ ВН атмосферостойкие металлические бирки: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1. «ТП №2 Сылгы-Ытар»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2. «ТП№3 Сылгы-Ытар»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3. «ТП№3 Алеко-Кюель»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10.3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Транспортная маркировка грузов - по ГОСТ 14192-96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10.4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10.5</w:t>
            </w:r>
          </w:p>
        </w:tc>
        <w:tc>
          <w:tcPr>
            <w:tcW w:w="456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280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10.6.</w:t>
            </w:r>
          </w:p>
        </w:tc>
        <w:tc>
          <w:tcPr>
            <w:tcW w:w="456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Требование к окраске всех узлов и деталей корпуса КТП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rPr>
                <w:kern w:val="0"/>
              </w:rPr>
            </w:pPr>
            <w:r>
              <w:rPr>
                <w:kern w:val="0"/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10.7</w:t>
            </w:r>
          </w:p>
        </w:tc>
        <w:tc>
          <w:tcPr>
            <w:tcW w:w="456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хранения по ГОСТ 15150</w:t>
            </w:r>
          </w:p>
        </w:tc>
        <w:tc>
          <w:tcPr>
            <w:tcW w:w="3280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8ОЖ3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10.8</w:t>
            </w:r>
          </w:p>
        </w:tc>
        <w:tc>
          <w:tcPr>
            <w:tcW w:w="456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транспортирования согласно ГОСТ 23216</w:t>
            </w:r>
          </w:p>
        </w:tc>
        <w:tc>
          <w:tcPr>
            <w:tcW w:w="3280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Жесткие (Ж)</w:t>
            </w:r>
          </w:p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11</w:t>
            </w:r>
          </w:p>
        </w:tc>
        <w:tc>
          <w:tcPr>
            <w:tcW w:w="4562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эксплуатации, обеспечению и утилизации: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11.1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11.2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Соответствие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12.1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Гарантийный срок эксплуатации КТПН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12.2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сервисных центров на территории РФ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12.3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13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13.1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sz w:val="24"/>
                <w:szCs w:val="24"/>
              </w:rPr>
            </w:pPr>
            <w:bookmarkStart w:id="64" w:name="__RefHeading___Toc98316_4125836466"/>
            <w:bookmarkEnd w:id="64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13.2</w:t>
            </w:r>
          </w:p>
        </w:tc>
        <w:tc>
          <w:tcPr>
            <w:tcW w:w="4562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13.3</w:t>
            </w:r>
          </w:p>
        </w:tc>
        <w:tc>
          <w:tcPr>
            <w:tcW w:w="456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Эксплуатационная документация по ГОСТ  Р 2.601-2019, экз.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1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13.4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Ведомость ЗИП.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Комплект предохранителей на ВН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Приложить перечень ЗИП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14</w:t>
            </w:r>
          </w:p>
        </w:tc>
        <w:tc>
          <w:tcPr>
            <w:tcW w:w="4562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280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>
          <w:trHeight w:val="88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14.1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15.1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15.2</w:t>
            </w:r>
          </w:p>
        </w:tc>
        <w:tc>
          <w:tcPr>
            <w:tcW w:w="456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280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6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65" w:name="__RefHeading___Toc147624_1601336961_Копи"/>
      <w:bookmarkStart w:id="66" w:name="_Toc184304512_Копия_1"/>
      <w:bookmarkStart w:id="67" w:name="_Toc149029442_Копия_1"/>
      <w:bookmarkEnd w:id="65"/>
      <w:bookmarkEnd w:id="67"/>
      <w:r>
        <w:rPr>
          <w:sz w:val="24"/>
          <w:szCs w:val="24"/>
        </w:rPr>
        <w:t>Таблица 3.3. Требования к продукции</w:t>
      </w:r>
      <w:bookmarkEnd w:id="66"/>
      <w:r>
        <w:rPr>
          <w:sz w:val="24"/>
          <w:szCs w:val="24"/>
        </w:rPr>
        <w:t xml:space="preserve"> 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Наименование продукции </w:t>
      </w:r>
      <w:r>
        <w:rPr>
          <w:b/>
          <w:i/>
          <w:sz w:val="24"/>
          <w:szCs w:val="24"/>
        </w:rPr>
        <w:t>(позиция № 3 Таблицы 1.1):</w:t>
      </w:r>
      <w:r>
        <w:rPr>
          <w:b/>
          <w:bCs/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Корпус КТПН 100/6/0,4 кВ с разборно-сборным фундаментом и распределительными устройствами РУВН и РУНН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Style w:val="1311"/>
        <w:tblpPr w:bottomFromText="0" w:horzAnchor="text" w:leftFromText="180" w:rightFromText="180" w:tblpX="0" w:tblpXSpec="left" w:tblpY="1" w:topFromText="0" w:vertAnchor="text"/>
        <w:tblW w:w="15495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709"/>
        <w:gridCol w:w="4537"/>
        <w:gridCol w:w="20"/>
        <w:gridCol w:w="3282"/>
        <w:gridCol w:w="2058"/>
        <w:gridCol w:w="2499"/>
        <w:gridCol w:w="2389"/>
      </w:tblGrid>
      <w:tr>
        <w:trPr/>
        <w:tc>
          <w:tcPr>
            <w:tcW w:w="709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 xml:space="preserve">№ </w:t>
            </w: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п/п</w:t>
            </w:r>
          </w:p>
        </w:tc>
        <w:tc>
          <w:tcPr>
            <w:tcW w:w="4537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Наименование параметра</w:t>
            </w:r>
          </w:p>
        </w:tc>
        <w:tc>
          <w:tcPr>
            <w:tcW w:w="3302" w:type="dxa"/>
            <w:gridSpan w:val="2"/>
            <w:vMerge w:val="restart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Требование заказчика</w:t>
            </w: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</w:t>
            </w:r>
          </w:p>
        </w:tc>
        <w:tc>
          <w:tcPr>
            <w:tcW w:w="4557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Способ подтверждения участником соответствия требованиям</w:t>
            </w:r>
          </w:p>
        </w:tc>
        <w:tc>
          <w:tcPr>
            <w:tcW w:w="2389" w:type="dxa"/>
            <w:vMerge w:val="restart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709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537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302" w:type="dxa"/>
            <w:gridSpan w:val="2"/>
            <w:vMerge w:val="continue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требованием/ указание характеристик</w:t>
            </w:r>
          </w:p>
        </w:tc>
        <w:tc>
          <w:tcPr>
            <w:tcW w:w="249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Предоставление подтверждающего документа на этапе закупки</w:t>
            </w:r>
          </w:p>
        </w:tc>
        <w:tc>
          <w:tcPr>
            <w:tcW w:w="2389" w:type="dxa"/>
            <w:vMerge w:val="continue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58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249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ascii="Times New Roman" w:hAnsi="Times New Roman" w:cs="Times New Roman"/>
                <w:lang w:val="ru-RU" w:eastAsia="ru-RU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328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lang w:val="ru-RU" w:eastAsia="ru-RU" w:bidi="ar-SA"/>
              </w:rPr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1.2.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3500*2150мм (Д*Ш)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100кВА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Силовые трансформаторы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Отсутствуют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Номинальная частота, Гц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1.5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Наибольшее рабочее напряжение на стороне ВН, кВ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7,2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1.7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вспомогательных цепей КТПН, В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более 400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1.8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технические требования к поставляемой продукции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1.9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 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1.10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Согласно п. 4.2.88 ПУЭ (изд. 7).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соответствии с п. 5.4.14. ПТЭ - На металлических частях корпусов оборудования должна быть обозначена расцветка фаз. ., п. 1.1.30. ПУЭ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проходных изоляторов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ИПК (полимерный).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опорных изоляторов в РУ ВН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ИОРП (полимерный).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1000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1.15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kern w:val="0"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1.16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Высота траверсы ВН над уровнем крыши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1600 – 1800 мм.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1.17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Исполнение ввода ВН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1.18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Исполнение ввода НН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Корпусу КТПН силового трансформатора.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100/6/0.4 в корпусе трансформаторного отсека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 нагрузки</w:t>
            </w:r>
          </w:p>
        </w:tc>
        <w:tc>
          <w:tcPr>
            <w:tcW w:w="3302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302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10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/400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0,5(либо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 выключателя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Автогазовый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привода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Пружинный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Управление приводом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местное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3.1.5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встроенных элементов защиты и заземления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предохранителей ВН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b w:val="false"/>
                <w:color w:val="303030"/>
                <w:kern w:val="0"/>
                <w:sz w:val="24"/>
                <w:szCs w:val="24"/>
                <w:shd w:fill="FFFFFF" w:val="clear"/>
                <w:lang w:val="ru-RU" w:eastAsia="ru-RU" w:bidi="ar-SA"/>
              </w:rPr>
              <w:t>ПКТ  (либо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3.1.7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Номинальный ток предохранителя ВН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b w:val="false"/>
                <w:color w:val="303030"/>
                <w:kern w:val="0"/>
                <w:sz w:val="24"/>
                <w:szCs w:val="24"/>
                <w:shd w:fill="FFFFFF" w:val="clear"/>
                <w:lang w:val="ru-RU" w:eastAsia="ru-RU" w:bidi="ar-SA"/>
              </w:rPr>
              <w:t>20А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3.1.8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ВН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3.1.9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ВНА-10/400-1 шт,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3.1.10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2000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100кВА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100кВА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282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ОПН 6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3.3.2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3.3.3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шахте ввода ВН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рубильнику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рубильника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РЕ19  (или эквивалент)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4.1.2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250А 1 шт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4.1.3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Применить рубильники 0,4 кВ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 диэлектрической рукоятью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4.2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100кВА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жесткую ошиновку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(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медные или алюминиевые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вывод под трансформатор со стороны НН-РУНН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вводной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ВА 57-35 (или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160А 1 шт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фидерные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Optimat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D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250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N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(или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125А-1 шт, 100А-1шт, 80А-1шт, 40А-1шт, 25А-1шт.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расцепителя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Тепловой и электромагнитный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Защита от перегрузок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4.3.5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Защита от токов короткого замыкания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Уставка расцепителя тока короткого замыкания 10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ln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ТТИ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РУНН перед вводным АВ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фаз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6 (3 на показания Амперметров, 3 на учет)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первичный ток, 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150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4.4.5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вторичный ток, 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Класс точности: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для измерений и учета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0,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S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4.4.7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Межповерочный интервал трансформаторов тока 0,4 кВ,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4 лет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4.5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Требование к узлу учета электроэнергии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на стороне  НН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эквивалент)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Род установки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отдельном шкафу учета жесткой конструкции (согласно п.1.5.29 ПУЭ) обшить теплоизоляцией пенофол В-05.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обогрев узла учета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4.6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3302" w:type="dxa"/>
            <w:gridSpan w:val="2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4.6.1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3302" w:type="dxa"/>
            <w:gridSpan w:val="2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ОПН 0,4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4.6.2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3302" w:type="dxa"/>
            <w:gridSpan w:val="2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4.6.3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Род</w:t>
            </w:r>
          </w:p>
        </w:tc>
        <w:tc>
          <w:tcPr>
            <w:tcW w:w="3302" w:type="dxa"/>
            <w:gridSpan w:val="2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На шинах РУ-0,4 кВ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безопасности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КТПН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Оборудования ВН и НН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54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34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более 70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конструкции, изготовлению и материалам: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тамбура обслуживания РУ НН и РУ ВН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Нет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6.5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6.7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Конструкция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6.8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Вентиляция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6.9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6.10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25х25 мм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6.15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нутренние петли в конструкции дверей.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6.16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Для запирания дверей применить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т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6.17</w:t>
            </w:r>
          </w:p>
        </w:tc>
        <w:tc>
          <w:tcPr>
            <w:tcW w:w="4557" w:type="dxa"/>
            <w:gridSpan w:val="2"/>
            <w:tcBorders>
              <w:top w:val="nil"/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Корпусах КТПН РУВН, РУНН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монтаж пола</w:t>
            </w:r>
          </w:p>
        </w:tc>
        <w:tc>
          <w:tcPr>
            <w:tcW w:w="328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Из рифленого листового железа толщиной не менее 4 мм,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6.18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2500 кг/м²;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6.19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10 лет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6.20</w:t>
            </w:r>
          </w:p>
        </w:tc>
        <w:tc>
          <w:tcPr>
            <w:tcW w:w="4537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302" w:type="dxa"/>
            <w:gridSpan w:val="2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6.21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54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6.24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6.25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6.26</w:t>
            </w:r>
          </w:p>
        </w:tc>
        <w:tc>
          <w:tcPr>
            <w:tcW w:w="4557" w:type="dxa"/>
            <w:gridSpan w:val="2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Оснастить заходы  ВЛ 6- 10 кВ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специальными птицезащитными устройствами предотвращающими повреждение птиц (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Птицезащитное устройство колпачного типа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)</w:t>
            </w:r>
          </w:p>
        </w:tc>
        <w:tc>
          <w:tcPr>
            <w:tcW w:w="3282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Указать тип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6.27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7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Сборно-разборному фундаменту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Сборно-разборный фундамент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должен иметь антикоррозионный слой со всех сторон.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7.2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Габаритные размеры сборно-разборного фундамента, мм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3540*2190 (Д*Ш*)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Высота не менее 500мм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Приложение к техническим требованиям  №3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 Сборно-разборного фундамента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7.3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изготовления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8.1</w:t>
            </w:r>
          </w:p>
        </w:tc>
        <w:tc>
          <w:tcPr>
            <w:tcW w:w="4537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УХЛ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8.2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Оборудование НН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1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8.3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- УХЛ1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плюс 40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8.4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УХЛ1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Минус 60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8.5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Высота над уровнем моря, м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 1000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8.6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Толщина стенки гололеда, мм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25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8.7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наличии гололеда, м/с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15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8.8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отсутствии гололеда, м/с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40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8.9</w:t>
            </w:r>
          </w:p>
        </w:tc>
        <w:tc>
          <w:tcPr>
            <w:tcW w:w="453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Сейсмостойкость, баллов по шкале MSK-64</w:t>
            </w:r>
          </w:p>
        </w:tc>
        <w:tc>
          <w:tcPr>
            <w:tcW w:w="3302" w:type="dxa"/>
            <w:gridSpan w:val="2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6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9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качеству поставляемой продукции: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9.1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iCs/>
                <w:sz w:val="24"/>
                <w:szCs w:val="24"/>
              </w:rPr>
            </w:pP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9.2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Год выпуска продукции (оборудования)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10.1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Место поставки продукции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Республика Саха (Якутия), г. Якутск, ул. Беринга, 42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10.2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обозначение стандартов или технических условий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установить снаружи каждого корпуса КТПН распределительного устройство высокого напряжения РУ ВН атмосферостойкие металлические бирки: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rFonts w:eastAsia="Times New Roman" w:cs="Times New Roman"/>
                <w:sz w:val="24"/>
                <w:szCs w:val="24"/>
                <w:highlight w:val="none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1. «ТП №6 Сангар»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2. «ТП «УДК Сангар»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10.3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Транспортная маркировка грузов - по ГОСТ 14192-96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10.4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10.5</w:t>
            </w:r>
          </w:p>
        </w:tc>
        <w:tc>
          <w:tcPr>
            <w:tcW w:w="453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302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10.6.</w:t>
            </w:r>
          </w:p>
        </w:tc>
        <w:tc>
          <w:tcPr>
            <w:tcW w:w="453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Требование к окраске всех узлов и деталей корпуса КТП</w:t>
            </w:r>
          </w:p>
        </w:tc>
        <w:tc>
          <w:tcPr>
            <w:tcW w:w="3302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kern w:val="0"/>
              </w:rPr>
            </w:pPr>
            <w:r>
              <w:rPr>
                <w:kern w:val="0"/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10.7</w:t>
            </w:r>
          </w:p>
        </w:tc>
        <w:tc>
          <w:tcPr>
            <w:tcW w:w="453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хранения по ГОСТ 15150</w:t>
            </w:r>
          </w:p>
        </w:tc>
        <w:tc>
          <w:tcPr>
            <w:tcW w:w="3302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8ОЖ3</w:t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10.8</w:t>
            </w:r>
          </w:p>
        </w:tc>
        <w:tc>
          <w:tcPr>
            <w:tcW w:w="453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транспортирования согласно ГОСТ 23216</w:t>
            </w:r>
          </w:p>
        </w:tc>
        <w:tc>
          <w:tcPr>
            <w:tcW w:w="3302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Жесткие (Ж)</w:t>
            </w:r>
          </w:p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11</w:t>
            </w:r>
          </w:p>
        </w:tc>
        <w:tc>
          <w:tcPr>
            <w:tcW w:w="7839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эксплуатации, обеспечению и утилизации: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11.1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11.2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Соответствие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12.1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Гарантийный срок эксплуатации КТПН</w:t>
            </w:r>
          </w:p>
        </w:tc>
        <w:tc>
          <w:tcPr>
            <w:tcW w:w="330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12.2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сервисных центров на территории РФ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12.3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13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13.1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sz w:val="24"/>
                <w:szCs w:val="24"/>
              </w:rPr>
            </w:pPr>
            <w:bookmarkStart w:id="68" w:name="__RefHeading___Toc98316_4125836466_Копия"/>
            <w:bookmarkEnd w:id="68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13.2</w:t>
            </w:r>
          </w:p>
        </w:tc>
        <w:tc>
          <w:tcPr>
            <w:tcW w:w="4557" w:type="dxa"/>
            <w:gridSpan w:val="2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3282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13.3</w:t>
            </w:r>
          </w:p>
        </w:tc>
        <w:tc>
          <w:tcPr>
            <w:tcW w:w="4537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Эксплуатационная документация по ГОСТ  Р 2.601-2019, экз.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1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13.4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Ведомость ЗИП.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Комплект предохранителей на ВН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Приложить перечень ЗИП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14</w:t>
            </w:r>
          </w:p>
        </w:tc>
        <w:tc>
          <w:tcPr>
            <w:tcW w:w="4557" w:type="dxa"/>
            <w:gridSpan w:val="2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282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>
          <w:trHeight w:val="88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14.1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15.1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15.2</w:t>
            </w:r>
          </w:p>
        </w:tc>
        <w:tc>
          <w:tcPr>
            <w:tcW w:w="453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302" w:type="dxa"/>
            <w:gridSpan w:val="2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05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49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389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69" w:name="__RefHeading___Toc147626_1601336961"/>
      <w:bookmarkStart w:id="70" w:name="_Toc184304513"/>
      <w:bookmarkStart w:id="71" w:name="_Toc149029442_Копия_1_Копия_1"/>
      <w:bookmarkEnd w:id="69"/>
      <w:bookmarkEnd w:id="71"/>
      <w:r>
        <w:rPr>
          <w:sz w:val="24"/>
          <w:szCs w:val="24"/>
        </w:rPr>
        <w:t>Таблица 3.4 Требования к продукции</w:t>
      </w:r>
      <w:bookmarkEnd w:id="70"/>
      <w:r>
        <w:rPr>
          <w:sz w:val="24"/>
          <w:szCs w:val="24"/>
        </w:rPr>
        <w:t xml:space="preserve"> </w:t>
      </w:r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(позиция № 4 Таблицы 1.1):  </w:t>
      </w:r>
      <w:r>
        <w:rPr>
          <w:i/>
          <w:iCs/>
          <w:sz w:val="24"/>
          <w:szCs w:val="24"/>
        </w:rPr>
        <w:t xml:space="preserve">Корпус КТПН 160/10/0,4 кВ с разборно-сборным фундаментом и распределительными устройствами РУВН и РУНН </w:t>
      </w:r>
    </w:p>
    <w:tbl>
      <w:tblPr>
        <w:tblpPr w:bottomFromText="0" w:horzAnchor="text" w:leftFromText="180" w:rightFromText="180" w:tblpX="75" w:tblpY="1" w:topFromText="0" w:vertAnchor="text"/>
        <w:tblW w:w="15276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849"/>
        <w:gridCol w:w="4135"/>
        <w:gridCol w:w="3628"/>
        <w:gridCol w:w="1986"/>
        <w:gridCol w:w="2551"/>
        <w:gridCol w:w="2126"/>
      </w:tblGrid>
      <w:tr>
        <w:trPr/>
        <w:tc>
          <w:tcPr>
            <w:tcW w:w="8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4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36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84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13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62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jc w:val="center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center"/>
              <w:rPr/>
            </w:pPr>
            <w:r>
              <w:rPr>
                <w:rFonts w:eastAsia="Calibri"/>
                <w:b/>
                <w:sz w:val="24"/>
                <w:szCs w:val="24"/>
              </w:rPr>
              <w:t>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КТПН (включая гарантируемые показатели)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80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1.2.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3500*2150мм (Д*Ш)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160кВА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Силовые трансформаторы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Отсутствуют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вспомогательных цепей КТПН, 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 400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технические требования к поставляемой продукции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1.9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1.10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Согласно п. 4.2.88 ПУЭ (изд. 7).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соответствии с п. 5.4.14. ПТЭ - На металлических частях корпусов оборудования должна быть обозначена расцветка фаз. ., п. 1.1.30. ПУЭ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проходных изоляторов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ИПК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опорных изоляторов в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ИОРП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1.15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Высота траверсы ВН над уровнем крыши </w:t>
            </w:r>
            <w:r>
              <w:rPr>
                <w:sz w:val="24"/>
                <w:szCs w:val="24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1600 – 1800 мм.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1.17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Исполнение ввода ВН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1.18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sz w:val="24"/>
              </w:rPr>
              <w:t>Исполнение ввода НН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Корпусу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12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/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160/10/0.4 в корпусе трансформаторного отсека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8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 нагрузки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rStyle w:val="Strong"/>
                <w:b w:val="false"/>
                <w:bCs w:val="false"/>
                <w:sz w:val="24"/>
                <w:szCs w:val="24"/>
              </w:rPr>
              <w:t>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предохранителей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bCs w:val="false"/>
                <w:sz w:val="24"/>
                <w:szCs w:val="24"/>
              </w:rPr>
              <w:t>ПКТ  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b w:val="false"/>
                <w:color w:val="303030"/>
                <w:sz w:val="24"/>
                <w:szCs w:val="24"/>
                <w:shd w:fill="FFFFFF" w:val="clear"/>
              </w:rPr>
              <w:t>20А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3.1.9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ВНА-10/400-1 шт,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3.1.10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160кВА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Номинальный ток сборных шин,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160кВА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ОПН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ОПН 10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3.3.3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 шахте ввода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87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рубильнику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87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4.1.1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РЕ19  (или эквивалент)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4.1.2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 1 шт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4.1.3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4.2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87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160кВА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жесткую ошиновку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color w:val="000000"/>
                <w:sz w:val="24"/>
                <w:szCs w:val="24"/>
              </w:rPr>
              <w:t>медные или алюминиевые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вывод под трансформатор со стороны НН-РУНН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/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 57-39(или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 1 шт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Optimat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250</w:t>
            </w:r>
            <w:r>
              <w:rPr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</w:rPr>
              <w:t xml:space="preserve"> 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250А-1 шт, 125А-1шт, 100А-1шт, 80А-1шт, 25А-1шт.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Уставка расцепителя тока короткого замыкания 10</w:t>
            </w:r>
            <w:r>
              <w:rPr>
                <w:sz w:val="24"/>
                <w:szCs w:val="24"/>
                <w:lang w:val="en-US"/>
              </w:rPr>
              <w:t>ln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/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РУНН перед вводным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(3 на показания Амперметров, 3 на учет)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Требование к узлу учета электроэнергии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/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</w:t>
            </w:r>
            <w:bookmarkStart w:id="72" w:name="_GoBack_Копия_1_Копия_2"/>
            <w:r>
              <w:rPr>
                <w:sz w:val="24"/>
                <w:szCs w:val="24"/>
              </w:rPr>
              <w:t>эквивалент</w:t>
            </w:r>
            <w:bookmarkEnd w:id="72"/>
            <w:r>
              <w:rPr>
                <w:sz w:val="24"/>
                <w:szCs w:val="24"/>
              </w:rPr>
              <w:t>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обогрев узла учета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4.6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ОПН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4.6.1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ОПН 0,4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4.6.2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4.6.3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безопасности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/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Оборудования ВН и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тамбура обслуживания РУ НН и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Конструкция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8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Вентиляция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0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6.9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1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6.10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08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1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41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>
              <w:rPr>
                <w:color w:val="000000"/>
                <w:sz w:val="24"/>
                <w:szCs w:val="24"/>
              </w:rPr>
              <w:t>нутренние петли в конструкции дверей.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60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запирания дверей применить</w:t>
            </w:r>
            <w:r>
              <w:rPr>
                <w:sz w:val="24"/>
                <w:szCs w:val="24"/>
              </w:rPr>
              <w:t xml:space="preserve"> т</w:t>
            </w:r>
            <w:r>
              <w:rPr>
                <w:color w:val="000000"/>
                <w:sz w:val="24"/>
                <w:szCs w:val="24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Корпусах КТПН РУВН, РУНН </w:t>
            </w:r>
            <w:r>
              <w:rPr>
                <w:color w:val="000000"/>
                <w:sz w:val="24"/>
                <w:szCs w:val="24"/>
              </w:rPr>
              <w:t>предусмотреть монтаж пола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2500 кг/м²;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6.19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17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6.20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81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7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76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6.24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76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6.25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Оснастить заходы  ВЛ 6- 10 кВ</w:t>
            </w:r>
            <w:r>
              <w:rPr>
                <w:sz w:val="24"/>
                <w:szCs w:val="24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специальными птицезащитными устройствами предотвращающими повреждение птиц (</w:t>
            </w:r>
            <w:r>
              <w:rPr>
                <w:sz w:val="24"/>
                <w:szCs w:val="24"/>
              </w:rPr>
              <w:t>Птицезащитное устройство колпачного типа</w:t>
            </w:r>
            <w:r>
              <w:rPr>
                <w:color w:val="000000"/>
                <w:sz w:val="24"/>
                <w:szCs w:val="24"/>
              </w:rPr>
              <w:t xml:space="preserve"> 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Сборно-разборному фундаменту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4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Сборно-разборный фундамент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должен иметь антикоррозионный слой со всех сторон.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Габаритные размеры сборно-разборного фундамента,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3540*2190 (Д*Ш*)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Высота не менее 500мм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 к техническим требованиям №4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Сборно-разборного фундамента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изготовления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72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- УХЛ1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УХЛ1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Минус 60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7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9.6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Толщина стенки гололеда,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25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2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9.9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Сейсмостойкость, баллов по шкале MSK-64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8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7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 Саха (Якутия), г. Якутск, ул. Беринга, 42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обозначение стандартов или технических условий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установить снаружи каждого корпуса КТПН распределительного устройство высокого напряжения РУ ВН атмосферостойкие металлические бирки: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1. «ТП №3 Усть-Миль»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2. « ТП №7 п. Кюсюр»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3. «ТП№3 Кораблик Белая гора»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11.5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11.6.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11.7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11.8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7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Соответствие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14.1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bookmarkStart w:id="73" w:name="__RefHeading___Toc98320_4125836466"/>
            <w:bookmarkEnd w:id="73"/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14.2</w:t>
            </w:r>
          </w:p>
        </w:tc>
        <w:tc>
          <w:tcPr>
            <w:tcW w:w="4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14.3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14.4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Ведомость ЗИП.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предохранителей ВН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15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4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74" w:name="__RefHeading___Toc147628_1601336961"/>
      <w:bookmarkStart w:id="75" w:name="_Toc184304514"/>
      <w:bookmarkEnd w:id="74"/>
      <w:r>
        <w:rPr>
          <w:sz w:val="24"/>
          <w:szCs w:val="24"/>
        </w:rPr>
        <w:t>Таблица 3.5 Требования к продукции</w:t>
      </w:r>
      <w:bookmarkEnd w:id="75"/>
      <w:r>
        <w:rPr>
          <w:sz w:val="24"/>
          <w:szCs w:val="24"/>
        </w:rPr>
        <w:t xml:space="preserve"> </w:t>
      </w:r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(позиция № 5 Таблицы 1.1):  </w:t>
      </w:r>
      <w:r>
        <w:rPr>
          <w:i/>
          <w:iCs/>
          <w:sz w:val="24"/>
          <w:szCs w:val="24"/>
        </w:rPr>
        <w:t xml:space="preserve">Корпус КТПН 160/6/0.4 с разборно-сборным фундаментом и распределительными устройствами РУ ВН  и РУНН </w:t>
      </w:r>
    </w:p>
    <w:tbl>
      <w:tblPr>
        <w:tblpPr w:bottomFromText="0" w:horzAnchor="text" w:leftFromText="180" w:rightFromText="180" w:tblpX="75" w:tblpY="1" w:topFromText="0" w:vertAnchor="text"/>
        <w:tblW w:w="15276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817"/>
        <w:gridCol w:w="4167"/>
        <w:gridCol w:w="3628"/>
        <w:gridCol w:w="1986"/>
        <w:gridCol w:w="2551"/>
        <w:gridCol w:w="2126"/>
      </w:tblGrid>
      <w:tr>
        <w:trPr/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41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36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81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16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62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jc w:val="center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center"/>
              <w:rPr/>
            </w:pPr>
            <w:r>
              <w:rPr>
                <w:rFonts w:eastAsia="Calibri"/>
                <w:b/>
                <w:sz w:val="24"/>
                <w:szCs w:val="24"/>
              </w:rPr>
              <w:t>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КТПН (включая гарантируемые показатели)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80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1.2.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3500*2150мм (Д*Ш)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160кВА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Силовые трансформаторы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Отсутствуют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вспомогательных цепей КТПН, 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 400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технические требования к поставляемой продукции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цепями;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Согласно п. 4.2.88 ПУЭ (изд. 7).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соответствии с п. 5.4.14. ПТЭ - На металлических частях корпусов оборудования должна быть обозначена расцветка фаз. ., п. 1.1.30. ПУЭ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проходных изоляторов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ИПК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опорных изоляторов в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ИОРП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1.15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Высота траверсы ВН над уровнем крыши </w:t>
            </w:r>
            <w:r>
              <w:rPr>
                <w:sz w:val="24"/>
                <w:szCs w:val="24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1600 – 1800 мм.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1.17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/>
            </w:pPr>
            <w:r>
              <w:rPr>
                <w:bCs/>
              </w:rPr>
              <w:t>Исполнение ввода ВН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1.18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/>
            </w:pPr>
            <w:r>
              <w:rPr/>
              <w:t>Исполнение ввода НН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Корпусу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97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/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160/6/0.4 в корпусе трансформаторного отсека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8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 нагрузки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</w:t>
            </w:r>
            <w:r>
              <w:rPr>
                <w:color w:val="000000"/>
                <w:sz w:val="24"/>
                <w:szCs w:val="24"/>
              </w:rPr>
              <w:t xml:space="preserve"> 0,5(либо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предохранителей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bCs w:val="false"/>
                <w:sz w:val="24"/>
                <w:szCs w:val="24"/>
              </w:rPr>
              <w:t>ПКТ 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b w:val="false"/>
                <w:color w:val="303030"/>
                <w:sz w:val="24"/>
                <w:szCs w:val="24"/>
                <w:shd w:fill="FFFFFF" w:val="clear"/>
              </w:rPr>
              <w:t>31.5А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ВНА-10/400-1 шт,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160кВА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Номинальный ток сборных шин,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160кВА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ОПН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ОПН 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3.3.3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 шахте ввода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рубильнику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РЕ19  (или эквивалент)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 1 шт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4.1.3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160кВА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жесткую ошиновку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color w:val="000000"/>
                <w:sz w:val="24"/>
                <w:szCs w:val="24"/>
              </w:rPr>
              <w:t>медные или алюминиевые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вывод под трансформатор со стороны НН-РУНН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 57-39 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 1 шт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Optimat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250</w:t>
            </w:r>
            <w:r>
              <w:rPr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</w:rPr>
              <w:t xml:space="preserve"> 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250А-1 шт, 125А-1шт, 100А-1шт, 80А-1шт, 25А-1шт.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Уставка расцепителя тока короткого замыкания 10</w:t>
            </w:r>
            <w:r>
              <w:rPr>
                <w:sz w:val="24"/>
                <w:szCs w:val="24"/>
                <w:lang w:val="en-US"/>
              </w:rPr>
              <w:t>ln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РУНН перед вводным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(3 на показания Амперметров, 3 на учет)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Требование к узлу учета электроэнергии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</w:t>
            </w:r>
            <w:bookmarkStart w:id="76" w:name="_GoBack_Копия_1_Копия_3"/>
            <w:r>
              <w:rPr>
                <w:sz w:val="24"/>
                <w:szCs w:val="24"/>
              </w:rPr>
              <w:t>эквивалент</w:t>
            </w:r>
            <w:bookmarkEnd w:id="76"/>
            <w:r>
              <w:rPr>
                <w:sz w:val="24"/>
                <w:szCs w:val="24"/>
              </w:rPr>
              <w:t>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обогрев узла учета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4.6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ОПН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ОПН 0,4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4.6.3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безопасности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Оборудования ВН и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тамбура обслуживания РУ НН и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Конструкция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Вентиляция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8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0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1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08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1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>
              <w:rPr>
                <w:color w:val="000000"/>
                <w:sz w:val="24"/>
                <w:szCs w:val="24"/>
              </w:rPr>
              <w:t>нутренние петли в конструкции дверей.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41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запирания дверей применить</w:t>
            </w:r>
            <w:r>
              <w:rPr>
                <w:sz w:val="24"/>
                <w:szCs w:val="24"/>
              </w:rPr>
              <w:t xml:space="preserve"> т</w:t>
            </w:r>
            <w:r>
              <w:rPr>
                <w:color w:val="000000"/>
                <w:sz w:val="24"/>
                <w:szCs w:val="24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60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Корпусах КТПН РУВН, РУНН </w:t>
            </w:r>
            <w:r>
              <w:rPr>
                <w:color w:val="000000"/>
                <w:sz w:val="24"/>
                <w:szCs w:val="24"/>
              </w:rPr>
              <w:t>предусмотреть монтаж пола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2500 кг/м²;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9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63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8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88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6.25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88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6.26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Оснастить заходы  ВЛ 6- 10 кВ</w:t>
            </w:r>
            <w:r>
              <w:rPr>
                <w:sz w:val="24"/>
                <w:szCs w:val="24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специальными птицезащитными устройствами предотвращающими повреждение птиц (</w:t>
            </w:r>
            <w:r>
              <w:rPr>
                <w:sz w:val="24"/>
                <w:szCs w:val="24"/>
              </w:rPr>
              <w:t>Птицезащитное устройство колпачного типа</w:t>
            </w:r>
            <w:r>
              <w:rPr>
                <w:color w:val="000000"/>
                <w:sz w:val="24"/>
                <w:szCs w:val="24"/>
              </w:rPr>
              <w:t xml:space="preserve"> )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Сборно-разборному фундаменту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Сборно-разборный фундамент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должен иметь антикоррозионный слой со всех сторон.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Габаритные размеры сборно-разборного фундамента,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3540*2190 (Д*Ш)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Высота не менее 500мм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 к техническим требованиям №5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Сборно-разборного фундамента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изготовления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- УХЛ1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УХЛ1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Минус 60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Толщина стенки гололеда,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25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34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Сейсмостойкость, баллов по шкале MSK-64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 Саха (Якутия), г. Якутск, ул. Беринга, 42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обозначение стандартов или технических условий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установить снаружи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 «Себян-Кюель Поселок»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bCs/>
                <w:sz w:val="24"/>
                <w:szCs w:val="24"/>
              </w:rPr>
              <w:t>2. «Сеген-Кюель Школа»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bCs/>
                <w:sz w:val="24"/>
                <w:szCs w:val="24"/>
              </w:rPr>
              <w:t>3. «Хонуу ТП №27 Ветучасток»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bCs/>
                <w:sz w:val="24"/>
                <w:szCs w:val="24"/>
              </w:rPr>
              <w:t>4. «Хонуу ТП №6 Озерная»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5. «Тикси ТП №16 Передающая»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10.6.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Соответствие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bookmarkStart w:id="77" w:name="__RefHeading___Toc98324_4125836466_Копия"/>
            <w:bookmarkEnd w:id="77"/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bookmarkStart w:id="78" w:name="__RefHeading___Toc98324_4125836466"/>
            <w:bookmarkStart w:id="79" w:name="__RefHeading___Toc98324_4125836466"/>
            <w:bookmarkEnd w:id="79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Ведомость ЗИП.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предохранителей ВН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15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80" w:name="__RefHeading___Toc147632_1601336961"/>
      <w:bookmarkStart w:id="81" w:name="_Toc184304516"/>
      <w:bookmarkEnd w:id="80"/>
      <w:r>
        <w:rPr>
          <w:sz w:val="24"/>
          <w:szCs w:val="24"/>
        </w:rPr>
        <w:t>Таблица 3.6 Требования к продукции</w:t>
      </w:r>
      <w:bookmarkEnd w:id="81"/>
      <w:r>
        <w:rPr>
          <w:sz w:val="24"/>
          <w:szCs w:val="24"/>
        </w:rPr>
        <w:t xml:space="preserve"> </w:t>
      </w:r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(позиция № 6 Таблицы 1.1):  </w:t>
      </w:r>
      <w:r>
        <w:rPr>
          <w:i/>
          <w:iCs/>
          <w:sz w:val="24"/>
          <w:szCs w:val="24"/>
        </w:rPr>
        <w:t>Корпус КТПН 250/10/0,4 с разборно-сборным фундаментом и распределительными устройствами РУВН и РУНН</w:t>
      </w:r>
    </w:p>
    <w:tbl>
      <w:tblPr>
        <w:tblpPr w:bottomFromText="0" w:horzAnchor="text" w:leftFromText="180" w:rightFromText="180" w:tblpX="75" w:tblpY="1" w:topFromText="0" w:vertAnchor="text"/>
        <w:tblW w:w="15276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817"/>
        <w:gridCol w:w="4100"/>
        <w:gridCol w:w="3695"/>
        <w:gridCol w:w="1986"/>
        <w:gridCol w:w="2551"/>
        <w:gridCol w:w="2126"/>
      </w:tblGrid>
      <w:tr>
        <w:trPr/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41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36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81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10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69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КТПН (включая гарантируемые показатели)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80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1.2.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3500*2150мм (Д*Ш)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250кВА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Силовые трансформаторы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Отсутствуют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вспомогательных цепей КТПН, В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 400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технические требования к поставляемой продукции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цепями;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1.9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1.10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Согласно п. 4.2.88 ПУЭ (изд. 7).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соответствии с п. 5.4.14. ПТЭ - На металлических частях корпусов оборудования должна быть обозначена расцветка фаз, п. 1.1.30. ПУЭ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проходных изоляторов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ИПК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опорных изоляторов в РУ ВН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ИОРП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1.14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Высота траверсы ВН над уровнем крыши </w:t>
            </w:r>
            <w:r>
              <w:rPr>
                <w:sz w:val="24"/>
                <w:szCs w:val="24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1600 – 1800 мм.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1.17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Исполнение ввода ВН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1.18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sz w:val="24"/>
              </w:rPr>
              <w:t>Исполнение ввода НН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Корпусу КТПН силового трансформатора.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/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250/10/0.4 в корпусе трансформаторного отсека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</w:rPr>
            </w:pPr>
            <w:r>
              <w:rPr>
                <w:b/>
                <w:sz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 нагрузки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</w:t>
            </w:r>
            <w:r>
              <w:rPr>
                <w:color w:val="000000"/>
                <w:sz w:val="24"/>
                <w:szCs w:val="24"/>
              </w:rPr>
              <w:t xml:space="preserve"> 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предохранителей ВН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b w:val="false"/>
                <w:color w:val="303030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b w:val="false"/>
                <w:color w:val="303030"/>
                <w:sz w:val="24"/>
                <w:szCs w:val="24"/>
                <w:shd w:fill="FFFFFF" w:val="clear"/>
              </w:rPr>
              <w:t>40А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3.1.9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ВНА-10/400-1 шт,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3.1.10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250кВА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</w:rPr>
              <w:t>Номинальный ток сборных шин, 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ОПН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ОПН 10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3.3.3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 шахте ввода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рубильнику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4.1.1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РЕ19  (или эквивалент)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4.1.2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400А 1 шт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4.1.3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4.2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жесткую ошиновку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color w:val="000000"/>
                <w:sz w:val="24"/>
                <w:szCs w:val="24"/>
              </w:rPr>
              <w:t>медные или алюминиевые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вывод под трансформатор со стороны НН-РУНН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 57-39(или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400А 1 шт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Optimat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250</w:t>
            </w:r>
            <w:r>
              <w:rPr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</w:rPr>
              <w:t xml:space="preserve"> 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250А-1 шт, 125А-1шт, 100А-1шт, 80А-1шт, 25А-1шт.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Уставка расцепителя тока короткого замыкания 10</w:t>
            </w:r>
            <w:r>
              <w:rPr>
                <w:sz w:val="24"/>
                <w:szCs w:val="24"/>
                <w:lang w:val="en-US"/>
              </w:rPr>
              <w:t>ln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РУНН перед вводным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(3 на показания Амперметров, 3 на учет)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Требование к узлу учета электроэнергии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 НН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</w:t>
            </w:r>
            <w:bookmarkStart w:id="82" w:name="_GoBack_Копия_1_Копия_5"/>
            <w:r>
              <w:rPr>
                <w:sz w:val="24"/>
                <w:szCs w:val="24"/>
              </w:rPr>
              <w:t>эквивалент</w:t>
            </w:r>
            <w:bookmarkEnd w:id="82"/>
            <w:r>
              <w:rPr>
                <w:sz w:val="24"/>
                <w:szCs w:val="24"/>
              </w:rPr>
              <w:t>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Род установки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обогрев узла учета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4.6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ОПН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4.6.1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ОПН 0,4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4.6.2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4.6.3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безопасности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Оборудования ВН и НН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тамбура обслуживания РУ НН и РУ ВН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8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Конструкция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0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Вентиляция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1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6.9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08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6.10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1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41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60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>
              <w:rPr>
                <w:color w:val="000000"/>
                <w:sz w:val="24"/>
                <w:szCs w:val="24"/>
              </w:rPr>
              <w:t>нутренние петли в конструкции дверей.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запирания дверей применить</w:t>
            </w:r>
            <w:r>
              <w:rPr>
                <w:sz w:val="24"/>
                <w:szCs w:val="24"/>
              </w:rPr>
              <w:t xml:space="preserve"> т</w:t>
            </w:r>
            <w:r>
              <w:rPr>
                <w:color w:val="000000"/>
                <w:sz w:val="24"/>
                <w:szCs w:val="24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Корпусах КТПН РУВН, РУНН </w:t>
            </w:r>
            <w:r>
              <w:rPr>
                <w:color w:val="000000"/>
                <w:sz w:val="24"/>
                <w:szCs w:val="24"/>
              </w:rPr>
              <w:t>предусмотреть монтаж пола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2500 кг/м²;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17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6.19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6.20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6.23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6.24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Оснастить заходы  ВЛ 6- 10 кВ</w:t>
            </w:r>
            <w:r>
              <w:rPr>
                <w:sz w:val="24"/>
                <w:szCs w:val="24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специальными птицезащитными устройствами предотвращающими повреждение птиц (</w:t>
            </w:r>
            <w:r>
              <w:rPr>
                <w:sz w:val="24"/>
                <w:szCs w:val="24"/>
              </w:rPr>
              <w:t>Птицезащитное устройство колпачного типа</w:t>
            </w:r>
            <w:r>
              <w:rPr>
                <w:color w:val="000000"/>
                <w:sz w:val="24"/>
                <w:szCs w:val="24"/>
              </w:rPr>
              <w:t xml:space="preserve"> )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Сборно-разборному фундаменту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Сборно-разборный фундамент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должен иметь антикоррозионный слой со всех сторон.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Габаритные размеры сборно-разборного фундамента, мм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3540*2190 (Д*Ш*)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Высота не менее 500мм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 к техническим требованиям №6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Сборно-разборного фундамента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изготовления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- УХЛ1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УХЛ1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Минус 60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5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Толщина стенки гололеда, мм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25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Сейсмостойкость, баллов по шкале MSK-64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 Саха (Якутия), г. Якутск, ул. Беринга, 42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обозначение стандартов или технических условий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установить снаружи каждого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1. «Саскылах ТП №10 Новая»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>2. «Кутана ТП №5 Школа»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>3. «Тойон-Ары Школа»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>4. «Усть-Миль ТП №2»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>5. «Сылгы-Ытар ТП №1»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 «Хонуу ТП № 23 АЗС»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10.6.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10.8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4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bookmarkStart w:id="83" w:name="__RefHeading___Toc98332_4125836466"/>
            <w:bookmarkEnd w:id="83"/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Ведомость ЗИП.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предохранителей ВН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14.1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15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4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84" w:name="__RefHeading___Toc147634_1601336961"/>
      <w:bookmarkStart w:id="85" w:name="_Toc184304517"/>
      <w:bookmarkEnd w:id="84"/>
      <w:r>
        <w:rPr>
          <w:sz w:val="24"/>
          <w:szCs w:val="24"/>
        </w:rPr>
        <w:t>Таблица 3.7 Требования к продукции</w:t>
      </w:r>
      <w:bookmarkEnd w:id="85"/>
      <w:r>
        <w:rPr>
          <w:sz w:val="24"/>
          <w:szCs w:val="24"/>
        </w:rPr>
        <w:t xml:space="preserve"> </w:t>
      </w:r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(позиция № 7 Таблицы 1.1):  </w:t>
      </w:r>
      <w:r>
        <w:rPr>
          <w:i/>
          <w:iCs/>
          <w:sz w:val="24"/>
          <w:szCs w:val="24"/>
        </w:rPr>
        <w:t>Корпус КТПН 250/6/0,4 с разборно-сборным фундаментом и распределительными устройствами РУВН и РУНН</w:t>
      </w:r>
    </w:p>
    <w:tbl>
      <w:tblPr>
        <w:tblpPr w:bottomFromText="0" w:horzAnchor="text" w:leftFromText="180" w:rightFromText="180" w:tblpX="75" w:tblpY="1" w:topFromText="0" w:vertAnchor="text"/>
        <w:tblW w:w="15276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817"/>
        <w:gridCol w:w="4167"/>
        <w:gridCol w:w="3628"/>
        <w:gridCol w:w="1986"/>
        <w:gridCol w:w="2551"/>
        <w:gridCol w:w="2126"/>
      </w:tblGrid>
      <w:tr>
        <w:trPr/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41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36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81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416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62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КТПН (включая гарантируемые показатели)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80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1.2.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3500*2150мм (Д*Ш)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250кВА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Силовые трансформаторы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Отсутствуют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Номинальное напряжение вспомогательных цепей КТПН, 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 400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технические требования к поставляемой продукции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цепями;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Согласно п. 4.2.88 ПУЭ (изд. 7).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соответствии с п. 5.4.14. ПТЭ - На металлических частях корпусов оборудования должна быть обозначена расцветка фаз, п. 1.1.30. ПУЭ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проходных изоляторов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ИПК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опорных изоляторов в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ИОРП (полимерный).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1.14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Высота траверсы ВН над уровнем крыши </w:t>
            </w:r>
            <w:r>
              <w:rPr>
                <w:sz w:val="24"/>
                <w:szCs w:val="24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1600 – 1800 мм.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1.17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Исполнение ввода ВН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1.18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sz w:val="24"/>
              </w:rPr>
              <w:t>Исполнение ввода НН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0"/>
              </w:rPr>
            </w:pPr>
            <w:r>
              <w:rPr>
                <w:bCs/>
                <w:sz w:val="24"/>
              </w:rPr>
              <w:t>Воздушный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Корпусу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/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Headertext"/>
              <w:widowControl w:val="false"/>
              <w:spacing w:before="0" w:afterAutospacing="0" w:after="240"/>
              <w:rPr>
                <w:color w:val="000000"/>
              </w:rPr>
            </w:pPr>
            <w:r>
              <w:rPr>
                <w:color w:val="000000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250/6/0.4 в корпусе трансформаторного отсека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color w:val="A6A6A6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 нагрузки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ВНА-10/400</w:t>
            </w:r>
            <w:r>
              <w:rPr>
                <w:color w:val="000000"/>
                <w:sz w:val="24"/>
                <w:szCs w:val="24"/>
              </w:rPr>
              <w:t xml:space="preserve"> 0,5(либо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предохранителей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b w:val="false"/>
                <w:color w:val="303030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b w:val="false"/>
                <w:color w:val="303030"/>
                <w:sz w:val="24"/>
                <w:szCs w:val="24"/>
                <w:shd w:fill="FFFFFF" w:val="clear"/>
              </w:rPr>
              <w:t>50А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ВНА-</w:t>
            </w:r>
            <w:r>
              <w:rPr>
                <w:sz w:val="24"/>
                <w:szCs w:val="24"/>
                <w:lang w:val="en-US"/>
              </w:rPr>
              <w:t>10</w:t>
            </w:r>
            <w:r>
              <w:rPr>
                <w:sz w:val="24"/>
                <w:szCs w:val="24"/>
              </w:rPr>
              <w:t>/400-1 шт,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3.1.10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250кВА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</w:rPr>
              <w:t>Номинальный ток сборных шин,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ОПН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ОПН 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3.3.2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3.3.3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На шахте ввода ВН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</w:rPr>
            </w:pPr>
            <w:r>
              <w:rPr>
                <w:b/>
                <w:sz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рубильнику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РЕ19  (или эквивалент)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400А 1 шт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4.1.3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Требования к шинам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87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жесткую ошиновку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color w:val="000000"/>
                <w:sz w:val="24"/>
                <w:szCs w:val="24"/>
              </w:rPr>
              <w:t>медные или алюминиевые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вывод под трансформатор со стороны НН-РУНН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выключателю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 57-39(или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400А 1 шт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Optimat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250</w:t>
            </w:r>
            <w:r>
              <w:rPr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</w:rPr>
              <w:t xml:space="preserve"> (или эквивалент)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250А-1 шт, 125А-1шт, 100А-1шт, 80А-1шт, 25А-1шт.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4.3.5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Уставка расцепителя тока короткого замыкания 10</w:t>
            </w:r>
            <w:r>
              <w:rPr>
                <w:sz w:val="24"/>
                <w:szCs w:val="24"/>
                <w:lang w:val="en-US"/>
              </w:rPr>
              <w:t>ln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РУНН перед вводным АВ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(3 на показания Амперметров, 3 на учет)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4.4.7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Требование к узлу учета электроэнергии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</w:t>
            </w:r>
            <w:bookmarkStart w:id="86" w:name="_GoBack_Копия_1_Копия_6"/>
            <w:r>
              <w:rPr>
                <w:sz w:val="24"/>
                <w:szCs w:val="24"/>
              </w:rPr>
              <w:t>эквивалент</w:t>
            </w:r>
            <w:bookmarkEnd w:id="86"/>
            <w:r>
              <w:rPr>
                <w:sz w:val="24"/>
                <w:szCs w:val="24"/>
              </w:rPr>
              <w:t>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Род установки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обогрев узла учета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4.6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ОПН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ОПН 0,4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4.6.3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безопасности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Оборудования ВН и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тамбура обслуживания РУ НН и РУ ВН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Конструкция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8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Вентиляция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0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51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08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1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41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>
              <w:rPr>
                <w:color w:val="000000"/>
                <w:sz w:val="24"/>
                <w:szCs w:val="24"/>
              </w:rPr>
              <w:t>нутренние петли в конструкции дверей.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60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запирания дверей применить</w:t>
            </w:r>
            <w:r>
              <w:rPr>
                <w:sz w:val="24"/>
                <w:szCs w:val="24"/>
              </w:rPr>
              <w:t xml:space="preserve"> т</w:t>
            </w:r>
            <w:r>
              <w:rPr>
                <w:color w:val="000000"/>
                <w:sz w:val="24"/>
                <w:szCs w:val="24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</w:t>
            </w:r>
            <w:r>
              <w:rPr>
                <w:sz w:val="24"/>
                <w:szCs w:val="24"/>
              </w:rPr>
              <w:t xml:space="preserve">Корпусах КТПН РУВН, РУНН </w:t>
            </w:r>
            <w:r>
              <w:rPr>
                <w:color w:val="000000"/>
                <w:sz w:val="24"/>
                <w:szCs w:val="24"/>
              </w:rPr>
              <w:t>предусмотреть монтаж пола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58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2500 кг/м²;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6.19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17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6.24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665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6.25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Оснастить заходы  ВЛ 6- 10 кВ</w:t>
            </w:r>
            <w:r>
              <w:rPr>
                <w:sz w:val="24"/>
                <w:szCs w:val="24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color w:val="000000"/>
                <w:sz w:val="24"/>
                <w:szCs w:val="24"/>
              </w:rPr>
              <w:t>специальными птицезащитными устройствами предотвращающими повреждение птиц (</w:t>
            </w:r>
            <w:r>
              <w:rPr>
                <w:sz w:val="24"/>
                <w:szCs w:val="24"/>
              </w:rPr>
              <w:t>Птицезащитное устройство колпачного типа</w:t>
            </w:r>
            <w:r>
              <w:rPr>
                <w:color w:val="000000"/>
                <w:sz w:val="24"/>
                <w:szCs w:val="24"/>
              </w:rPr>
              <w:t xml:space="preserve"> 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</w:tr>
      <w:tr>
        <w:trPr>
          <w:trHeight w:val="209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6.27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Сборно-разборному фундаменту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Сборно-разборный фундамент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должен иметь антикоррозионный слой со всех сторон.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Габаритные размеры сборно-разборного фундамента,мм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3540*2190 (Д*Ш*)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Высота не менее 500мм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 к техническим требованиям №7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Сборно-разборного фундамента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изготовления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ind w:left="174" w:hanging="174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- УХЛ1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УХЛ1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Минус 60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75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Толщина стенки гололеда, мм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25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15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40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Сейсмостойкость, баллов по шкале MSK-64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не менее 6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 Саха (Якутия), г. Якутск, ул. Беринга, 42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ind w:left="315" w:hanging="315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обозначение стандартов или технических условий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установить снаружи каждого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1. «Зырянка ТП №11»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2. «Хонуу ТП №12 Каменная»</w:t>
            </w:r>
          </w:p>
          <w:p>
            <w:pPr>
              <w:pStyle w:val="Normal"/>
              <w:widowControl w:val="false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>3. «Хонуу ТП №30 Дачная»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«Усть-Куйга ТП №16»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3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4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10.6.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72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10.8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65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</w:tr>
      <w:tr>
        <w:trPr>
          <w:trHeight w:val="17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Соответствие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2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53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1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>
          <w:trHeight w:val="206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-//-</w:t>
            </w:r>
          </w:p>
        </w:tc>
      </w:tr>
      <w:tr>
        <w:trPr>
          <w:trHeight w:val="190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bookmarkStart w:id="87" w:name="__RefHeading___Toc98336_4125836466"/>
            <w:bookmarkEnd w:id="87"/>
            <w:r>
              <w:rPr>
                <w:rFonts w:eastAsia="Calibri"/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4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Ведомость ЗИП.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предохранителей ВН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15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4" w:hRule="atLeast"/>
        </w:trPr>
        <w:tc>
          <w:tcPr>
            <w:tcW w:w="8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41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3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  <w:bookmarkStart w:id="88" w:name="_Toc51339698"/>
      <w:bookmarkStart w:id="89" w:name="_Toc51339698"/>
      <w:bookmarkEnd w:id="89"/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90" w:name="__RefHeading___Toc147638_1601336961"/>
      <w:bookmarkStart w:id="91" w:name="_Toc184304519"/>
      <w:bookmarkEnd w:id="90"/>
      <w:r>
        <w:rPr/>
        <w:t>Таблица 3.8 Требования к продукции</w:t>
      </w:r>
      <w:bookmarkEnd w:id="91"/>
      <w:r>
        <w:rPr/>
        <w:t xml:space="preserve"> </w:t>
      </w:r>
    </w:p>
    <w:p>
      <w:pPr>
        <w:pStyle w:val="Normal"/>
        <w:rPr/>
      </w:pPr>
      <w:r>
        <w:rPr>
          <w:b/>
          <w:bCs/>
          <w:i/>
          <w:iCs/>
          <w:sz w:val="24"/>
          <w:szCs w:val="24"/>
        </w:rPr>
        <w:t xml:space="preserve">Наименование продукции </w:t>
      </w:r>
      <w:r>
        <w:rPr>
          <w:i/>
          <w:sz w:val="24"/>
          <w:szCs w:val="24"/>
        </w:rPr>
        <w:t>(позиция № 8, Таблицы 1.1):</w:t>
      </w:r>
      <w:r>
        <w:rPr>
          <w:b/>
          <w:bCs/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Корпус КТПН 63/10/0,4 с разборно-сборным фундаментом и распределительными устройствами РУВН и РУНН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Style w:val="1311"/>
        <w:tblpPr w:bottomFromText="0" w:horzAnchor="text" w:leftFromText="180" w:rightFromText="180" w:tblpX="0" w:tblpXSpec="left" w:tblpY="1" w:topFromText="0" w:vertAnchor="text"/>
        <w:tblW w:w="15163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45"/>
        <w:gridCol w:w="2874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 xml:space="preserve">№ </w:t>
            </w: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п/п</w:t>
            </w:r>
          </w:p>
        </w:tc>
        <w:tc>
          <w:tcPr>
            <w:tcW w:w="3845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Наименование параметра</w:t>
            </w:r>
          </w:p>
        </w:tc>
        <w:tc>
          <w:tcPr>
            <w:tcW w:w="2874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Требование заказчика</w:t>
            </w: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</w:t>
            </w:r>
          </w:p>
        </w:tc>
        <w:tc>
          <w:tcPr>
            <w:tcW w:w="4961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3845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74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268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2693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ascii="Times New Roman" w:hAnsi="Times New Roman" w:cs="Times New Roman"/>
                <w:lang w:val="ru-RU" w:eastAsia="ru-RU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1.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техническим и функциональным характеристикам КТПН (включая гарантируемые показатели)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трансформатора, Сборно-разборный фундамент  должны быть собраны в единое КТПН (понижающая, киоскового типа)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1.2.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внешние габаритные размеры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3500*2150мм (Д*Ш)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не более 1000мм в каждую сторону.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изменении габаритных размеров учесть прямо  пропорциональное уменьшение/увеличение сборно-разборного фундамента относительно корпуса КТПН и возможность установки ТМГ следующего габарита 63кВА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1.3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Силовые трансформаторы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Отсутствуют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1.4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Номинальная частота, Гц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1.5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1.6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Наибольшее рабочее напряжение на стороне ВН, кВ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1.7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Номинальное напряжение вспомогательных цепей КТПН, В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более 400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1.8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Общие технические требования к поставляемой продукции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заводе-изготовителе оборудование должна проходить контрольную сборку и проверку. На объект продукция должна быть поставлена с полностью смонтированными первичными и вторичными цепями;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1.9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Листовой металл толщиной не менее 2мм с нанесением антикорозийного покрытия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rFonts w:ascii="Times New Roman" w:hAnsi="Times New Roman" w:eastAsia="Times New Roman" w:cs="Times New Roman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1.10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Корпусе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ограждение неизолированных токоведущих частей с возможностью доступа к ним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Согласно п. 4.2.88 ПУЭ (изд. 7).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соответствии с п. 5.4.14. ПТЭ - На металлических частях корпусов оборудования должна быть обозначена расцветка фаз, п. 1.1.30. ПУЭ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проходных изоляторов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ИПК (полимерный).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1.13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опорных изоляторов в РУ ВН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ИОРП (полимерный).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1.14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1000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1.15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kern w:val="0"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1.16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Высота траверсы ВН над уровнем крыши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Корпуса КТПН распределительного устройство высокого напряжения РУВН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1600 – 1800 мм.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1.17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Исполнение ввода ВН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1.18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Исполнение ввода НН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0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lang w:val="ru-RU" w:eastAsia="ru-RU" w:bidi="ar-SA"/>
              </w:rPr>
              <w:t>Воздушный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Корпусу КТПН силового трансформатора.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Конструкция должна обеспечивать возможность установки силового трансформатора без демонтажа  Корпуса КТПН распределительного устройства высокого напряжения РУ ВН, Корпуса КТПН распределительного устройства низкого напряжения РУ НН, Корпуса КТПН силового трансформатора.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Headertext"/>
              <w:widowControl w:val="false"/>
              <w:spacing w:before="0" w:afterAutospacing="0" w:after="24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  <w:kern w:val="0"/>
                <w:lang w:val="ru-RU" w:eastAsia="ru-RU" w:bidi="ar-SA"/>
              </w:rPr>
              <w:t>Корпус КТПН силового трансформатора должен иметь два входных проема, размеры которых позволяют установить силовой трансформатор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2.3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Направляющие основания из П-образного профиля  и комплектом метизов и уголков для крепления, без установки к полу из расчета  возможной установки  ТМ 63/10/0.4 в корпусе трансформаторного отсека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color w:val="A6A6A6"/>
                <w:sz w:val="24"/>
                <w:szCs w:val="24"/>
              </w:rPr>
            </w:pPr>
            <w:bookmarkStart w:id="92" w:name="__RefHeading___Toc98310_4125836466_Копия"/>
            <w:bookmarkEnd w:id="92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Корпусу КТПН распределительного устройство высокого напряжения РУ ВН</w:t>
            </w:r>
          </w:p>
        </w:tc>
        <w:tc>
          <w:tcPr>
            <w:tcW w:w="2874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 нагрузки</w:t>
            </w:r>
          </w:p>
        </w:tc>
        <w:tc>
          <w:tcPr>
            <w:tcW w:w="2874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ВНА-10/400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(либо эквивалент)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3.1.2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 выключателя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Автогазовый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3.1.3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Вид привода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Пружинный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3.1.4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Управление приводом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местное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3.1.5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встроенных элементов защиты и заземления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3.1.6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Тип предохранителей ВН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b w:val="false"/>
                <w:color w:val="303030"/>
                <w:kern w:val="0"/>
                <w:sz w:val="24"/>
                <w:szCs w:val="24"/>
                <w:shd w:fill="FFFFFF" w:val="clear"/>
                <w:lang w:val="ru-RU" w:eastAsia="ru-RU" w:bidi="ar-SA"/>
              </w:rPr>
              <w:t>ПКТ (либо эквивалент)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3.1.7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Номинальный ток предохранителя ВН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b w:val="false"/>
                <w:color w:val="303030"/>
                <w:kern w:val="0"/>
                <w:sz w:val="24"/>
                <w:szCs w:val="24"/>
                <w:shd w:fill="FFFFFF" w:val="clear"/>
                <w:lang w:val="ru-RU" w:eastAsia="ru-RU" w:bidi="ar-SA"/>
              </w:rPr>
              <w:t>8А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3.1.8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2874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ВН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3.1.9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2874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ВНА-10/400-1 шт,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3.1.10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2874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2000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3.2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шинам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3.2.1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РУВН-Трансформаторный отсек выводы под трансформатор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3.2.2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63кВА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3.2.3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63кВА</w:t>
            </w:r>
          </w:p>
        </w:tc>
        <w:tc>
          <w:tcPr>
            <w:tcW w:w="226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3.3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3.3.1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ОПН 10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3.3.2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3.3.3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 шахте ввода ВН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Основные технические требования к Корпусу КТПН распределительного устройство низкого напряжения РУ НН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рубильнику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4.1.1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рубильника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РЕ19  (или эквивалент)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4.1.2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ед./ номинальный ток, А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100А 1 шт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4.1.3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Применить рубильники 0,4 кВ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4.2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рубильнику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4.2.1</w:t>
            </w:r>
          </w:p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ток сборных шин, А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номинальным током силового трансформатора следующего габарита 63кВА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КТПН между низковольтным выводом под силовой трансформатор и вводным аппаратом защиты и управления необходимо использовать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жесткую ошиновку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(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медные или алюминиевые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4.2.3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 размер шин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шины), в соответствии с номинальным током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4.2.4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Соединение вывод под трансформатор со стороны НН-РУНН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4.3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выключателю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вводной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ВА 57-35 (или эквивалент)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100А 1 шт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РУ НН фидерные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выключателя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Optimat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D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250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N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(или эквивалент)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Кол-во/номинальный ток, 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80А-1шт, 63А-1шт, 40А-1шт, 25А-1шт.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4.3.3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 расцепителя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Тепловой и электромагнитный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4.3.4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Защита от перегрузок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 регулируемой уставкой по номинальному  току в меньшую сторону от номинала АВ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4.3.5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Защита от токов короткого замыкания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Уставка расцепителя тока короткого замыкания 10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ln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4.4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измерительному трансформатору тока для показаний: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ТТИ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Род установки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РУНН перед вводным АВ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4.4.3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Кол-во, фаз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6 (3 на показания Амперметров, 3 на учет)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4.4.4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первичный ток, 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100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4.4.5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Номинальный вторичный ток, 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4.4.6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Класс точности: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для измерений и учета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0,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5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S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4.4.7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Межповерочный интервал трансформаторов тока 0,4 кВ,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4 лет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4.5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Требование к узлу учета электроэнергии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на стороне  НН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Трехфазный прибор учета полукосвенного включения на общий ввод НН Меркурий 230 3х220/380В, 5 100А 0,5S(или эквивалент), трехфазный прибор учета прямого включения на уличное освещение.  Меркурий 230 3х220/380В, 5 100А 0,5S(или </w:t>
            </w:r>
            <w:bookmarkStart w:id="93" w:name="_GoBack_Копия_1_Копия_8"/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эквивалент</w:t>
            </w:r>
            <w:bookmarkEnd w:id="93"/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)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Род установки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отдельном шкафу учета 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4.5.3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kern w:val="0"/>
                <w:lang w:val="ru-RU" w:eastAsia="ru-RU" w:bidi="ar-SA"/>
              </w:rPr>
              <w:t>обогрев узла учета</w:t>
            </w:r>
          </w:p>
        </w:tc>
        <w:tc>
          <w:tcPr>
            <w:tcW w:w="2874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4.6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ОПН</w:t>
            </w:r>
          </w:p>
        </w:tc>
        <w:tc>
          <w:tcPr>
            <w:tcW w:w="2874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4.6.1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Тип</w:t>
            </w:r>
          </w:p>
        </w:tc>
        <w:tc>
          <w:tcPr>
            <w:tcW w:w="2874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ОПН 0,4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4.6.2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Количество</w:t>
            </w:r>
          </w:p>
        </w:tc>
        <w:tc>
          <w:tcPr>
            <w:tcW w:w="2874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 шт (1 трехфазный комплект)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4.6.3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spacing w:before="0" w:after="200"/>
              <w:ind w:left="174" w:hanging="0"/>
              <w:contextualSpacing/>
              <w:jc w:val="left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sz w:val="24"/>
                <w:szCs w:val="24"/>
                <w:lang w:val="ru-RU" w:eastAsia="ru-RU" w:bidi="ar-SA"/>
              </w:rPr>
              <w:t>Род</w:t>
            </w:r>
          </w:p>
        </w:tc>
        <w:tc>
          <w:tcPr>
            <w:tcW w:w="2874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На шинах РУ-0,4 кВ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безопасности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5.1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КТПН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Оборудования ВН и НН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54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не ниже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en-US" w:eastAsia="ru-RU" w:bidi="ar-SA"/>
              </w:rPr>
              <w:t>IP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 34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5.2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более 70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5.3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5.4</w:t>
            </w:r>
          </w:p>
        </w:tc>
        <w:tc>
          <w:tcPr>
            <w:tcW w:w="3845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74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конструкции, изготовлению и материалам: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Корпус КТПН распределительного устройство высокого напряжения РУ ВН, Корпус КТПН распределительного устройство низкого напряжения РУ НН, Корпус КТПН силового трансформатора должны быть соединены между собой и состоять из полностью смонтированных оборудований РУ-6 (10)кВ и РУ-0,4кВ, смонтированными первичными и вторичными цепями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тамбура обслуживания РУ НН и РУ ВН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Нет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6.3</w:t>
            </w:r>
          </w:p>
        </w:tc>
        <w:tc>
          <w:tcPr>
            <w:tcW w:w="3845" w:type="dxa"/>
            <w:tcBorders>
              <w:right w:val="nil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Основным несущим элементом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должен быть силовой каркас сваренный из продольных и поперечных профилей с угловыми стойками толщиной 4-5 мм. В нижней раме и стойках каркаса предусмотреть угловые фитинги для подъема и транспортировки модуля краном.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6.4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Конструкции Корпуса КТПН распределительного устройство высокого напряжения РУ ВН, Корпуса КТПН распределительного устройство низкого напряжения РУ НН, Корпуса КТПН силового трансформатора должны позволять, при необходимости, перемещать подстанцию.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6.5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Стены внешней обшивки должны быть выполнены из стального листа толщиной 2 мм. Лист кровли должен представлять из себя специальный профильный лист толщиной 2 мм. Полы выполнить из стальных рифлёных листов толщиной 4 мм, приварить по периметру и сварить между собой. Все наружные соединения выполнить сплошными сварными швами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6.6</w:t>
            </w:r>
          </w:p>
        </w:tc>
        <w:tc>
          <w:tcPr>
            <w:tcW w:w="384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Необходимо наличие ветрозащитных (против снеговых) козырьков на всех вентиляционных решётках.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6.7</w:t>
            </w:r>
          </w:p>
        </w:tc>
        <w:tc>
          <w:tcPr>
            <w:tcW w:w="3845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Конструкция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Корпуса КТПН силового трансформатора должна обеспечивать возможность замены силового трансформатора без демонтажа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Конструкций Корпуса КТПН распределительного устройство высокого напряжения РУ ВН, Корпуса КТПН распределительного устройство низкого напряжения РУ НН</w:t>
            </w:r>
          </w:p>
        </w:tc>
        <w:tc>
          <w:tcPr>
            <w:tcW w:w="2874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  <w:shd w:color="auto" w:fill="auto" w:val="clea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6.8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 xml:space="preserve">Вентиляция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Корпуса КТПН распределительного устройство высокого напряжения РУ ВН, Корпуса КТПН распредели-тельного устройство низкого напряжения РУ НН, Корпуса КТПН силового трансформатора 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6.9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6.10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6.13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Сетчатые ограждения трансформаторного отсека должны иметь ячейки размером не более, мм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25х25 мм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6.14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6.15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нутренние петли в конструкции дверей.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6.16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Для запирания дверей применить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т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рехточечное запирающее устройство, унифицированные внутренние замки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6.17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В 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Корпусах КТПН РУВН, РУНН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монтаж пола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6.18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Полы Корпуса КТПН силового трансформатора должны выдерживать нагрузку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2500 кг/м²;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6.19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10 лет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6.20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Заземление в Корпусе КТПН распределительного устройство высокого напряжения РУ ВН, Корпусе КТПН распределительного устройство низкого напряжения РУ НН, Корпусе КТПН силового трансформатора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все металлические нетоковедущие части электрооборудования, которые могут оказаться под напряжением. КТПН должна иметь (снаружи силового каркаса площадки) возможность для присоединения к внешнему контуру заземления, обозначенных знаком «Заземление».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6.23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 Корпусе КТПН распределительного устройство низкого напряжения РУ 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6.24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6.25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6.26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Оснастить заходы  ВЛ 6- 10 кВ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  в Корпус КТПН распределительного устройство высокого напряжения РУ ВН 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специальными птицезащитными устройствами предотвращающими повреждение птиц (</w:t>
            </w: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Птицезащитное устройство колпачного типа</w:t>
            </w: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)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Указать тип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6.27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Короба ВН выполнить с учётом ветровых нагрузок (не менее 32 м/с.).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7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Сборно-разборному фундаменту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Сборно-разборный фундамент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должен иметь антикоррозионный слой со всех сторон.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7.2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Габаритные размеры сборно-разборного фундамента, мм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3540*2190 (Д*Ш*)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Высота не менее 500мм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Допускается уменьшение/увеличение габаритных размеров с учетом требований п. 1.2 данной таблицы.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Приложение к техническим требованиям №8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Чертеж Сборно-разборного фундамента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7.3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Материал изготовления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Металлоконструкции с  применением профильной квадратной трубы не менее 100мм*100мм*4мм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8.1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Климатическое исполнение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УХЛ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8.2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КТП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1"/>
              </w:numPr>
              <w:spacing w:before="0" w:after="200"/>
              <w:ind w:left="174" w:hanging="174"/>
              <w:contextualSpacing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Оборудование НН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1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8.3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- УХЛ1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плюс 40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8.4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0"/>
              </w:numPr>
              <w:spacing w:before="0" w:after="0"/>
              <w:ind w:left="720" w:hanging="283"/>
              <w:contextualSpacing w:val="false"/>
              <w:jc w:val="left"/>
              <w:rPr>
                <w:rFonts w:ascii="Times New Roman" w:hAnsi="Times New Roman" w:eastAsia="Times New Roman" w:cs="Times New Roman"/>
                <w:bCs/>
              </w:rPr>
            </w:pPr>
            <w:r>
              <w:rPr>
                <w:rFonts w:eastAsia="Times New Roman" w:cs="Times New Roman" w:ascii="Times New Roman" w:hAnsi="Times New Roman"/>
                <w:bCs/>
                <w:kern w:val="0"/>
                <w:lang w:val="ru-RU" w:eastAsia="ru-RU" w:bidi="ar-SA"/>
              </w:rPr>
              <w:t>УХЛ1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Минус 60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8.5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Высота над уровнем моря, м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 1000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8.6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Толщина стенки гололеда, мм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25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8.7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наличии гололеда, м/с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15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8.8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Допустимая скорость ветра при отсутствии гололеда, м/с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40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8.9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Сейсмостойкость, баллов по шкале MSK-64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не менее 6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9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качеству поставляемой продукции: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9.1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iCs/>
                <w:sz w:val="24"/>
                <w:szCs w:val="24"/>
              </w:rPr>
            </w:pPr>
            <w:r>
              <w:rPr>
                <w:rFonts w:eastAsia="Times New Roman" w:cs="Times New Roman"/>
                <w:i/>
                <w:iCs/>
                <w:kern w:val="0"/>
                <w:sz w:val="24"/>
                <w:szCs w:val="24"/>
                <w:lang w:val="ru-RU" w:eastAsia="ru-RU" w:bidi="ar-SA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9.2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Год выпуска продукции (оборудования)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Оборудование должно быть новым не ранее 2026 года выпуска, серийного выпуска, ранее не используемым.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Место поставки продукции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Республика Саха (Якутия), г. Якутск, ул. Беринга, 42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10.2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2"/>
              </w:numPr>
              <w:spacing w:before="0" w:after="200"/>
              <w:ind w:left="315" w:hanging="315"/>
              <w:contextualSpacing/>
              <w:jc w:val="left"/>
              <w:rPr>
                <w:rFonts w:ascii="Times New Roman" w:hAnsi="Times New Roman" w:eastAsia="Times New Roman" w:cs="Times New Roman"/>
              </w:rPr>
            </w:pPr>
            <w:r>
              <w:rPr>
                <w:rFonts w:eastAsia="Times New Roman" w:cs="Times New Roman" w:ascii="Times New Roman" w:hAnsi="Times New Roman"/>
                <w:kern w:val="0"/>
                <w:lang w:val="ru-RU" w:eastAsia="ru-RU" w:bidi="ar-SA"/>
              </w:rPr>
              <w:t>обозначение стандартов или технических условий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Установить снаружи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1. «Чкалово ТП № 228 Ферма»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10.3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Транспортная маркировка грузов - по ГОСТ 14192-96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10.4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 транспортировании КТП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10.5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Все неокрашенные металлические поверхности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10.6.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Требование к окраске всех узлов и деталей корпуса КТП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rPr>
                <w:kern w:val="0"/>
              </w:rPr>
            </w:pPr>
            <w:r>
              <w:rPr>
                <w:kern w:val="0"/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10.7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хранения по ГОСТ 15150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8ОЖ3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10.8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Условия транспортирования согласно ГОСТ 23216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Жесткие (Ж)</w:t>
            </w:r>
          </w:p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11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эксплуатации, обеспечению и утилизации: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11.2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ind w:left="72" w:hanging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Соответствие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Гарантийный срок эксплуатации КТПН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Наличие сервисных центров на территории РФ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12.3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13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jc w:val="left"/>
              <w:outlineLvl w:val="2"/>
              <w:rPr>
                <w:sz w:val="24"/>
                <w:szCs w:val="24"/>
              </w:rPr>
            </w:pPr>
            <w:bookmarkStart w:id="94" w:name="__RefHeading___Toc98344_4125836466"/>
            <w:bookmarkEnd w:id="94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13.2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Схемы электрические принципиальные и схемы электрических соединений, сборочный чертеж КТПН, чертеж сборно-разборного фундамента, экз.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13.3</w:t>
            </w:r>
          </w:p>
        </w:tc>
        <w:tc>
          <w:tcPr>
            <w:tcW w:w="3845" w:type="dxa"/>
            <w:tcBorders>
              <w:right w:val="nil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Эксплуатационная документация по ГОСТ  Р 2.601-2019, экз.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en-US" w:eastAsia="ru-RU" w:bidi="ar-SA"/>
              </w:rPr>
              <w:t>1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13.4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Ведомость ЗИП.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-Комплект электрозащитных средств (диэлектрические коврики, клещи для снятия предохранителей с выключателя нагрузки ВНА, диэлектрические перчатки) и первичных средств пожаротушения;   -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Комплект предохранителей ВН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Приложить перечень ЗИП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14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14.1</w:t>
            </w:r>
          </w:p>
        </w:tc>
        <w:tc>
          <w:tcPr>
            <w:tcW w:w="3845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Во всем неоговоренном КТП и встраиваемое оборудование должны соответствовать требованиям ПУЭ, ГОСТ 14695-80, ГОСТ 14693-90, ГОСТ 11920-85, ГОСТ 11677-85, ГОСТ 1516.3-96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3845" w:type="dxa"/>
            <w:tcBorders>
              <w:right w:val="nil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874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15.1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/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15.2</w:t>
            </w:r>
          </w:p>
        </w:tc>
        <w:tc>
          <w:tcPr>
            <w:tcW w:w="3845" w:type="dxa"/>
            <w:tcBorders/>
            <w:vAlign w:val="center"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Да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Согласие с требованием</w:t>
            </w:r>
          </w:p>
        </w:tc>
        <w:tc>
          <w:tcPr>
            <w:tcW w:w="2693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i/>
                <w:color w:val="A6A6A6"/>
                <w:sz w:val="24"/>
                <w:szCs w:val="24"/>
              </w:rPr>
            </w:r>
          </w:p>
        </w:tc>
        <w:tc>
          <w:tcPr>
            <w:tcW w:w="2127" w:type="dxa"/>
            <w:tcBorders/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>
          <w:highlight w:val="white"/>
        </w:rPr>
      </w:pPr>
      <w:bookmarkStart w:id="95" w:name="__RefHeading___Toc147652_1601336961"/>
      <w:bookmarkStart w:id="96" w:name="_Toc184304526"/>
      <w:bookmarkEnd w:id="95"/>
      <w:r>
        <w:rPr>
          <w:highlight w:val="white"/>
        </w:rPr>
        <w:t>Таблица 3.</w:t>
      </w:r>
      <w:r>
        <w:rPr>
          <w:highlight w:val="white"/>
          <w:shd w:fill="81D41A" w:val="clear"/>
        </w:rPr>
        <w:t>9</w:t>
      </w:r>
      <w:r>
        <w:rPr>
          <w:highlight w:val="white"/>
        </w:rPr>
        <w:t xml:space="preserve"> Требования к продукции</w:t>
      </w:r>
      <w:bookmarkEnd w:id="96"/>
      <w:r>
        <w:rPr>
          <w:highlight w:val="white"/>
        </w:rPr>
        <w:t xml:space="preserve"> </w:t>
      </w:r>
    </w:p>
    <w:p>
      <w:pPr>
        <w:pStyle w:val="Normal"/>
        <w:rPr>
          <w:highlight w:val="white"/>
          <w:shd w:fill="81D41A" w:val="clear"/>
        </w:rPr>
      </w:pP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Наименование продукции </w:t>
      </w:r>
      <w:r>
        <w:rPr>
          <w:i/>
          <w:sz w:val="24"/>
          <w:szCs w:val="24"/>
          <w:highlight w:val="white"/>
          <w:shd w:fill="81D41A" w:val="clear"/>
        </w:rPr>
        <w:t>(позиция № 9, Таблицы 1.1):</w:t>
      </w: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 </w:t>
      </w:r>
      <w:r>
        <w:rPr>
          <w:i/>
          <w:iCs/>
          <w:sz w:val="24"/>
          <w:szCs w:val="24"/>
          <w:highlight w:val="white"/>
          <w:shd w:fill="81D41A" w:val="clear"/>
        </w:rPr>
        <w:t>Подстанция комплектная трансформаторная КТП-400/10/0,4 к комплекте с ТМГ-400/10/0,4 для технологического присоединения</w:t>
      </w:r>
    </w:p>
    <w:p>
      <w:pPr>
        <w:pStyle w:val="Normal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W w:w="1516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56"/>
        <w:gridCol w:w="26"/>
        <w:gridCol w:w="2837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88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3882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8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омплектная трансформаторная подстанция наружной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iCs/>
                <w:sz w:val="24"/>
                <w:szCs w:val="24"/>
              </w:rPr>
              <w:t>КТПН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Киосковая понижающая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Корпуса ТП должны быть выполнены из стали (Все наружные соединения выполнить сплошными сварными швами.);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Полы ТП выполнить из стальных рифлёных листов (Все наружные соединения выполнить сплошными сварными швами).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2 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4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металлические детали корпуса ТП должны иметь защитное покрытие от коррозии п. 3.13.  ГОСТ 14695-80 «Подстанции трансформаторные комплектные мощностью от 25 до 2500 кВ·А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Габариты трансформаторного отсека,  передвижение и крепления трансформатора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Выполнить с учётом возможности установки силового трансформатора следующего габарита, для КТПН 400 кВа считать следующим габаритом 630 кВа. Для КТП предусмотреть возможность замены (перемещения) трансформатора на собственных колесах, входящих в комплект. В рабочем положении трансформатор должен быть жестко закреплен.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Мощность силового трансформатора, кВА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НН,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вспомогательных цепей КТП, не более, 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Переменного тока 400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на стороне ВН, с.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НН,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 на стороне НН, с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НН не менее,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Общие технические требования к поставляемому оборудованию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подстанция должна быть поставлена с полностью смонтированными первичными и вторичными цепями.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электрической прочности изоляции: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полного грозового импульса:</w:t>
            </w:r>
          </w:p>
          <w:p>
            <w:pPr>
              <w:pStyle w:val="ListParagraph"/>
              <w:widowControl w:val="false"/>
              <w:numPr>
                <w:ilvl w:val="0"/>
                <w:numId w:val="2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tabs>
                <w:tab w:val="clear" w:pos="708"/>
                <w:tab w:val="left" w:pos="0" w:leader="none"/>
              </w:tabs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Кратковременное (одноминутное) переменное напряжение: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промежутком);</w:t>
            </w:r>
          </w:p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под дождем (для категории размещения 1)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Удельная эффективная длина пути утечки внешней изоляции, см/кВ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2,5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изоляции главных и вспомогательных цепей КТП со стороны НН, в течение 1 мин.,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Сопротивление изоляции электрически изолированных цепей шкафов РУНН, МОм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силовому трансформатору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ТМГ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охлаждения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Масляное естественное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Количество, шт.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и группа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соединения обмоток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соединения Y/Yн-0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Выполнения нейтрали трансформатора на стороне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глухозаземленной нейтралью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Вид, диапазон и количество ступеней регулирования напряжения </w:t>
            </w:r>
            <w:r>
              <w:rPr>
                <w:sz w:val="24"/>
                <w:szCs w:val="24"/>
              </w:rPr>
              <w:br w:type="textWrapping" w:clear="all"/>
            </w:r>
            <w:r>
              <w:rPr>
                <w:sz w:val="24"/>
                <w:szCs w:val="24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ПБВ ±2X 2,5%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холостого хода,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400 кВА Рхх ≤ 650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короткого замыкания,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400 кВА Ркз ≤ 4600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холостого хода,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3%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Напряжение короткого замыкания,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РУВН (УВН):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Требования к шкафу РУ: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не менее: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главных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вспомогательных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дверей шкафов РУ,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защитных шторок,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заземляющего разъединителя, операций 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- 500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-500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выключателю нагрузки: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ВНА-10/630  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(либо эквивалентная продукция)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4.2.6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предохранителей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4.2.7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Выбирается из номинальных токов ВН трансформатора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4.2.8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4.2.9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 /  Выбирается из номинальных токов ВН трансформатора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4.2.10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шинам: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РУВН-Трансформатор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630кВА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630кВА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ограничителю перенапряжения: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  <w:lang w:val="en-US"/>
              </w:rPr>
              <w:t>4</w:t>
            </w:r>
            <w:r>
              <w:rPr>
                <w:rFonts w:eastAsia="Calibri"/>
                <w:sz w:val="24"/>
                <w:szCs w:val="24"/>
              </w:rPr>
              <w:t>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ОПН 10/12 </w:t>
            </w: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(1 трехфазных комплекта)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шахтах вывода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РУНН: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630кВА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ТП между низковольтным выводом силового трансформатора и вводным аппаратом защиты и управления необходимо использовать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жесткую ошиновку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630кВА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Трансформатора-РУНН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рубильнику: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РЕ19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шт. /  Выбирается из номинальных токов НН трансформатора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автоматическим выключателям: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ВА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 /  Выбирается из номинальных токов НН трансформатора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Optimat D (или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шт./250А; 1 шт./200А;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шт./160А; 1 шт./100А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5.3.2.4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5.3.2.5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току в меньшую сторону от номинала АВ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Уставка расцепителя тока короткого замыкания 10ln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автоматического выключателя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узлу учета электроэнергии:</w:t>
            </w:r>
          </w:p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(общий ввод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Трехфазный прибор учета полукосвенного включения Меркурий 230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5.5.3</w:t>
            </w:r>
          </w:p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(на присоединениях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250А, 200А, 160А – Трехфазный прибор учета полукосвенного включения Меркурий 234 ARTMX2-03 (D)PBR.G7 (или эквивалент)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100А - 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 электрической энергии размером 800х650х250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Согласно схемы размещения в шкафу учета предусмотреть крепления (места) для приборов учета учёта.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ОПН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  <w:t>-//-</w:t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/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rStyle w:val="Strong"/>
                <w:b w:val="false"/>
                <w:color w:val="000000"/>
                <w:sz w:val="24"/>
                <w:szCs w:val="24"/>
              </w:rPr>
              <w:t>ОПН 0,4/0,4/5/300 (либо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характе-ристик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/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/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безопасности: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Оборудования ВН и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коридора (тамбура) обслуживания в РУВН и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Выполнение высоковольтного вывода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Присоединение к шкафам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Конструкция КТПН должна обеспечивать возможность замены силового трансформатора без демонтажа РУНН.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должны поставляться в полностью собранном виде, или транспортными блоками, подготовленными для сборки на месте монтажа без разборки коммутационных аппаратов, проверки надежности болтовых соединений и правильности внутренних соединений п. 3.16. 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Оснастить необходимыми блокировками, (блокирующими замками) препятствующими проникновению персонала при поданном напряжении согласно ПТЭ РФ п.5.4.10, узлы ТП: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- привод главных ножей отдельно стоящего разъединителя с вводным выключателем 0,4 кВ;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- привод заземляющих ножей выключателя нагрузки с дверцами отсека ВН (при наличии) и дверцами трансформаторного отсека.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Вентиляция отсеков трансформаторов, РУВН и РУНН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Сетчатые ограждения в трансформаторном отсеке должны иметь ячейки размером не более,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Внутренние петли в конструкции дверей.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запирания дверей применить трехточечное запирающее устройство, унифицированные внутренние замки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КТПН предусмотреть монтаж пола в РУВН и РУНН,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маслоприемника в камере трансформатора или под силовым трансформатором в соответствие с ПУЭ, изд. 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Заземление в КТПН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нейтраль силового трансформатора и все металлические нетоковедущие части электрооборудования, которые могут оказаться под напряжением. КТПН должна иметь снаружи силового каркаса площадки для присоединения к внешнему контуру заземления, обозначенных знаком «Заземление».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Оснастить заходы  ВЛ 6- 10 кВ  в Корпус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Воздушный ввод ВН и выход НН выполнить в отдельных коробах с возможным доступом для замены изоляторов и шин.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Кабельный ввод НН оснастить герметичными проходками.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spacing w:before="0" w:after="0"/>
              <w:ind w:left="0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У3, 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У3;</w:t>
            </w:r>
          </w:p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Минус 60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Толщина стенки гололеда, мм,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Сейсмостойкость, баллов по шкале MSK-64,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/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ранее 2026 г., серийного выпуска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года выпуска продукции (оборудования)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677004, РФ, РС (Я), г. Якутск, ул. Беринга, 42 Производственная база АО «Сахаэнерго».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обозначение стандартов или технических условий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  <w:lang w:val="en-US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 транспортировании КТПН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неокрашенные металлические поверхности КТПН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ind w:left="72" w:hanging="0"/>
              <w:rPr/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11.2.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0"/>
              <w:rPr/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Комплектация КТПН: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РУВН;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силовой трансформатор;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РУНН;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шинопроводы, предусмотренные конструкцией КТПН;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запасные части и принадлежности по ведомости 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Однолинейная схема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Сборочный чертеж с размерами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вторичных соединений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компоновки оборудования – 1 шт.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комплектуется: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Комплектом электрозащитных средств (оперативная универсальная штанга, клещи для снятия предохранителей с выключателя нагрузки ВНР, диэлектрические перчатки) и первичных средств пожаротушения;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Комплектами метизов для сборки и подключения КТПН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Дополнительный комплект плавких ставок ПКТ</w:t>
            </w:r>
          </w:p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Внешним разъединителем (РЛНДЗ -10/630 с ручным приводом).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14.1.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Во всем неоговоренном КТП и встраиваемое оборудование должны соответствовать требованиям  </w:t>
            </w:r>
            <w:r>
              <w:rPr>
                <w:sz w:val="24"/>
              </w:rPr>
              <w:t>ПУЭ,  ГОСТ 14695-80, ГОСТ 14693-90, ГОСТ 11920-85, ГОСТ 11677-85, ГОСТ 1516.3-96.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Дополнительные требования к комплектным трансформаторным подстанциям в металлическом корпусе: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 по ГОСТ 1516.1 с масляным трансформатором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нормальная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Обязательное соответствие оборудования техническим требованиям, указанным в главе 4 ПУЭ 7-е издание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Оборудование должно соответствовать техническим требованиям, указанным в главе 4 ПУЭ 7-е издание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Степень загрязнения изоляции ГОСТ 9920-89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III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в непрерывном режиме, круглосуточно, в течение установленного срока службы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25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 по пункту 1.4,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 лет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Упаковка, маркировка, временная антикоррозийная защита, транспортирование, условия хранения всех устройств, запасных частей, расходных материалов и документации в соответствии с требованиями, указанными в технических условиях изготовителя оборудования и требованиям ГОСТ 23216-78, ГОСТ 15150-69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>
          <w:highlight w:val="white"/>
        </w:rPr>
      </w:pPr>
      <w:bookmarkStart w:id="97" w:name="__RefHeading___Toc147636_1601336961_Копи"/>
      <w:bookmarkStart w:id="98" w:name="_Toc184304518_Копия_1"/>
      <w:bookmarkEnd w:id="97"/>
      <w:r>
        <w:rPr>
          <w:highlight w:val="white"/>
        </w:rPr>
        <w:t>Таблица 3.</w:t>
      </w:r>
      <w:r>
        <w:rPr>
          <w:highlight w:val="white"/>
          <w:shd w:fill="81D41A" w:val="clear"/>
        </w:rPr>
        <w:t>10</w:t>
      </w:r>
      <w:r>
        <w:rPr>
          <w:highlight w:val="white"/>
        </w:rPr>
        <w:t xml:space="preserve"> Требования к продукции</w:t>
      </w:r>
      <w:bookmarkEnd w:id="98"/>
      <w:r>
        <w:rPr>
          <w:highlight w:val="white"/>
        </w:rPr>
        <w:t xml:space="preserve"> </w:t>
      </w:r>
    </w:p>
    <w:p>
      <w:pPr>
        <w:pStyle w:val="Normal"/>
        <w:rPr>
          <w:highlight w:val="white"/>
          <w:shd w:fill="81D41A" w:val="clear"/>
        </w:rPr>
      </w:pP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Наименование продукции </w:t>
      </w:r>
      <w:r>
        <w:rPr>
          <w:i/>
          <w:sz w:val="24"/>
          <w:szCs w:val="24"/>
          <w:highlight w:val="white"/>
          <w:shd w:fill="81D41A" w:val="clear"/>
        </w:rPr>
        <w:t>(позиция № 10, Таблицы 1.1):</w:t>
      </w: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 </w:t>
      </w:r>
      <w:r>
        <w:rPr>
          <w:i/>
          <w:iCs/>
          <w:sz w:val="24"/>
          <w:szCs w:val="24"/>
          <w:highlight w:val="white"/>
          <w:shd w:fill="81D41A" w:val="clear"/>
        </w:rPr>
        <w:t>Подстанция комплектная трансформаторная КТП-100/6/0,4 к комплекте с ТМГ-100/6/0,4 для технологического присоединения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W w:w="1516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56"/>
        <w:gridCol w:w="26"/>
        <w:gridCol w:w="2837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88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3882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8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омплектная трансформаторная подстанция наружной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iCs/>
                <w:sz w:val="24"/>
                <w:szCs w:val="24"/>
              </w:rPr>
              <w:t>КТПН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Киосковая понижающая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Корпуса ТП должны быть выполнены из стали (Все наружные соединения выполнить сплошными сварными швами);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Полы ТП выполнить из стальных рифлёных листов (Все наружные соединения выполнить сплошными сварными швами).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2 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4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металлические детали корпуса ТП должны иметь защитное покрытие от коррозии п. 3.13.  ГОСТ 14695-80 «Подстанции трансформаторные комплектные мощностью от 25 до 2500 кВ·А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Габариты трансформаторного отсека,  передвижение и крепления трансформатора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Выполнить с учётом возможности установки силового трансформатора следующего габарита, для КТПН 100 кВа считать следующим габаритом 250 кВа. Для КТП предусмотреть возможность замены (перемещения) трансформатора на собственных колесах, входящих в комплект. В рабочем положении трансформатор должен быть жестко закреплен.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Мощность силового трансформатора, кВА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НН,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вспомогательных цепей КТП, не более, 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Переменного тока 400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на стороне ВН, с.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НН,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 на стороне НН, с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НН не менее,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Общие технические требования к поставляемому оборудованию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подстанция должна быть поставлена с полностью смонтированными первичными и вторичными цепями.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электрической прочности изоляции: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полного грозового импульса:</w:t>
            </w:r>
          </w:p>
          <w:p>
            <w:pPr>
              <w:pStyle w:val="ListParagraph"/>
              <w:widowControl w:val="false"/>
              <w:numPr>
                <w:ilvl w:val="0"/>
                <w:numId w:val="2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tabs>
                <w:tab w:val="clear" w:pos="708"/>
                <w:tab w:val="left" w:pos="0" w:leader="none"/>
              </w:tabs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Кратковременное (одноминутное) переменное напряжение: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промежутком);</w:t>
            </w:r>
          </w:p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под дождем (для категории размещения 1)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Удельная эффективная длина пути утечки внешней изоляции, см/кВ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2,5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изоляции главных и вспомогательных цепей КТП со стороны НН, в течение 1 мин.,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Сопротивление изоляции электрически изолированных цепей шкафов РУНН, МОм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силовому трансформатору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ТМГ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охлаждения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Масляное естественное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Количество, шт.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и группа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соединения обмоток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соединения Y/Yн-0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Выполнения нейтрали трансформатора на стороне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глухозаземленной нейтралью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Вид, диапазон и количество ступеней регулирования напряжения </w:t>
              <w:br/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ПБВ ±2X 2,5%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холостого хода,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100 кВА Рхх ≤ 250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короткого замыкания,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100 кВА Ркз ≤ 1750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холостого хода,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3%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Напряжение короткого замыкания,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РУВН (УВН):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Требования к шкафу РУ: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не менее: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главных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вспомогательных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дверей шкафов РУ,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защитных шторок, открываний и закрываний;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заземляющего разъединителя, операций 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- 500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-500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выключателю нагрузки: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ВНА-6(10)/400 (либо эквивалентная продукция),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4.2.6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предохранителей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4.2.7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Выбирается из номинальных токов ВН трансформатора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4.2.8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4.2.9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 /  Выбирается из номинальных токов ВН трансформатора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4.2.10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шинам: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РУВН-Трансформатор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250кВА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ограничителю перенапряжения: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  <w:lang w:val="en-US"/>
              </w:rPr>
              <w:t>4</w:t>
            </w:r>
            <w:r>
              <w:rPr>
                <w:rFonts w:eastAsia="Calibri"/>
                <w:sz w:val="24"/>
                <w:szCs w:val="24"/>
              </w:rPr>
              <w:t>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ОПН 6/7,2 </w:t>
            </w: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(1 трехфазных комплекта)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шахтах вывода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РУНН: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ТП между низковольтным выводом силового трансформатора и вводным аппаратом защиты и управления необходимо использовать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жесткую ошиновку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250кВА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Трансформатора-РУНН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рубильнику: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РЕ19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шт. /  Выбирается из номинальных токов НН трансформатора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автоматическим выключателям: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ВА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 /  Выбирается из номинальных токов НН трансформатора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Optimat D (или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шт./100А; 1 шт./63А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5.3.2.4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5.3.2.5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току в меньшую сторону от номинала АВ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Уставка расцепителя тока короткого замыкания 10ln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автоматического выключателя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узлу учета электроэнергии:</w:t>
            </w:r>
          </w:p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(общий ввод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Трехфазный прибор учета полукосвенного включения Меркурий 230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</w:rPr>
              <w:t>на присоединениях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100А, 63А – Трехфазный прибор учета полукосвенного включения Меркурий 234 ARTMX2-03 (D)PBR.G7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 электрической энергии размером 800х650х250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Согласно схемы размещения в шкафу учета предусмотреть крепления (места) для приборов учета учёта.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ОПН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  <w:t>-//-</w:t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rStyle w:val="Strong"/>
                <w:b w:val="false"/>
                <w:color w:val="000000"/>
                <w:sz w:val="24"/>
                <w:szCs w:val="24"/>
              </w:rPr>
              <w:t>ОПН 0,4/0,4/5/300 (либо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безопасности: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Оборудования ВН и НН</w:t>
            </w:r>
          </w:p>
          <w:p>
            <w:pPr>
              <w:pStyle w:val="ListParagraph"/>
              <w:widowControl w:val="false"/>
              <w:spacing w:before="0" w:after="0"/>
              <w:contextualSpacing/>
              <w:rPr/>
            </w:pPr>
            <w:r>
              <w:rPr/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коридора (тамбура) обслуживания в РУВН и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Выполнение высоковольтного вывода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Присоединение к шкафам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Конструкция КТПН должна обеспечивать возможность замены силового трансформатора без демонтажа РУНН.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должны поставляться в полностью собранном виде, или транспортными блоками, подготовленными для сборки на месте монтажа без разборки коммутационных аппаратов, проверки надежности болтовых соединений и правильности внутренних соединений п. 3.16. 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Оснастить необходимыми блокировками, (блокирующими замками) препятствующими проникновению персонала при поданном напряжении согласно ПТЭ РФ п.5.4.10, узлы ТП: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- привод главных ножей отдельно стоящего разъединителя с вводным выключателем 0,4 кВ;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- привод заземляющих ножей выключателя нагрузки с дверцами отсека ВН (при наличии) и дверцами трансформаторного отсека.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Вентиляция отсеков трансформаторов, РУВН и РУНН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Сетчатые ограждения в трансформаторном отсеке должны иметь ячейки размером не более,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Внутренние петли в конструкции дверей.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запирания дверей применить трехточечное запирающее устройство, унифицированные внутренние замки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КТПН предусмотреть монтаж пола в РУВН и РУНН,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маслоприемника в камере трансформатора или под силовым трансформатором в соответствие с ПУЭ, изд. 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Заземление в КТПН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нейтраль силового трансформатора и все металлические нетоковедущие части электрооборудования, которые могут оказаться под напряжением. КТПН должна иметь снаружи силового каркаса площадки для присоединения к внешнему контуру заземления, обозначенных знаком «Заземление».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Оснастить заходы  ВЛ 6- 10 кВ  в Корпус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Воздушный ввод ВН и выход НН выполнить в отдельных коробах с возможным доступом для замены изоляторов и шин.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Кабельный ввод НН оснастить герметичными проходками.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У3, 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У3;</w:t>
            </w:r>
          </w:p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Минус 60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Толщина стенки гололеда, мм,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Сейсмостойкость, баллов по шкале MSK-64,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/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ранее 2026 г., серийного выпуска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года выпуска продукции (оборудования)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677004, РФ, РС (Я), г. Якутск, ул. Беринга, 42 Производственная база АО «Сахаэнерго».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4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обозначение стандартов или технических условий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  <w:lang w:val="en-US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 транспортировании КТПН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неокрашенные металлические поверхности КТПН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ind w:left="72" w:hanging="0"/>
              <w:rPr/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11.2.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0"/>
              <w:rPr/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Комплектация КТПН: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РУВН;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силовой трансформатор;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РУНН;</w:t>
            </w:r>
          </w:p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шинопроводы, предусмотренные конструкцией КТПН;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запасные части и принадлежности по ведомости 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Однолинейная схема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Сборочный чертеж с размерами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вторичных соединений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компоновки оборудования – 1 шт.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комплектуется: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Комплектом электрозащитных средств (оперативная универсальная штанга, клещи для снятия предохранителей с выключателя нагрузки ВНР, диэлектрические перчатки) и первичных средств пожаротушения;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Комплектами метизов для сборки и подключения КТПН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Дополнительный комплект плавких ставок ПКТ</w:t>
            </w:r>
          </w:p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Внешним разъединителем (РЛНДЗ -10/630 с ручным приводом).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14.1.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Во всем неоговоренном КТП и встраиваемое оборудование должны соответствовать требованиям  </w:t>
            </w:r>
            <w:r>
              <w:rPr>
                <w:sz w:val="24"/>
              </w:rPr>
              <w:t>ПУЭ,  ГОСТ 14695-80, ГОСТ 14693-90, ГОСТ 11920-85, ГОСТ 11677-85, ГОСТ 1516.3-96.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Дополнительные требования к комплектным трансформаторным подстанциям в металлическом корпусе: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 по ГОСТ 1516.1 с масляным трансформатором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нормальная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Обязательное соответствие оборудования техническим требованиям, указанным в главе 4 ПУЭ 7-е издание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Оборудование должно соответствовать техническим требованиям, указанным в главе 4 ПУЭ 7-е издание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Степень загрязнения изоляции ГОСТ 9920-89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III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в непрерывном режиме, круглосуточно, в течение установленного срока службы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25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 по пункту 1.4,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 лет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Упаковка, маркировка, временная антикоррозийная защита, транспортирование, условия хранения всех устройств, запасных частей, расходных материалов и документации в соответствии с требованиями, указанными в технических условиях изготовителя оборудования и требованиям ГОСТ 23216-78, ГОСТ 15150-69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>
          <w:highlight w:val="white"/>
        </w:rPr>
      </w:pPr>
      <w:r>
        <w:rPr>
          <w:highlight w:val="white"/>
        </w:rPr>
        <w:t>Таблица 3.</w:t>
      </w:r>
      <w:r>
        <w:rPr>
          <w:highlight w:val="white"/>
          <w:shd w:fill="81D41A" w:val="clear"/>
        </w:rPr>
        <w:t>11</w:t>
      </w:r>
      <w:r>
        <w:rPr>
          <w:highlight w:val="white"/>
        </w:rPr>
        <w:t xml:space="preserve"> Требования к продукции </w:t>
      </w:r>
    </w:p>
    <w:p>
      <w:pPr>
        <w:pStyle w:val="Style43"/>
        <w:widowControl w:val="false"/>
        <w:rPr>
          <w:bCs/>
          <w:i/>
          <w:i/>
          <w:color w:val="000000"/>
          <w:sz w:val="20"/>
          <w:szCs w:val="20"/>
          <w:highlight w:val="white"/>
          <w:shd w:fill="81D41A" w:val="clear"/>
        </w:rPr>
      </w:pP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Наименование продукции </w:t>
      </w:r>
      <w:r>
        <w:rPr>
          <w:i/>
          <w:sz w:val="24"/>
          <w:szCs w:val="24"/>
          <w:highlight w:val="white"/>
          <w:shd w:fill="81D41A" w:val="clear"/>
        </w:rPr>
        <w:t>(позиция № 11, Таблицы 1.1):</w:t>
      </w:r>
      <w:r>
        <w:rPr>
          <w:b/>
          <w:bCs/>
          <w:i/>
          <w:iCs/>
          <w:sz w:val="28"/>
          <w:szCs w:val="28"/>
          <w:highlight w:val="white"/>
          <w:shd w:fill="81D41A" w:val="clear"/>
        </w:rPr>
        <w:t xml:space="preserve"> </w:t>
      </w:r>
      <w:r>
        <w:rPr>
          <w:i/>
          <w:iCs/>
          <w:color w:val="000000"/>
          <w:sz w:val="24"/>
          <w:szCs w:val="24"/>
          <w:highlight w:val="white"/>
          <w:shd w:fill="81D41A" w:val="clear"/>
        </w:rPr>
        <w:t xml:space="preserve">Подстанция комплектная трансформаторная КТП-400/6/0.4 в комплекте с ТМГ-400/6/0,4 по </w:t>
      </w:r>
      <w:r>
        <w:rPr>
          <w:i/>
          <w:iCs/>
          <w:color w:val="000000"/>
          <w:sz w:val="20"/>
          <w:szCs w:val="20"/>
          <w:highlight w:val="white"/>
          <w:shd w:fill="81D41A" w:val="clear"/>
        </w:rPr>
        <w:t>программе технического перевооружения</w:t>
      </w:r>
    </w:p>
    <w:p>
      <w:pPr>
        <w:pStyle w:val="Normal"/>
        <w:rPr>
          <w:highlight w:val="white"/>
        </w:rPr>
      </w:pPr>
      <w:r>
        <w:rPr>
          <w:highlight w:val="white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W w:w="1516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56"/>
        <w:gridCol w:w="26"/>
        <w:gridCol w:w="2837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88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3882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8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омплектная трансформаторная подстанция наружной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iCs/>
                <w:sz w:val="24"/>
                <w:szCs w:val="24"/>
              </w:rPr>
              <w:t>КТПН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Киосковая понижающая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Корпуса ТП должны быть выполнены из стали (Все наружные соединения выполнить сплошными сварными швами);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Полы ТП выполнить из стальных рифлёных листов (Все наружные соединения выполнить сплошными сварными швами).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2 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4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металлические детали корпуса ТП должны иметь защитное покрытие от коррозии п. 3.13.  ГОСТ 14695-80 «Подстанции трансформаторные комплектные мощностью от 25 до 2500 кВ·А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Габариты трансформаторного отсека,  передвижение и крепления трансформатора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Выполнить с учётом возможности установки силового трансформатора 400 кВа  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КТП предусмотреть возможность замены (перемещения) трансформатора на собственных колесах, входящих в комплект. В рабочем положении трансформатор должен быть жестко закреплен.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Мощность силового трансформатора, кВА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НН,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вспомогательных цепей КТП, не более, 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Переменного тока 400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на стороне ВН, с.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НН,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 на стороне НН, с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НН не менее,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Общие технические требования к поставляемому оборудованию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подстанция должна быть поставлена с полностью смонтированными первичными и вторичными цепями.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электрической прочности изоляции: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полного грозового импульса:</w:t>
            </w:r>
          </w:p>
          <w:p>
            <w:pPr>
              <w:pStyle w:val="ListParagraph"/>
              <w:widowControl w:val="false"/>
              <w:numPr>
                <w:ilvl w:val="0"/>
                <w:numId w:val="13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tabs>
                <w:tab w:val="clear" w:pos="708"/>
                <w:tab w:val="left" w:pos="0" w:leader="none"/>
              </w:tabs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Кратковременное (одноминутное) переменное напряжение: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промежутком);</w:t>
            </w:r>
          </w:p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под дождем (для категории размещения 1)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Удельная эффективная длина пути утечки внешней изоляции, см/кВ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2,5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изоляции главных и вспомогательных цепей КТП со стороны НН, в течение 1 мин.,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Сопротивление изоляции электрически изолированных цепей шкафов РУНН, МОм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силовому трансформатору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ТМГ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охлаждения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Масляное естественное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Количество, шт.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и группа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соединения обмоток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соединения Y/Yн-0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Выполнения нейтрали трансформатора на стороне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глухозаземленной нейтралью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Вид, диапазон и количество ступеней регулирования напряжения </w:t>
              <w:br/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ПБВ ±2X 2,5%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холостого хода,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400 кВА Рхх ≤ 650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короткого замыкания,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400 кВА Ркз ≤ 4600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холостого хода,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3%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Напряжение короткого замыкания,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РУВН (УВН):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Требования к шкафу РУ: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не менее:</w:t>
            </w:r>
          </w:p>
          <w:p>
            <w:pPr>
              <w:pStyle w:val="ListParagraph"/>
              <w:widowControl w:val="false"/>
              <w:numPr>
                <w:ilvl w:val="0"/>
                <w:numId w:val="14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главных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14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вспомогательных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14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дверей шкафов РУ,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14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защитных шторок, открываний и закрываний;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заземляющего разъединителя, операций 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- 500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-500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выключателю нагрузки: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ВНА-6(10)/400 (либо эквивалентная продукция),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4.2.6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предохранителей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4.2.7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80А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4.2.8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4.2.9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/  80А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4.2.10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шинам: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РУВН-Трансформатор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400кВА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400кВА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ограничителю перенапряжения: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  <w:lang w:val="en-US"/>
              </w:rPr>
              <w:t>4</w:t>
            </w:r>
            <w:r>
              <w:rPr>
                <w:rFonts w:eastAsia="Calibri"/>
                <w:sz w:val="24"/>
                <w:szCs w:val="24"/>
              </w:rPr>
              <w:t>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ОПН 6/7,2 </w:t>
            </w: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(1 трехфазных комплекта)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шахтах вывода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РУНН: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400кВА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ТП между низковольтным выводом силового трансформатора и вводным аппаратом защиты и управления необходимо использовать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жесткую ошиновку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400кВА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Трансформатора-РУНН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рубильнику: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РЕ19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шт. /  630А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автоматическим выключателям: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ВА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 / 630А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Optimat D (или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шт./250А; 3 шт./160А; 1шт/25А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5.3.2.4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5.3.2.5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току в меньшую сторону от номинала АВ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Уставка расцепителя тока короткого замыкания 10ln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автоматического выключателя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узлу учета электроэнергии:</w:t>
            </w:r>
          </w:p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(общий ввод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Трехфазный прибор учета полукосвенного включения Меркурий 230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</w:rPr>
              <w:t>на присоединениях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250А, 160А,160А – Трехфазный прибор учета полукосвенного включения Меркурий 234 ARTMX2-03 (D)PBR.G7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 электрической энергии размером 800х650х250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Согласно схемы размещения в шкафу учета предусмотреть крепления (места) для приборов учета учёта.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ОПН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  <w:t>-//-</w:t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rStyle w:val="Strong"/>
                <w:b w:val="false"/>
                <w:color w:val="000000"/>
                <w:sz w:val="24"/>
                <w:szCs w:val="24"/>
              </w:rPr>
              <w:t>ОПН 0,4/0,4/5/300 (либо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безопасности: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Оборудования ВН и НН</w:t>
            </w:r>
          </w:p>
          <w:p>
            <w:pPr>
              <w:pStyle w:val="ListParagraph"/>
              <w:widowControl w:val="false"/>
              <w:spacing w:before="0" w:after="0"/>
              <w:contextualSpacing/>
              <w:rPr/>
            </w:pPr>
            <w:r>
              <w:rPr/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коридора (тамбура) обслуживания в РУВН и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Выполнение высоковольтного вывода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Присоединение к шкафам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Конструкция КТПН должна обеспечивать возможность замены силового трансформатора без демонтажа РУНН.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должны поставляться в полностью собранном виде, или транспортными блоками, подготовленными для сборки на месте монтажа без разборки коммутационных аппаратов, проверки надежности болтовых соединений и правильности внутренних соединений п. 3.16. 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Вентиляция отсеков трансформаторов, РУВН и РУНН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Сетчатые ограждения в трансформаторном отсеке должны иметь ячейки размером не более,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Внутренние петли в конструкции дверей.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запирания дверей применить трехточечное запирающее устройство, унифицированные внутренние замки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КТПН предусмотреть монтаж пола в РУВН и РУНН,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маслоприемника в камере трансформатора или под силовым трансформатором в соответствие с ПУЭ, изд. 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Заземление в КТПН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нейтраль силового трансформатора и все металлические нетоковедущие части электрооборудования, которые могут оказаться под напряжением. КТПН должна иметь снаружи силового каркаса площадки для присоединения к внешнему контуру заземления, обозначенных знаком «Заземление».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Оснастить заходы  ВЛ 6- 10 кВ  в 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Воздушный ввод ВН и выход НН выполнить в отдельных коробах с возможным доступом для замены изоляторов и шин.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Кабельный ввод НН оснастить герметичными проходками.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8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18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18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6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У3, 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16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17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У3;</w:t>
            </w:r>
          </w:p>
          <w:p>
            <w:pPr>
              <w:pStyle w:val="ListParagraph"/>
              <w:widowControl w:val="false"/>
              <w:numPr>
                <w:ilvl w:val="0"/>
                <w:numId w:val="17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17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Минус 60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Толщина стенки гололеда, мм,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Сейсмостойкость, баллов по шкале MSK-64,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/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ранее 2026 г., серийного выпуска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года выпуска продукции (оборудования)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677004, РФ, РС (Я), г. Якутск, ул. Беринга, 42 Производственная база АО «Сахаэнерго».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15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обозначение стандартов или технических условий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Установить снаружи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1. «Батагай ТП №58 ЦРП»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 транспортировании КТПН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неокрашенные металлические поверхности КТПН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ind w:left="72" w:hanging="0"/>
              <w:rPr/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11.2.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0"/>
              <w:rPr/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Комплектация КТПН:</w:t>
            </w:r>
          </w:p>
          <w:p>
            <w:pPr>
              <w:pStyle w:val="ListParagraph"/>
              <w:widowControl w:val="false"/>
              <w:numPr>
                <w:ilvl w:val="0"/>
                <w:numId w:val="1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РУВН;</w:t>
            </w:r>
          </w:p>
          <w:p>
            <w:pPr>
              <w:pStyle w:val="ListParagraph"/>
              <w:widowControl w:val="false"/>
              <w:numPr>
                <w:ilvl w:val="0"/>
                <w:numId w:val="1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силовой трансформатор;</w:t>
            </w:r>
          </w:p>
          <w:p>
            <w:pPr>
              <w:pStyle w:val="ListParagraph"/>
              <w:widowControl w:val="false"/>
              <w:numPr>
                <w:ilvl w:val="0"/>
                <w:numId w:val="1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РУНН;</w:t>
            </w:r>
          </w:p>
          <w:p>
            <w:pPr>
              <w:pStyle w:val="ListParagraph"/>
              <w:widowControl w:val="false"/>
              <w:numPr>
                <w:ilvl w:val="0"/>
                <w:numId w:val="1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шинопроводы, предусмотренные конструкцией КТПН;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запасные части и принадлежности по ведомости 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9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Однолинейная схема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Сборочный чертеж с размерами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вторичных соединений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компоновки оборудования – 1 шт.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комплектуется: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Комплектом электрозащитных средств (оперативная универсальная штанга, клещи для снятия предохранителей с выключателя нагрузки ВНР, диэлектрические перчатки) и первичных средств пожаротушения;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Комплектами метизов для сборки и подключения КТПН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Дополнительный комплект плавких ставок ПКТ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14.1.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Во всем неоговоренном КТП и встраиваемое оборудование должны соответствовать требованиям  </w:t>
            </w:r>
            <w:r>
              <w:rPr>
                <w:sz w:val="24"/>
              </w:rPr>
              <w:t>ПУЭ,  ГОСТ 14695-80, ГОСТ 14693-90, ГОСТ 11920-85, ГОСТ 11677-85, ГОСТ 1516.3-96.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Дополнительные требования к комплектным трансформаторным подстанциям в металлическом корпусе: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 по ГОСТ 1516.1 с масляным трансформатором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нормальная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Обязательное соответствие оборудования техническим требованиям, указанным в главе 4 ПУЭ 7-е издание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Оборудование должно соответствовать техническим требованиям, указанным в главе 4 ПУЭ 7-е издание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Степень загрязнения изоляции ГОСТ 9920-89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III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в непрерывном режиме, круглосуточно, в течение установленного срока службы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25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 лет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Упаковка, маркировка, временная антикоррозийная защита, транспортирование, условия хранения всех устройств, запасных частей, расходных материалов и документации в соответствии с требованиями, указанными в технических условиях изготовителя оборудования и требованиям ГОСТ 23216-78, ГОСТ 15150-69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>
          <w:highlight w:val="white"/>
        </w:rPr>
      </w:pPr>
      <w:r>
        <w:rPr>
          <w:highlight w:val="white"/>
        </w:rPr>
        <w:t>Таблица 3.</w:t>
      </w:r>
      <w:r>
        <w:rPr>
          <w:highlight w:val="white"/>
          <w:shd w:fill="81D41A" w:val="clear"/>
        </w:rPr>
        <w:t>12</w:t>
      </w:r>
      <w:r>
        <w:rPr>
          <w:highlight w:val="white"/>
        </w:rPr>
        <w:t xml:space="preserve"> Требования к продукции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Cs/>
          <w:i/>
          <w:i/>
          <w:sz w:val="22"/>
          <w:szCs w:val="22"/>
        </w:rPr>
      </w:pP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Наименование продукции </w:t>
      </w:r>
      <w:r>
        <w:rPr>
          <w:i/>
          <w:sz w:val="24"/>
          <w:szCs w:val="24"/>
          <w:highlight w:val="white"/>
          <w:shd w:fill="81D41A" w:val="clear"/>
        </w:rPr>
        <w:t>(позиция № 12, Таблицы 1.1):</w:t>
      </w:r>
      <w:r>
        <w:rPr>
          <w:b/>
          <w:bCs/>
          <w:i/>
          <w:iCs/>
          <w:sz w:val="28"/>
          <w:szCs w:val="28"/>
          <w:highlight w:val="white"/>
          <w:shd w:fill="81D41A" w:val="clear"/>
        </w:rPr>
        <w:t xml:space="preserve"> </w:t>
      </w:r>
      <w:r>
        <w:rPr>
          <w:rFonts w:eastAsia="Times New Roman" w:cs="Times New Roman"/>
          <w:i/>
          <w:iCs/>
          <w:color w:val="000000"/>
          <w:sz w:val="22"/>
          <w:szCs w:val="22"/>
        </w:rPr>
        <w:t xml:space="preserve">Подстанция комплектная трансформаторная КТП-250/6/0.4 в комплекте с ТМГ 250/6/0,4 </w:t>
      </w:r>
      <w:r>
        <w:rPr>
          <w:i/>
          <w:iCs/>
          <w:color w:val="000000"/>
          <w:sz w:val="22"/>
          <w:szCs w:val="22"/>
          <w:highlight w:val="white"/>
          <w:shd w:fill="81D41A" w:val="clear"/>
        </w:rPr>
        <w:t>по программе технического перевооружения</w:t>
      </w:r>
    </w:p>
    <w:p>
      <w:pPr>
        <w:pStyle w:val="Normal"/>
        <w:rPr>
          <w:highlight w:val="white"/>
        </w:rPr>
      </w:pPr>
      <w:r>
        <w:rPr>
          <w:highlight w:val="white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W w:w="1516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56"/>
        <w:gridCol w:w="26"/>
        <w:gridCol w:w="2837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88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3882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8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омплектная трансформаторная подстанция наружной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iCs/>
                <w:sz w:val="24"/>
                <w:szCs w:val="24"/>
              </w:rPr>
              <w:t>КТПН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Киосковая понижающая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Корпуса ТП должны быть выполнены из стали (Все наружные соединения выполнить сплошными сварными швами);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Полы ТП выполнить из стальных рифлёных листов (Все наружные соединения выполнить сплошными сварными швами).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2 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4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металлические детали корпуса ТП должны иметь защитное покрытие от коррозии п. 3.13.  ГОСТ 14695-80 «Подстанции трансформаторные комплектные мощностью от 25 до 2500 кВ·А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Габариты трансформаторного отсека,  передвижение и крепления трансформатора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Выполнить с учётом возможности установки силового трансформатора 250 кВа  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КТП предусмотреть возможность замены (перемещения) трансформатора на собственных колесах, входящих в комплект. В рабочем положении трансформатор должен быть жестко закреплен.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Мощность силового трансформатора, кВА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НН,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вспомогательных цепей КТП, не более, 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Переменного тока 400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на стороне ВН, с.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НН,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 на стороне НН, с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НН не менее,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Общие технические требования к поставляемому оборудованию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подстанция должна быть поставлена с полностью смонтированными первичными и вторичными цепями.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электрической прочности изоляции: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полного грозового импульса:</w:t>
            </w:r>
          </w:p>
          <w:p>
            <w:pPr>
              <w:pStyle w:val="ListParagraph"/>
              <w:widowControl w:val="false"/>
              <w:numPr>
                <w:ilvl w:val="0"/>
                <w:numId w:val="20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tabs>
                <w:tab w:val="clear" w:pos="708"/>
                <w:tab w:val="left" w:pos="0" w:leader="none"/>
              </w:tabs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Кратковременное (одноминутное) переменное напряжение: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промежутком);</w:t>
            </w:r>
          </w:p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под дождем (для категории размещения 1)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Удельная эффективная длина пути утечки внешней изоляции, см/кВ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2,5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изоляции главных и вспомогательных цепей КТП со стороны НН, в течение 1 мин.,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Сопротивление изоляции электрически изолированных цепей шкафов РУНН, МОм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силовому трансформатору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ТМГ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охлаждения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Масляное естественное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Количество, шт.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и группа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соединения обмоток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соединения Y/Yн-0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Выполнения нейтрали трансформатора на стороне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глухозаземленной нейтралью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Вид, диапазон и количество ступеней регулирования напряжения </w:t>
              <w:br/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ПБВ ±2X 2,5%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холостого хода,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250 кВА Рхх ≤530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короткого замыкания,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250 кВА Ркз ≤ 3250Вт.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холостого хода,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3%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Напряжение короткого замыкания,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РУВН (УВН):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Требования к шкафу РУ: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не менее:</w:t>
            </w:r>
          </w:p>
          <w:p>
            <w:pPr>
              <w:pStyle w:val="ListParagraph"/>
              <w:widowControl w:val="false"/>
              <w:numPr>
                <w:ilvl w:val="0"/>
                <w:numId w:val="21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главных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21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вспомогательных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21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дверей шкафов РУ,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21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защитных шторок, открываний и закрываний;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заземляющего разъединителя, операций 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- 500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-500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выключателю нагрузки: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ВНА-6(10)/400 (либо эквивалентная продукция),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4.2.6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предохранителей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4.2.7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40А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4.2.8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4.2.9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/  40А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4.2.10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шинам: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РУВН-Трансформатор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250кВА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ограничителю перенапряжения: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  <w:lang w:val="en-US"/>
              </w:rPr>
              <w:t>4</w:t>
            </w:r>
            <w:r>
              <w:rPr>
                <w:rFonts w:eastAsia="Calibri"/>
                <w:sz w:val="24"/>
                <w:szCs w:val="24"/>
              </w:rPr>
              <w:t>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ОПН 6/7,2 </w:t>
            </w: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(1 трехфазных комплекта)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шахтах вывода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РУНН: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250кВА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ТП между низковольтным выводом силового трансформатора и вводным аппаратом защиты и управления необходимо использовать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жесткую ошиновку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250кВА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Трансформатора-РУНН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рубильнику: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РЕ19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шт. /  400А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автоматическим выключателям: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ВА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 / 400А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Optimat D (или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3 шт./160А; 1шт/25А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5.3.2.4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5.3.2.5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току в меньшую сторону от номинала АВ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Уставка расцепителя тока короткого замыкания 10ln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автоматического выключателя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узлу учета электроэнергии:</w:t>
            </w:r>
          </w:p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(общий ввод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Трехфазный прибор учета полукосвенного включения Меркурий 230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</w:rPr>
              <w:t>на присоединениях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160А, 160А,160А – Трехфазный прибор учета полукосвенного включения Меркурий 234 ARTMX2-03 (D)PBR.G7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 электрической энергии размером 800х650х250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Согласно схемы размещения в шкафу учета предусмотреть крепления (места) для приборов учета учёта.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ОПН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  <w:t>-//-</w:t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rStyle w:val="Strong"/>
                <w:b w:val="false"/>
                <w:color w:val="000000"/>
                <w:sz w:val="24"/>
                <w:szCs w:val="24"/>
              </w:rPr>
              <w:t>ОПН 0,4/0,4/5/300 (либо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безопасности: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Оборудования ВН и НН</w:t>
            </w:r>
          </w:p>
          <w:p>
            <w:pPr>
              <w:pStyle w:val="ListParagraph"/>
              <w:widowControl w:val="false"/>
              <w:spacing w:before="0" w:after="0"/>
              <w:contextualSpacing/>
              <w:rPr/>
            </w:pPr>
            <w:r>
              <w:rPr/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коридора (тамбура) обслуживания в РУВН и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Выполнение высоковольтного вывода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Присоединение к шкафам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Конструкция КТПН должна обеспечивать возможность замены силового трансформатора без демонтажа РУНН.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должны поставляться в полностью собранном виде, или транспортными блоками, подготовленными для сборки на месте монтажа без разборки коммутационных аппаратов, проверки надежности болтовых соединений и правильности внутренних соединений п. 3.16. 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Вентиляция отсеков трансформаторов, РУВН и РУНН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Сетчатые ограждения в трансформаторном отсеке должны иметь ячейки размером не более,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Внутренние петли в конструкции дверей.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запирания дверей применить трехточечное запирающее устройство, унифицированные внутренние замки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КТПН предусмотреть монтаж пола в РУВН и РУНН,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маслоприемника в камере трансформатора или под силовым трансформатором в соответствие с ПУЭ, изд. 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Заземление в КТПН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нейтраль силового трансформатора и все металлические нетоковедущие части электрооборудования, которые могут оказаться под напряжением. КТПН должна иметь снаружи силового каркаса площадки для присоединения к внешнему контуру заземления, обозначенных знаком «Заземление».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Оснастить заходы  ВЛ 6- 10 кВ  в 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Воздушный ввод ВН и выход НН выполнить в отдельных коробах с возможным доступом для замены изоляторов и шин.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Кабельный ввод НН оснастить герметичными проходками.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23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23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23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2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У3, 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24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25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У3;</w:t>
            </w:r>
          </w:p>
          <w:p>
            <w:pPr>
              <w:pStyle w:val="ListParagraph"/>
              <w:widowControl w:val="false"/>
              <w:numPr>
                <w:ilvl w:val="0"/>
                <w:numId w:val="25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25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Минус 60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Толщина стенки гололеда, мм,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Сейсмостойкость, баллов по шкале MSK-64,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/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ранее 2026 г., серийного выпуска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года выпуска продукции (оборудования)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677004, РФ, РС (Я), г. Якутск, ул. Беринга, 42 Производственная база АО «Сахаэнерго».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22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обозначение стандартов или технических условий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Установить снаружи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1. «Жиганск ТП №13 Банк»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 транспортировании КТПН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неокрашенные металлические поверхности КТПН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ind w:left="72" w:hanging="0"/>
              <w:rPr/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11.2.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0"/>
              <w:rPr/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Комплектация КТПН:</w:t>
            </w:r>
          </w:p>
          <w:p>
            <w:pPr>
              <w:pStyle w:val="ListParagraph"/>
              <w:widowControl w:val="false"/>
              <w:numPr>
                <w:ilvl w:val="0"/>
                <w:numId w:val="26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РУВН;</w:t>
            </w:r>
          </w:p>
          <w:p>
            <w:pPr>
              <w:pStyle w:val="ListParagraph"/>
              <w:widowControl w:val="false"/>
              <w:numPr>
                <w:ilvl w:val="0"/>
                <w:numId w:val="26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силовой трансформатор;</w:t>
            </w:r>
          </w:p>
          <w:p>
            <w:pPr>
              <w:pStyle w:val="ListParagraph"/>
              <w:widowControl w:val="false"/>
              <w:numPr>
                <w:ilvl w:val="0"/>
                <w:numId w:val="26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РУНН;</w:t>
            </w:r>
          </w:p>
          <w:p>
            <w:pPr>
              <w:pStyle w:val="ListParagraph"/>
              <w:widowControl w:val="false"/>
              <w:numPr>
                <w:ilvl w:val="0"/>
                <w:numId w:val="26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шинопроводы, предусмотренные конструкцией КТПН;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запасные части и принадлежности по ведомости 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26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Однолинейная схема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Сборочный чертеж с размерами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вторичных соединений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компоновки оборудования – 1 шт.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комплектуется: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Комплектом электрозащитных средств (оперативная универсальная штанга, клещи для снятия предохранителей с выключателя нагрузки ВНР, диэлектрические перчатки) и первичных средств пожаротушения;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Комплектами метизов для сборки и подключения КТПН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Дополнительный комплект плавких ставок ПКТ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14.1.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Во всем неоговоренном КТП и встраиваемое оборудование должны соответствовать требованиям  </w:t>
            </w:r>
            <w:r>
              <w:rPr>
                <w:sz w:val="24"/>
              </w:rPr>
              <w:t>ПУЭ,  ГОСТ 14695-80, ГОСТ 14693-90, ГОСТ 11920-85, ГОСТ 11677-85, ГОСТ 1516.3-96.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Дополнительные требования к комплектным трансформаторным подстанциям в металлическом корпусе: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 по ГОСТ 1516.1 с масляным трансформатором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нормальная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Обязательное соответствие оборудования техническим требованиям, указанным в главе 4 ПУЭ 7-е издание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Оборудование должно соответствовать техническим требованиям, указанным в главе 4 ПУЭ 7-е издание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Степень загрязнения изоляции ГОСТ 9920-89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III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в непрерывном режиме, круглосуточно, в течение установленного срока службы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25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 лет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Упаковка, маркировка, временная антикоррозийная защита, транспортирование, условия хранения всех устройств, запасных частей, расходных материалов и документации в соответствии с требованиями, указанными в технических условиях изготовителя оборудования и требованиям ГОСТ 23216-78, ГОСТ 15150-69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>
          <w:highlight w:val="white"/>
        </w:rPr>
      </w:pPr>
      <w:r>
        <w:rPr>
          <w:highlight w:val="white"/>
        </w:rPr>
        <w:t>Таблица 3.</w:t>
      </w:r>
      <w:r>
        <w:rPr>
          <w:highlight w:val="white"/>
          <w:shd w:fill="81D41A" w:val="clear"/>
        </w:rPr>
        <w:t>13</w:t>
      </w:r>
      <w:r>
        <w:rPr>
          <w:highlight w:val="white"/>
        </w:rPr>
        <w:t xml:space="preserve"> Требования к продукции </w:t>
      </w:r>
    </w:p>
    <w:p>
      <w:pPr>
        <w:pStyle w:val="Style43"/>
        <w:widowControl w:val="false"/>
        <w:rPr>
          <w:color w:val="000000"/>
          <w:sz w:val="22"/>
          <w:szCs w:val="22"/>
          <w:highlight w:val="white"/>
          <w:shd w:fill="81D41A" w:val="clear"/>
        </w:rPr>
      </w:pP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Наименование продукции </w:t>
      </w:r>
      <w:r>
        <w:rPr>
          <w:i/>
          <w:sz w:val="24"/>
          <w:szCs w:val="24"/>
          <w:highlight w:val="white"/>
          <w:shd w:fill="81D41A" w:val="clear"/>
        </w:rPr>
        <w:t>(позиция № 13, Таблицы 1.1):</w:t>
      </w:r>
      <w:r>
        <w:rPr>
          <w:b/>
          <w:bCs/>
          <w:i/>
          <w:iCs/>
          <w:sz w:val="28"/>
          <w:szCs w:val="28"/>
          <w:highlight w:val="white"/>
          <w:shd w:fill="81D41A" w:val="clear"/>
        </w:rPr>
        <w:t xml:space="preserve"> </w:t>
      </w:r>
      <w:r>
        <w:rPr>
          <w:color w:val="000000"/>
          <w:sz w:val="22"/>
          <w:szCs w:val="22"/>
          <w:highlight w:val="white"/>
          <w:shd w:fill="81D41A" w:val="clear"/>
        </w:rPr>
        <w:t>Подстанция комплектная трансформаторная  КТП-630/6/0.4 в комплекте с ТМГ 630/6/0.4 по программе технического перевооружения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Cs/>
          <w:i/>
          <w:i/>
          <w:sz w:val="22"/>
          <w:szCs w:val="22"/>
        </w:rPr>
      </w:pPr>
      <w:r>
        <w:rPr>
          <w:rFonts w:cs="Times New Roman"/>
          <w:bCs/>
          <w:i/>
          <w:sz w:val="22"/>
          <w:szCs w:val="22"/>
        </w:rPr>
      </w:r>
    </w:p>
    <w:p>
      <w:pPr>
        <w:pStyle w:val="Normal"/>
        <w:rPr>
          <w:highlight w:val="white"/>
        </w:rPr>
      </w:pPr>
      <w:r>
        <w:rPr>
          <w:highlight w:val="white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W w:w="1516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56"/>
        <w:gridCol w:w="26"/>
        <w:gridCol w:w="2837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88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3882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8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омплектная трансформаторная подстанция наружной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iCs/>
                <w:sz w:val="24"/>
                <w:szCs w:val="24"/>
              </w:rPr>
              <w:t>КТПН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Киосковая понижающая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Корпуса ТП должны быть выполнены из стали (Все наружные соединения выполнить сплошными сварными швами);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Полы ТП выполнить из стальных рифлёных листов (Все наружные соединения выполнить сплошными сварными швами).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2 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4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металлические детали корпуса ТП должны иметь защитное покрытие от коррозии п. 3.13.  ГОСТ 14695-80 «Подстанции трансформаторные комплектные мощностью от 25 до 2500 кВ·А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Габариты трансформаторного отсека,  передвижение и крепления трансформатора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Выполнить с учётом возможности установки силового трансформатора 250 кВа  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КТП предусмотреть возможность замены (перемещения) трансформатора на собственных колесах, входящих в комплект. В рабочем положении трансформатор должен быть жестко закреплен.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Мощность силового трансформатора, кВА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НН,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вспомогательных цепей КТП, не более, 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Переменного тока 400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на стороне ВН, с.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НН,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 на стороне НН, с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НН не менее,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Общие технические требования к поставляемому оборудованию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подстанция должна быть поставлена с полностью смонтированными первичными и вторичными цепями.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электрической прочности изоляции: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полного грозового импульса:</w:t>
            </w:r>
          </w:p>
          <w:p>
            <w:pPr>
              <w:pStyle w:val="ListParagraph"/>
              <w:widowControl w:val="false"/>
              <w:numPr>
                <w:ilvl w:val="0"/>
                <w:numId w:val="27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tabs>
                <w:tab w:val="clear" w:pos="708"/>
                <w:tab w:val="left" w:pos="0" w:leader="none"/>
              </w:tabs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Кратковременное (одноминутное) переменное напряжение: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промежутком);</w:t>
            </w:r>
          </w:p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под дождем (для категории размещения 1)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Удельная эффективная длина пути утечки внешней изоляции, см/кВ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2,5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изоляции главных и вспомогательных цепей КТП со стороны НН, в течение 1 мин.,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Сопротивление изоляции электрически изолированных цепей шкафов РУНН, МОм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силовому трансформатору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ТМГ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охлаждения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Масляное естественное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Количество, шт.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и группа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соединения обмоток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соединения Y/Yн-0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Выполнения нейтрали трансформатора на стороне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глухозаземленной нейтралью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Вид, диапазон и количество ступеней регулирования напряжения </w:t>
              <w:br/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ПБВ ±2X 2,5%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холостого хода,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630 кВА Рхх ≤800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короткого замыкания,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630 кВА Ркз ≤ 6750Вт.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холостого хода,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3%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Напряжение короткого замыкания,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РУВН (УВН):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Требования к шкафу РУ: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не менее:</w:t>
            </w:r>
          </w:p>
          <w:p>
            <w:pPr>
              <w:pStyle w:val="ListParagraph"/>
              <w:widowControl w:val="false"/>
              <w:numPr>
                <w:ilvl w:val="0"/>
                <w:numId w:val="28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главных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28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вспомогательных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28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дверей шкафов РУ,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28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защитных шторок, открываний и закрываний;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заземляющего разъединителя, операций 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- 500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-500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выключателю нагрузки: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ВНА-6(10)/400 (либо эквивалентная продукция),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4.2.6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предохранителей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4.2.7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100А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4.2.8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4.2.9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/ 100А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4.2.10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шинам: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РУВН-Трансформатор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630кВА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630кВА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ограничителю перенапряжения: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  <w:lang w:val="en-US"/>
              </w:rPr>
              <w:t>4</w:t>
            </w:r>
            <w:r>
              <w:rPr>
                <w:rFonts w:eastAsia="Calibri"/>
                <w:sz w:val="24"/>
                <w:szCs w:val="24"/>
              </w:rPr>
              <w:t>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ОПН 6/7,2 </w:t>
            </w: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(1 трехфазных комплекта)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шахтах вывода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РУНН: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630кВА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ТП между низковольтным выводом силового трансформатора и вводным аппаратом защиты и управления необходимо использовать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жесткую ошиновку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630кВА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Трансформатора-РУНН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рубильнику: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РЕ19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шт. / 1000А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автоматическим выключателям: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ВА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 / 1000А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Optimat D (или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шт./630А; 1шт/160А; 1шт/25А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5.3.2.4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5.3.2.5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току в меньшую сторону от номинала АВ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Уставка расцепителя тока короткого замыкания 10ln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автоматического выключателя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узлу учета электроэнергии:</w:t>
            </w:r>
          </w:p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(общий ввод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Трехфазный прибор учета полукосвенного включения Меркурий 230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</w:rPr>
              <w:t>на присоединениях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630А, 630А,160А – Трехфазный прибор учета полукосвенного включения Меркурий 234 ARTMX2-03 (D)PBR.G7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 электрической энергии размером 800х650х250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Согласно схемы размещения в шкафу учета предусмотреть крепления (места) для приборов учета учёта.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ОПН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  <w:t>-//-</w:t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rStyle w:val="Strong"/>
                <w:b w:val="false"/>
                <w:color w:val="000000"/>
                <w:sz w:val="24"/>
                <w:szCs w:val="24"/>
              </w:rPr>
              <w:t>ОПН 0,4/0,4/5/300 (либо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безопасности: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Оборудования ВН и НН</w:t>
            </w:r>
          </w:p>
          <w:p>
            <w:pPr>
              <w:pStyle w:val="ListParagraph"/>
              <w:widowControl w:val="false"/>
              <w:spacing w:before="0" w:after="0"/>
              <w:contextualSpacing/>
              <w:rPr/>
            </w:pPr>
            <w:r>
              <w:rPr/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коридора (тамбура) обслуживания в РУВН и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Выполнение высоковольтного вывода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Присоединение к шкафам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Конструкция КТПН должна обеспечивать возможность замены силового трансформатора без демонтажа РУНН.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должны поставляться в полностью собранном виде, или транспортными блоками, подготовленными для сборки на месте монтажа без разборки коммутационных аппаратов, проверки надежности болтовых соединений и правильности внутренних соединений п. 3.16. 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Вентиляция отсеков трансформаторов, РУВН и РУНН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Сетчатые ограждения в трансформаторном отсеке должны иметь ячейки размером не более,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Внутренние петли в конструкции дверей.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запирания дверей применить трехточечное запирающее устройство, унифицированные внутренние замки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КТПН предусмотреть монтаж пола в РУВН и РУНН,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маслоприемника в камере трансформатора или под силовым трансформатором в соответствие с ПУЭ, изд. 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Заземление в КТПН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нейтраль силового трансформатора и все металлические нетоковедущие части электрооборудования, которые могут оказаться под напряжением. КТПН должна иметь снаружи силового каркаса площадки для присоединения к внешнему контуру заземления, обозначенных знаком «Заземление».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Оснастить заходы  ВЛ 6- 10 кВ  в 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Воздушный ввод ВН и выход НН выполнить в отдельных коробах с возможным доступом для замены изоляторов и шин.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Кабельный ввод НН оснастить герметичными проходками.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30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30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30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31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У3, 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31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32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У3;</w:t>
            </w:r>
          </w:p>
          <w:p>
            <w:pPr>
              <w:pStyle w:val="ListParagraph"/>
              <w:widowControl w:val="false"/>
              <w:numPr>
                <w:ilvl w:val="0"/>
                <w:numId w:val="32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32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Минус 60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Толщина стенки гололеда, мм,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Сейсмостойкость, баллов по шкале MSK-64,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/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ранее 2026 г., серийного выпуска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года выпуска продукции (оборудования)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677004, РФ, РС (Я), г. Якутск, ул. Беринга, 42 Производственная база АО «Сахаэнерго».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29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обозначение стандартов или технических условий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Установить снаружи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1. «Квартальная котельная Батагай»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 транспортировании КТПН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неокрашенные металлические поверхности КТПН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ind w:left="72" w:hanging="0"/>
              <w:rPr/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11.2.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0"/>
              <w:rPr/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Комплектация КТПН:</w:t>
            </w:r>
          </w:p>
          <w:p>
            <w:pPr>
              <w:pStyle w:val="ListParagraph"/>
              <w:widowControl w:val="false"/>
              <w:numPr>
                <w:ilvl w:val="0"/>
                <w:numId w:val="33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РУВН;</w:t>
            </w:r>
          </w:p>
          <w:p>
            <w:pPr>
              <w:pStyle w:val="ListParagraph"/>
              <w:widowControl w:val="false"/>
              <w:numPr>
                <w:ilvl w:val="0"/>
                <w:numId w:val="33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силовой трансформатор;</w:t>
            </w:r>
          </w:p>
          <w:p>
            <w:pPr>
              <w:pStyle w:val="ListParagraph"/>
              <w:widowControl w:val="false"/>
              <w:numPr>
                <w:ilvl w:val="0"/>
                <w:numId w:val="33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РУНН;</w:t>
            </w:r>
          </w:p>
          <w:p>
            <w:pPr>
              <w:pStyle w:val="ListParagraph"/>
              <w:widowControl w:val="false"/>
              <w:numPr>
                <w:ilvl w:val="0"/>
                <w:numId w:val="33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шинопроводы, предусмотренные конструкцией КТПН;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запасные части и принадлежности по ведомости 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33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Однолинейная схема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Сборочный чертеж с размерами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вторичных соединений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компоновки оборудования – 1 шт.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комплектуется: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Комплектом электрозащитных средств (оперативная универсальная штанга, клещи для снятия предохранителей с выключателя нагрузки ВНР, диэлектрические перчатки) и первичных средств пожаротушения;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Комплектами метизов для сборки и подключения КТПН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Дополнительный комплект плавких ставок ПКТ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14.1.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Во всем неоговоренном КТП и встраиваемое оборудование должны соответствовать требованиям  </w:t>
            </w:r>
            <w:r>
              <w:rPr>
                <w:sz w:val="24"/>
              </w:rPr>
              <w:t>ПУЭ,  ГОСТ 14695-80, ГОСТ 14693-90, ГОСТ 11920-85, ГОСТ 11677-85, ГОСТ 1516.3-96.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Дополнительные требования к комплектным трансформаторным подстанциям в металлическом корпусе: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 по ГОСТ 1516.1 с масляным трансформатором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нормальная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Обязательное соответствие оборудования техническим требованиям, указанным в главе 4 ПУЭ 7-е издание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Оборудование должно соответствовать техническим требованиям, указанным в главе 4 ПУЭ 7-е издание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Степень загрязнения изоляции ГОСТ 9920-89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III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в непрерывном режиме, круглосуточно, в течение установленного срока службы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25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 лет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Упаковка, маркировка, временная антикоррозийная защита, транспортирование, условия хранения всех устройств, запасных частей, расходных материалов и документации в соответствии с требованиями, указанными в технических условиях изготовителя оборудования и требованиям ГОСТ 23216-78, ГОСТ 15150-69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>
          <w:highlight w:val="white"/>
        </w:rPr>
      </w:pPr>
      <w:r>
        <w:rPr>
          <w:highlight w:val="white"/>
        </w:rPr>
        <w:t>Таблица 3.</w:t>
      </w:r>
      <w:r>
        <w:rPr>
          <w:highlight w:val="white"/>
          <w:shd w:fill="81D41A" w:val="clear"/>
        </w:rPr>
        <w:t>14</w:t>
      </w:r>
      <w:r>
        <w:rPr>
          <w:highlight w:val="white"/>
        </w:rPr>
        <w:t xml:space="preserve"> Требования к продукции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Cs/>
          <w:i/>
          <w:i/>
          <w:sz w:val="22"/>
          <w:szCs w:val="22"/>
        </w:rPr>
      </w:pPr>
      <w:r>
        <w:rPr>
          <w:b/>
          <w:bCs/>
          <w:i/>
          <w:iCs/>
          <w:sz w:val="24"/>
          <w:szCs w:val="24"/>
          <w:highlight w:val="white"/>
          <w:shd w:fill="81D41A" w:val="clear"/>
        </w:rPr>
        <w:t xml:space="preserve">Наименование продукции </w:t>
      </w:r>
      <w:r>
        <w:rPr>
          <w:i/>
          <w:sz w:val="24"/>
          <w:szCs w:val="24"/>
          <w:highlight w:val="white"/>
          <w:shd w:fill="81D41A" w:val="clear"/>
        </w:rPr>
        <w:t>(позиция № 14, Таблицы 1.1):</w:t>
      </w:r>
      <w:r>
        <w:rPr>
          <w:b/>
          <w:bCs/>
          <w:i/>
          <w:iCs/>
          <w:sz w:val="28"/>
          <w:szCs w:val="28"/>
          <w:highlight w:val="white"/>
          <w:shd w:fill="81D41A" w:val="clear"/>
        </w:rPr>
        <w:t xml:space="preserve"> </w:t>
      </w:r>
      <w:r>
        <w:rPr>
          <w:rFonts w:eastAsia="Times New Roman" w:cs="Times New Roman"/>
          <w:i/>
          <w:iCs/>
          <w:color w:val="000000"/>
          <w:sz w:val="22"/>
          <w:szCs w:val="22"/>
        </w:rPr>
        <w:t xml:space="preserve">Подстанция комплектная трансформаторная КТП-160/6/0.4 в комплекте с ТМГ 160/6/0,4кВ </w:t>
      </w:r>
      <w:r>
        <w:rPr>
          <w:i/>
          <w:iCs/>
          <w:color w:val="000000"/>
          <w:sz w:val="22"/>
          <w:szCs w:val="22"/>
          <w:highlight w:val="white"/>
          <w:shd w:fill="81D41A" w:val="clear"/>
        </w:rPr>
        <w:t>по программе технического перевооружения</w:t>
      </w:r>
    </w:p>
    <w:p>
      <w:pPr>
        <w:pStyle w:val="Style43"/>
        <w:widowControl w:val="false"/>
        <w:rPr>
          <w:color w:val="000000"/>
          <w:sz w:val="22"/>
          <w:szCs w:val="22"/>
          <w:highlight w:val="white"/>
        </w:rPr>
      </w:pPr>
      <w:r>
        <w:rPr>
          <w:color w:val="000000"/>
          <w:sz w:val="22"/>
          <w:szCs w:val="22"/>
          <w:highlight w:val="white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Cs/>
          <w:i/>
          <w:i/>
          <w:sz w:val="22"/>
          <w:szCs w:val="22"/>
        </w:rPr>
      </w:pPr>
      <w:r>
        <w:rPr>
          <w:rFonts w:cs="Times New Roman"/>
          <w:bCs/>
          <w:i/>
          <w:sz w:val="22"/>
          <w:szCs w:val="22"/>
        </w:rPr>
      </w:r>
    </w:p>
    <w:p>
      <w:pPr>
        <w:pStyle w:val="Normal"/>
        <w:rPr>
          <w:highlight w:val="white"/>
        </w:rPr>
      </w:pPr>
      <w:r>
        <w:rPr>
          <w:highlight w:val="white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tbl>
      <w:tblPr>
        <w:tblW w:w="1516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355"/>
        <w:gridCol w:w="3856"/>
        <w:gridCol w:w="26"/>
        <w:gridCol w:w="2837"/>
        <w:gridCol w:w="2268"/>
        <w:gridCol w:w="2693"/>
        <w:gridCol w:w="2127"/>
      </w:tblGrid>
      <w:tr>
        <w:trPr/>
        <w:tc>
          <w:tcPr>
            <w:tcW w:w="13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88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Требование заказчика</w:t>
            </w:r>
            <w:r>
              <w:rPr>
                <w:i/>
                <w:iCs/>
                <w:sz w:val="24"/>
                <w:szCs w:val="24"/>
              </w:rPr>
              <w:t>*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Способ подтверждения участником соответствия требованиям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135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3882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8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Согласие с требованием/ 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Предоставление подтверждающего документа на этапе закупки</w:t>
            </w:r>
          </w:p>
        </w:tc>
        <w:tc>
          <w:tcPr>
            <w:tcW w:w="212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техническим и функциональным характеристикам КТП (включая гарантируемые показатели)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омплектная трансформаторная подстанция наружной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iCs/>
                <w:sz w:val="24"/>
                <w:szCs w:val="24"/>
              </w:rPr>
              <w:t>КТПН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Киосковая понижающая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Корпуса ТП должны быть выполнены из стали (Все наружные соединения выполнить сплошными сварными швами);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Полы ТП выполнить из стальных рифлёных листов (Все наружные соединения выполнить сплошными сварными швами).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2 мм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Толщиной не менее 4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металлические детали корпуса ТП должны иметь защитное покрытие от коррозии п. 3.13.  ГОСТ 14695-80 «Подстанции трансформаторные комплектные мощностью от 25 до 2500 кВ·А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Габариты трансформаторного отсека,  передвижение и крепления трансформатора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Выполнить с учётом возможности установки силового трансформатора 160 кВа  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КТП предусмотреть возможность замены (перемещения) трансформатора на собственных колесах, входящих в комплект. В рабочем положении трансформатор должен быть жестко закреплен.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Мощность силового трансформатора, кВА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высшего напряжения (стороне ВН),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Наибольшее рабочее напряжение на стороне ВН,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на стороне НН,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Номинальное напряжение вспомогательных цепей КТП, не более, 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Переменного тока 400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</w:t>
            </w:r>
            <w:r>
              <w:rPr/>
              <w:t xml:space="preserve"> </w:t>
            </w:r>
            <w:r>
              <w:rPr>
                <w:sz w:val="24"/>
                <w:szCs w:val="24"/>
              </w:rPr>
              <w:t>на стороне ВН, с.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ВН,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термической стойкости на стороне НН,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Время протекания тока термической стойкости на стороне НН, с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электродинамической стойкости на стороне НН не менее, 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1.18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Общие технические требования к поставляемому оборудованию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заводе-изготовителе оборудование должна проходить контрольную сборку и проверку. На объект подстанция должна быть поставлена с полностью смонтированными первичными и вторичными цепями.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электрической прочности изоляции: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полного грозового импульса:</w:t>
            </w:r>
          </w:p>
          <w:p>
            <w:pPr>
              <w:pStyle w:val="ListParagraph"/>
              <w:widowControl w:val="false"/>
              <w:numPr>
                <w:ilvl w:val="0"/>
                <w:numId w:val="34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tabs>
                <w:tab w:val="clear" w:pos="708"/>
                <w:tab w:val="left" w:pos="0" w:leader="none"/>
              </w:tabs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Кратковременное (одноминутное) переменное напряжение: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относительно земли, между полюсами и между контактами выключателя и выключателя нагрузки без воздушного промежутка;</w:t>
            </w:r>
          </w:p>
          <w:p>
            <w:pPr>
              <w:pStyle w:val="ListParagraph"/>
              <w:widowControl w:val="false"/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между контактами разъединителя, предохранителя, выключателя нагрузки (с видимым воздушным промежутком);</w:t>
            </w:r>
          </w:p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под дождем (для категории размещения 1)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ГОСТ 1516.3-96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2.4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0"/>
              <w:ind w:left="282" w:hanging="0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Удельная эффективная длина пути утечки внешней изоляции, см/кВ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2,5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Испытательное напряжение изоляции главных и вспомогательных цепей КТП со стороны НН, в течение 1 мин.,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2.6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Сопротивление изоляции электрически изолированных цепей шкафов РУНН, МОм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силовому трансформатору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ТМГ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охлаждения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Масляное естественное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Количество, шт.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и группа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соединения обмоток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соединения Y/Yн-0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Выполнения нейтрали трансформатора на стороне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глухозаземленной нейтралью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Вид, диапазон и количество ступеней регулирования напряжения </w:t>
              <w:br/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ПБВ ±2X 2,5%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холостого хода,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160 кВА Рхх ≤375 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Потери короткого замыкания, Вт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п. 27 раздела 2 Постановления правительства РФ от 17.06.2015 № 600: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160 кВА Ркз ≤ 2350Вт.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Ток холостого хода,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3%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3.10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Напряжение короткого замыкания, %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 5%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РУВН (УВН):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Требования к шкафу РУ: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не менее:</w:t>
            </w:r>
          </w:p>
          <w:p>
            <w:pPr>
              <w:pStyle w:val="ListParagraph"/>
              <w:widowControl w:val="false"/>
              <w:numPr>
                <w:ilvl w:val="0"/>
                <w:numId w:val="35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главных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35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разъемных контактных соединений вспомогательных цепей, операций ВО;</w:t>
            </w:r>
          </w:p>
          <w:p>
            <w:pPr>
              <w:pStyle w:val="ListParagraph"/>
              <w:widowControl w:val="false"/>
              <w:numPr>
                <w:ilvl w:val="0"/>
                <w:numId w:val="35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дверей шкафов РУ, открываний и закрываний;</w:t>
            </w:r>
          </w:p>
          <w:p>
            <w:pPr>
              <w:pStyle w:val="ListParagraph"/>
              <w:widowControl w:val="false"/>
              <w:numPr>
                <w:ilvl w:val="0"/>
                <w:numId w:val="35"/>
              </w:numPr>
              <w:spacing w:before="0" w:after="0"/>
              <w:ind w:left="282" w:hanging="282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защитных шторок, открываний и закрываний;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заземляющего разъединителя, операций 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- 500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- 2000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-500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выключателю нагрузки: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4.2.1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ВНА-6(10)/400 (либо эквивалентная продукция),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4.2.2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 выключателя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Автогазовый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4.2.3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Вид привода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Пружинный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4.2.4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Управление приводом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местное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4.2.5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встроенных элементов защиты и заземления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плавкими предохранителями, включенными последовательно с выключателем нагрузки 1шт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со встроенными ножами заземления;1шт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4.2.6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предохранителей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ПКТ 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4.2.7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предохранителя ВН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31,5А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4.2.8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4.2.9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/ 31,5А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4.2.10</w:t>
            </w:r>
          </w:p>
        </w:tc>
        <w:tc>
          <w:tcPr>
            <w:tcW w:w="3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ресурс, циклов В-tп-О, операций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шинам: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РУВН-Трансформатор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160кВА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160кВА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b/>
                <w:sz w:val="24"/>
                <w:szCs w:val="24"/>
              </w:rPr>
              <w:t>4.4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ограничителю перенапряжения: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  <w:lang w:val="en-US"/>
              </w:rPr>
              <w:t>4</w:t>
            </w:r>
            <w:r>
              <w:rPr>
                <w:rFonts w:eastAsia="Calibri"/>
                <w:sz w:val="24"/>
                <w:szCs w:val="24"/>
              </w:rPr>
              <w:t>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ОПН 6/7,2 </w:t>
            </w:r>
            <w:r>
              <w:rPr>
                <w:rStyle w:val="Strong"/>
                <w:b w:val="false"/>
                <w:sz w:val="24"/>
                <w:szCs w:val="24"/>
                <w:shd w:fill="FFFFFF" w:val="clear"/>
              </w:rPr>
              <w:t>(либо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4.4.2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 шт (1 трехфазных комплекта)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4.4.3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 шахтах вывода ВН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РУНН: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ток сборных шин,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силового трансформатора следующего габарита 160кВА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ТП между низковольтным выводом силового трансформатора и вводным аппаратом защиты и управления необходимо использовать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жесткую ошиновку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Материал и размер шин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шины), в соответствии с номинальным током силового трансформатора следующего габарита 160кВА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Соединение Трансформатора-РУНН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жесткая ошиновка (медные или алюминиевые шины)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5.1.5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Механический ресурс открывания и закрывания дверей шкафов, операций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рубильнику: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рубильника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РЕ19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i/>
                <w:i/>
                <w:color w:val="A6A6A6"/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ед./ номинальный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 шт. / 250А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1125" w:hRule="atLeast"/>
        </w:trPr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Применить рубильники 0,4 кВ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 диэлектрической рукоятью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автоматическим выключателям: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 НН вводной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ВА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5.3.1.3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шт. / 250А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 установки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РУ НН фидерные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выключателя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Optimat D (или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Кол-во/номинальный ток, А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шт./160А; 1шт/25А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5.3.2.4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расцепителя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Тепловой и электромагнитный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5.3.2.5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перегрузок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регулируемой уставкой по номинальному току в меньшую сторону от номинала АВ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5.3.2.6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Защита от токов короткого замыкания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Уставка расцепителя тока короткого замыкания 10ln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измерительному трансформатору тока: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Кол-во, фаз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номинальным током автоматического выключателя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Класс точности: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измерений и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0,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S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5.4.6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Межповерочный интервал трансформаторов тока 0,4 кВ,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4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узлу учета электроэнергии:</w:t>
            </w:r>
          </w:p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на стороне ВН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Установка электросчетчиков: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 стороне НН (общий ввод НН)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Трехфазный прибор учета полукосвенного включения Меркурий 230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before="0" w:after="0"/>
              <w:ind w:left="174" w:hanging="174"/>
              <w:contextualSpacing/>
              <w:rPr/>
            </w:pPr>
            <w:r>
              <w:rPr>
                <w:rFonts w:cs="Times New Roman" w:ascii="Times New Roman" w:hAnsi="Times New Roman"/>
              </w:rPr>
              <w:t>на присоединениях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160А, 160А – Трехфазный прибор учета полукосвенного включения Меркурий 234 ARTMX2-03 (D)PBR.G7 (или эквивалент)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5.5.4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Шкаф учета электрической энергии размером 800х650х250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жесткой конструкции (согласно п.1.5.29 ПУЭ) обшить теплоизоляцией пенофол В-05.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Согласно схемы размещения в шкафу учета предусмотреть крепления (места) для приборов учета учёта.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шкафу учёта, на боковых стенках установить обогрев в виде пластин МКЭ-1/1, не менее 4-х шт. (согласно п.1.5.27. ПУЭ изд.6, ГОСТ 15150-69). Расположить обогрев с учётом исключения соприкосновения с корпусом счётчиков. Все МКЭ-1/1 подключить к отдельному автоматическому выключателю 10 А через терморегулятор Eberle16A ТР-1.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ОПН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/>
              <w:t>-//-</w:t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5.6.1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rStyle w:val="Strong"/>
                <w:b w:val="false"/>
                <w:color w:val="000000"/>
                <w:sz w:val="24"/>
                <w:szCs w:val="24"/>
              </w:rPr>
              <w:t>ОПН 0,4/0,4/5/300 (либо эквивалент)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Указание характеристик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5.6.2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 шт (1 трехфазный комплект)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5.6.3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spacing w:before="0" w:after="200"/>
              <w:contextualSpacing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 шинах РУ-0,4 кВ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безопасности: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Степень защищенности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Оборудования ВН и НН</w:t>
            </w:r>
          </w:p>
          <w:p>
            <w:pPr>
              <w:pStyle w:val="ListParagraph"/>
              <w:widowControl w:val="false"/>
              <w:spacing w:before="0" w:after="0"/>
              <w:contextualSpacing/>
              <w:rPr/>
            </w:pPr>
            <w:r>
              <w:rPr/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54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 xml:space="preserve">не ниже </w:t>
            </w:r>
            <w:r>
              <w:rPr>
                <w:bCs/>
                <w:sz w:val="24"/>
                <w:szCs w:val="24"/>
                <w:lang w:val="en-US"/>
              </w:rPr>
              <w:t>IP</w:t>
            </w:r>
            <w:r>
              <w:rPr>
                <w:bCs/>
                <w:sz w:val="24"/>
                <w:szCs w:val="24"/>
              </w:rPr>
              <w:t xml:space="preserve"> 34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Температура нагрева в нормальном режиме нетоковедущих частей КТПН, к которым можно прикасаться при эксплуатации (листы приборные, крышки), ℃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более 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rFonts w:eastAsia="Calibri"/>
                <w:sz w:val="24"/>
                <w:szCs w:val="24"/>
              </w:rPr>
              <w:t>6.3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 вводных шкафах РУНН должны быть предусмотрены и обозначены места для наложения переносного заземления.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6.4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приборы, аппараты, а также ряды зажимов и соединительная проводка должны быть маркированы в соответствии с п. 5.4.14. ПТЭ и ЭСиС., п. 3.28., 7.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конструкции, изготовлению и материалам: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коридора (тамбура) обслуживания в РУВН и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Выполнение высоковольтного вывода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Присоединение к шкафам РУНН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Воздушный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Конструкция КТПН должна обеспечивать возможность замены силового трансформатора без демонтажа РУНН.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должны поставляться в полностью собранном виде, или транспортными блоками, подготовленными для сборки на месте монтажа без разборки коммутационных аппаратов, проверки надежности болтовых соединений и правильности внутренних соединений п. 3.16.  ГОСТ 14695-80 «Подстанции трансформаторные комплектные мощностью от 25 до 2500 кВА на напряжение до 10 кВ».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color w:val="00000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Оснастить необходимыми блокировками, </w:t>
            </w:r>
            <w:r>
              <w:rPr>
                <w:rFonts w:eastAsia="Times New Roman" w:cs="Times New Roman"/>
                <w:bCs/>
                <w:sz w:val="24"/>
                <w:szCs w:val="24"/>
                <w:lang w:val="ru-RU" w:eastAsia="ru-RU" w:bidi="ar-SA"/>
              </w:rPr>
              <w:t>Механическая блокировка дверей РУ-6(10) кВ при включение выключателя нагрузки и ошибочных действий персонала при включении заземляющих ножей. Механическая блокировка трансформаторного отсека при отключенных заземляющих ножах. Исключить применение механических замковых блокировок (замки Гинодмана), основанные на последовательности действий обмена ключа с замком, в виду низкого уровня надежности, усложнения  и замедления оперативных переключений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Вентиляция отсеков трансформаторов, РУВН и РУНН должна обеспечивать отвод выделяемого ими тепла в таких количествах, чтобы при их нагрузке, с учетом перегрузочной способности и максимальной расчетной температуре окружающей среды, нагрев трансформаторов не превышал максимально допустимого для них значения.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 невозможности обеспечить теплообмен естественной вентиляцией необходимо предусмотреть принудительную, при этом должен быть предусмотрен контроль ее работы с помощью сигнальных аппаратов.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Прокладка проводов вспомогательных цепей должна производиться изолированным проводом как в монтажных коробках, так и непосредственно по металлическим панелям с обеспечением возможности контроля и замены поврежденного провода.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Расстояния в свету от токоведущих частей до различных элементов в соответствии с ПУЭ, изд.7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Приборы и аппараты вспомогательных цепей должны устанавливаться таким образом, чтобы была обеспечена возможность их обслуживания без снятия напряжения с главных цепей КТПН.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Иметь освещение панелей, на которых смонтированы измерительные приборы и расположены рукоятки управления аппаратами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Сетчатые ограждения в трансформаторном отсеке должны иметь ячейки размером не более,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25х25 мм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Чертеж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Внешние двери выполнить с уплотнителем обеспечивающим плотный контакт между дверью и корпусом.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Внутренние петли в конструкции дверей.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Для запирания дверей применить трехточечное запирающее устройство, унифицированные внутренние замки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КТПН предусмотреть монтаж пола в РУВН и РУНН, мм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Из рифленого листового железа толщиной не менее 4 мм,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Наличие маслоприемника в камере трансформатора или под силовым трансформатором в соответствие с ПУЭ, изд. 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Не менее 10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7.19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Заземление в КТПН должно быть выполнено общее для сторон 10-6 кВ и 0,4 кВ заземляющее устройство, которым должен являться стальной пол подстанции, приваренный по периметру к силовому каркасу. К полу присоединить сваркой или болтовым соединением нейтраль силового трансформатора и все металлические нетоковедущие части электрооборудования, которые могут оказаться под напряжением. КТПН должна иметь снаружи силового каркаса площадки для присоединения к внешнему контуру заземления, обозначенных знаком «Заземление».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7.20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Крепление внутренних перегородок выполнить на клепках или болтовых соединениях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РУНН коммутационные аппараты и открытые токоведущие части по стороне 0,4 кВ должны иметь сплошное ограждение от поражения электрическим током в соответствии с ГОСТ Р 50571.4.41-2022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РУВН предусмотреть ограждение неизолированных токоведущих частей с возможностью доступа к ним, согласно п. 4.2.88 ПУЭ (изд. 7).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7.23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Предусмотреть вертикальное расположение выключателей 0,4 кВ в горизонтальном ряду (рядах) с возможностью присоединения кабельных линий снизу.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Обеспечить герметичное соединение «металлический корпус – фланец проходного изолятора» без герметика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Оснастить заходы  ВЛ 6- 10 кВ  в  КТПН распределительного устройство высокого напряжения РУ ВН специальными птицезащитными устройствами предотвращающими повреждение птиц (Птицезащитное устройство колпачного типа )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Указать тип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Воздушный ввод ВН и выход НН выполнить в отдельных коробах с возможным доступом для замены изоляторов и шин.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Кабельный ввод НН оснастить герметичными проходками.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7.28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Короба ВН и НН выполнить с учётом ветровых нагрузок (не менее 32 м/с.).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Климатическое исполнение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УХЛ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Категория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37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КТПН</w:t>
            </w:r>
          </w:p>
          <w:p>
            <w:pPr>
              <w:pStyle w:val="ListParagraph"/>
              <w:widowControl w:val="false"/>
              <w:numPr>
                <w:ilvl w:val="0"/>
                <w:numId w:val="37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Оборудования ВН</w:t>
            </w:r>
          </w:p>
          <w:p>
            <w:pPr>
              <w:pStyle w:val="ListParagraph"/>
              <w:widowControl w:val="false"/>
              <w:numPr>
                <w:ilvl w:val="0"/>
                <w:numId w:val="37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Оборудование НН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Верхнее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38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У3, 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38"/>
              </w:numPr>
              <w:spacing w:before="0" w:after="0"/>
              <w:ind w:left="174" w:hanging="174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плюс 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Нижнее рабочее значение температуры окружающего воздуха, °С, для климатических исполнений и категорий размещения:</w:t>
            </w:r>
          </w:p>
          <w:p>
            <w:pPr>
              <w:pStyle w:val="ListParagraph"/>
              <w:widowControl w:val="false"/>
              <w:numPr>
                <w:ilvl w:val="0"/>
                <w:numId w:val="39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У1, У2, У3;</w:t>
            </w:r>
          </w:p>
          <w:p>
            <w:pPr>
              <w:pStyle w:val="ListParagraph"/>
              <w:widowControl w:val="false"/>
              <w:numPr>
                <w:ilvl w:val="0"/>
                <w:numId w:val="39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УХЛ1, УХЛ2, УХЛ3;</w:t>
            </w:r>
          </w:p>
          <w:p>
            <w:pPr>
              <w:pStyle w:val="ListParagraph"/>
              <w:widowControl w:val="false"/>
              <w:numPr>
                <w:ilvl w:val="0"/>
                <w:numId w:val="39"/>
              </w:numPr>
              <w:spacing w:before="0" w:after="0"/>
              <w:ind w:left="315" w:hanging="283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  <w:bCs/>
              </w:rPr>
              <w:t>УХЛ4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Минус 60</w:t>
            </w:r>
          </w:p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Высота над уровнем моря, 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 1000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Толщина стенки гололеда, мм,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наличии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8.8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Допустимая скорость ветра при отсутствии гололеда, м/с,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8.9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Сейсмостойкость, баллов по шкале MSK-64, не менее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9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качеству поставляемой продукции: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быть новая*, ранее не используемая.</w:t>
            </w:r>
          </w:p>
          <w:p>
            <w:pPr>
              <w:pStyle w:val="Normal"/>
              <w:widowControl w:val="false"/>
              <w:rPr/>
            </w:pPr>
            <w:r>
              <w:rPr>
                <w:i/>
                <w:iCs/>
                <w:sz w:val="24"/>
                <w:szCs w:val="24"/>
              </w:rPr>
              <w:t>* - Под новым следует понимать оборудование, которое не было в употреблении, не приходило ремонт, в том числе восстановление, замену составных частей, восстановление потребительских свойств.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Cs/>
                <w:sz w:val="24"/>
                <w:szCs w:val="24"/>
              </w:rPr>
              <w:t>9.2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Год выпуска продукции (оборудования)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ранее 2026 г., серийного выпуска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года выпуска продукции (оборудования)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10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  <w:p>
            <w:pPr>
              <w:pStyle w:val="Normal"/>
              <w:widowControl w:val="false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Место поставки продукции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Cs/>
                <w:sz w:val="24"/>
                <w:szCs w:val="24"/>
              </w:rPr>
              <w:t>677004, РФ, РС (Я), г. Якутск, ул. Беринга, 42 Производственная база АО «Сахаэнерго».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sz w:val="24"/>
                <w:szCs w:val="24"/>
              </w:rPr>
              <w:t>10.2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Продукция должна иметь табличку по ГОСТ 12969-67, содержащую следующие данные: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условное обозначение (индекс) изделия;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товарный знак;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заводской номер и (или) дату изготовления;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наименование изделия (при необходимости);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напряжение в киловольтах со стороны ВН и НН;</w:t>
            </w:r>
          </w:p>
          <w:p>
            <w:pPr>
              <w:pStyle w:val="ListParagraph"/>
              <w:widowControl w:val="false"/>
              <w:numPr>
                <w:ilvl w:val="0"/>
                <w:numId w:val="36"/>
              </w:numPr>
              <w:spacing w:lineRule="auto" w:line="240"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обозначение стандартов или технических условий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Установить снаружи корпуса КТПН распределительного устройство высокого напряжения РУ ВН атмосферостойкую металлическую бирку:</w:t>
            </w:r>
          </w:p>
          <w:p>
            <w:pPr>
              <w:pStyle w:val="Normal"/>
              <w:widowControl w:val="false"/>
              <w:spacing w:before="0" w:after="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ru-RU" w:eastAsia="ru-RU" w:bidi="ar-SA"/>
              </w:rPr>
              <w:t>1. «ТП №2 Сасыр»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Транспортная маркировка грузов - по ГОСТ 14192-96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При транспортировании КТПН категории размещения 1 без упаковки все проемы должны быть закрыты заглушками и защищены от попадания атмосферных осадков. Должна быть исключена возможность открывания дверей и крышек с целью защиты бьющихся и легко снимаемых частей.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Все неокрашенные металлические поверхности КТПН (винты, таблички, замки, ручки проводов и др.) должны быть подвергнуты консервации по ГОСТ 23216-78.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10.6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хранения по ГОСТ 15150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32" w:leader="none"/>
                <w:tab w:val="left" w:pos="459" w:leader="none"/>
              </w:tabs>
              <w:ind w:left="72" w:hanging="0"/>
              <w:rPr/>
            </w:pPr>
            <w:r>
              <w:rPr>
                <w:sz w:val="24"/>
                <w:szCs w:val="24"/>
              </w:rPr>
              <w:t>8ОЖ3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10.7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Условия транспортирования согласно ГОСТ 23216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Жесткие (Ж)</w:t>
            </w:r>
          </w:p>
          <w:p>
            <w:pPr>
              <w:pStyle w:val="Normal"/>
              <w:widowControl w:val="false"/>
              <w:ind w:left="72"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11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эксплуатации, обеспечению и утилизации: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монтаж оборудования КТПН должно соответствовать требованиям Правилам технической эксплуатации электрических сетей, Правилам организации технического обслуживания и ремонта объектов электроэнергетики, Правилам устройств электроустановок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11.2.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в заводской документации требований по мерам безопасности, перечня составных частей и методов утилизации изделий, представляющих опасность для жизни, здоровью людей и окружающей среды после окончания срока службы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ind w:left="72" w:hanging="0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0"/>
              <w:rPr/>
            </w:pPr>
            <w:r>
              <w:rPr>
                <w:b/>
                <w:sz w:val="24"/>
                <w:szCs w:val="24"/>
              </w:rPr>
              <w:t>Требования к гарантиям, гарантийному и послегарантийному обслуживанию: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40"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Гарантийный срок эксплуатации КТПН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60 месяцев с момента ввода в эксплуатацию, но не более 66 месяцев с момента поставки.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Наличие сервисных центров на территории РФ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12.3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Гарантии распространяются на все поставляемое оборудование.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течение гарантийного срока должна быть обеспечена безвозмездная замена или ремонт вышедшего из строя оборудования, включая его доставку туда и обратно. Доставка неисправного оборудования в сервисный центр для проведения ремонта и возвращение исправного, после ремонта, оборудования Поставщик осуществляет за свой счет.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pacing w:before="0" w:after="60"/>
              <w:ind w:left="0" w:hanging="0"/>
              <w:outlineLvl w:val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13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комплектации и документам, поставляемым вместе с продукцией: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Комплектация КТПН:</w:t>
            </w:r>
          </w:p>
          <w:p>
            <w:pPr>
              <w:pStyle w:val="ListParagraph"/>
              <w:widowControl w:val="false"/>
              <w:numPr>
                <w:ilvl w:val="0"/>
                <w:numId w:val="40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РУВН;</w:t>
            </w:r>
          </w:p>
          <w:p>
            <w:pPr>
              <w:pStyle w:val="ListParagraph"/>
              <w:widowControl w:val="false"/>
              <w:numPr>
                <w:ilvl w:val="0"/>
                <w:numId w:val="40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силовой трансформатор;</w:t>
            </w:r>
          </w:p>
          <w:p>
            <w:pPr>
              <w:pStyle w:val="ListParagraph"/>
              <w:widowControl w:val="false"/>
              <w:numPr>
                <w:ilvl w:val="0"/>
                <w:numId w:val="40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РУНН;</w:t>
            </w:r>
          </w:p>
          <w:p>
            <w:pPr>
              <w:pStyle w:val="ListParagraph"/>
              <w:widowControl w:val="false"/>
              <w:numPr>
                <w:ilvl w:val="0"/>
                <w:numId w:val="40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eastAsia="Times New Roman" w:cs="Times New Roman" w:ascii="Times New Roman" w:hAnsi="Times New Roman"/>
              </w:rPr>
              <w:t>шинопроводы, предусмотренные конструкцией КТПН;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запасные части и принадлежности по ведомости 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40"/>
              </w:numPr>
              <w:spacing w:before="0" w:after="0"/>
              <w:ind w:left="315" w:hanging="315"/>
              <w:contextualSpacing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Документация на комплектующую аппаратуру, подвергающуюся наладке и ремонту в процессе эксплуатации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В соответствии с техническими условиями на конкретные типы аппаратуры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Схемы электрические принципиальные и схемы электрических соединений, сборочный чертеж КТПН,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Однолинейная схема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Сборочный чертеж с размерами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вторичных соединений – 1 шт.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Схема компоновки оборудования – 1 шт.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Эксплуатационная документация по ГОСТ  Р 2.601-2019, экз.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13.5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ЗИП.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КТПН комплектуется: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Комплектом электрозащитных средств (оперативная универсальная штанга, клещи для снятия предохранителей с выключателя нагрузки ВНР, диэлектрические перчатки) и первичных средств пожаротушения;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Комплектами метизов для сборки и подключения КТПН</w:t>
            </w:r>
          </w:p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Дополнительный комплект плавких ставок ПКТ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/>
            </w:pPr>
            <w:r>
              <w:rPr>
                <w:sz w:val="24"/>
                <w:szCs w:val="24"/>
              </w:rPr>
              <w:t>Приложить перечень ЗИП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14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14.1.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 xml:space="preserve">Во всем неоговоренном КТП и встраиваемое оборудование должны соответствовать требованиям  </w:t>
            </w:r>
            <w:r>
              <w:rPr>
                <w:sz w:val="24"/>
              </w:rPr>
              <w:t>ПУЭ,  ГОСТ 14695-80, ГОСТ 14693-90, ГОСТ 11920-85, ГОСТ 11677-85, ГОСТ 1516.3-96.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Дополнительные требования к комплектным трансформаторным подстанциям в металлическом корпусе: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-//-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Уровень изоляции по ГОСТ 1516.1 с масляным трансформатором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нормальная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Обязательное соответствие оборудования техническим требованиям, указанным в главе 4 ПУЭ 7-е издание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Оборудование должно соответствовать техническим требованиям, указанным в главе 4 ПУЭ 7-е издание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15.3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Степень загрязнения изоляции ГОСТ 9920-89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III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15.4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Эксплуатация в непрерывном режиме, круглосуточно, в течение установленного срока службы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25 лет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15.5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Требование к окраске всех узлов и деталей корпуса КТП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Окраску всех узлов и деталей корпуса КТПН выполнить с учетом устойчивости к коррозии, выцветанию и воздействиям внешней среды на весь период гарантийной эксплуатации (цвет Серый)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15.6</w:t>
            </w:r>
          </w:p>
        </w:tc>
        <w:tc>
          <w:tcPr>
            <w:tcW w:w="388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Гарантия на защиту от коррозии, при отсутствии механических повреждений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не менее 10 лет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Указание характеристик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15.7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Упаковка, маркировка, временная антикоррозийная защита, транспортирование, условия хранения всех устройств, запасных частей, расходных материалов и документации в соответствии с требованиями, указанными в технических условиях изготовителя оборудования и требованиям ГОСТ 23216-78, ГОСТ 15150-69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b/>
                <w:sz w:val="24"/>
                <w:szCs w:val="24"/>
              </w:rPr>
              <w:t>16</w:t>
            </w:r>
          </w:p>
        </w:tc>
        <w:tc>
          <w:tcPr>
            <w:tcW w:w="67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b/>
                <w:sz w:val="24"/>
                <w:szCs w:val="24"/>
              </w:rPr>
              <w:t>Требования к обязательствам Поставщика, влияющим на исполнение договора: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- // -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16.1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представителей заказчика в приемо-сдаточных испытаний КТП на заводе-изготовителе.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60" w:after="60"/>
              <w:contextualSpacing/>
              <w:rPr/>
            </w:pPr>
            <w:r>
              <w:rPr>
                <w:rFonts w:eastAsia="Calibri"/>
                <w:sz w:val="24"/>
                <w:szCs w:val="24"/>
              </w:rPr>
              <w:t>16.2</w:t>
            </w:r>
          </w:p>
        </w:tc>
        <w:tc>
          <w:tcPr>
            <w:tcW w:w="3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Участие представителя завода изготовителя (поставщика) в проверке качества и комплектности поставляемой КТП.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/>
            </w:pPr>
            <w:r>
              <w:rPr>
                <w:sz w:val="24"/>
                <w:szCs w:val="24"/>
              </w:rPr>
              <w:t>Согласие с требованием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spacing w:before="240" w:after="60"/>
        <w:jc w:val="both"/>
        <w:rPr/>
      </w:pPr>
      <w:r>
        <w:rPr>
          <w:i/>
          <w:iCs/>
          <w:sz w:val="24"/>
          <w:szCs w:val="24"/>
        </w:rPr>
        <w:t xml:space="preserve">Примечание 1: </w:t>
      </w:r>
      <w:r>
        <w:rPr>
          <w:iCs/>
          <w:sz w:val="24"/>
          <w:szCs w:val="24"/>
        </w:rPr>
        <w:t>В случае если какой-либо из указанных в настоящих Технических требованиях ГОСТ или нормативный документ был отменен в связи с выпуском новой редакции стандарта, то Участнику необходимо применять актуализированный ГОСТ или нормативный документ, принятый в его развитие.</w:t>
      </w:r>
    </w:p>
    <w:p>
      <w:pPr>
        <w:pStyle w:val="Normal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</w:r>
    </w:p>
    <w:p>
      <w:pPr>
        <w:pStyle w:val="Normal"/>
        <w:jc w:val="both"/>
        <w:rPr/>
      </w:pPr>
      <w:r>
        <w:rPr>
          <w:i/>
          <w:iCs/>
          <w:sz w:val="24"/>
          <w:szCs w:val="24"/>
        </w:rPr>
        <w:t>* Примечание 2: «</w:t>
      </w:r>
      <w:r>
        <w:rPr>
          <w:sz w:val="24"/>
        </w:rPr>
        <w:t>Указанные в настоящем ТТ ссылки на ТУ, марку (тип) продукции носят описательный, а не обязательный характер. В случае, если Участником предлагается эквивалентная продукция требуемой Заказчику продукции или ее составных частей, он должен в обязательном порядке в составе своего предложения предоставить подробное техническое описание предлагаемого к поставке эквивалента, в объеме не менее установленных в настоящем ТТ требований. Эквивалентная продукция – это продукция, которая по техническим и функциональным характеристикам не уступает характеристикам, заявленным в документации о закупке, в том числе, по гарантийным срокам и срокам эксплуатации.»</w:t>
      </w:r>
    </w:p>
    <w:p>
      <w:pPr>
        <w:pStyle w:val="Normal"/>
        <w:spacing w:before="0" w:after="60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before="0" w:after="60"/>
        <w:rPr/>
      </w:pPr>
      <w:r>
        <w:rPr>
          <w:b/>
          <w:sz w:val="24"/>
          <w:szCs w:val="24"/>
        </w:rPr>
        <w:t>3. Требования к предоставлению документов в составе заявки.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Участник в составе своей заявки для подтверждения соответствия заявленных характеристик и конструктива предложенной продукции поставляемой продукции, требованиям настоящих ТТ, предоставляет следующие документы: 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3.1. Техническое предложение, подготовленное в соответствии с настоящими ТТ по форме, представленной в документации о закупке. При описании продукции Участник обязан подтвердить соответствие поставляемой продукции требованиям в отношении всех показателей, которые установлены в ТТ. При этом должны указываться точные и не допускающие двусмысленного толкования показатели;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3.2. В соответствии с Федеральным Законом от 27.12.2002 г. № 184-ФЗ «О техническом регулировании», Постановлением Правительства РФ от 23.12.2021 N 2425 "Об утверждении единого перечня продукции, подлежащей обязательной сертификации, и единого перечня продукции, подлежащей декларированию соответствия, внесении изменений в постановление Правительства Российской Федерации от 31 декабря 2020 г. N 2467 и признании утратившими силу некоторых актов Правительства Российской Федерации" в составе заявки предоставить: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а) Копию Декларации о соответствии на «КТП» о соответствии требованиям ГОСТ 14695-80, ГОСТ 1516.3-96 (с приложением протоколов исследований (испытаний), с положительным результатом, проведенных в аккредитованной в установленном порядке испытательной лаборатории (центре)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б) Копию Декларации о соответствии на «силовые трансформаторы» о соответствии требованиям ГОСТ 1516.3-96, ГОСТ 12.2.007.2-75; ГОСТ 12.2.024 – 87, ГОСТ Р 52719-2007 (с приложением протоколов исследований (испытаний), с положительным результатом, проведенных в аккредитованной в установленном порядке испытательной лаборатории (центре).  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 Копию Декларации о соответствии на «КСО» о соответствии требованиям ГОСТ 12.2.007.4-75; ГОСТ 1516.3-96 (с приложением протоколов исследований (испытаний), с положительным результатом, проведенных в аккредитованной в установленном порядке испытательной лаборатории (центре). 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Декларации о соответствии, должны иметь электронную регистрацию в едином реестре деклараций на сайте https://fsa.gov.ru/ (требование п.6 ст.24 ФЗ-184), статус действующего документа.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3.3. Габаритные и установочные чертежи, чертежи компоновки оборудования (участник разрабатывает и предоставляет самостоятельно);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3.4. Руководство (инструкцию) по эксплуатации на КТП, РУНН (ЩО), РУВН (КСО), силовые трансформаторы (ТМГ);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3.5. Протоколы испытаний, проведенных в аккредитованной испытательной лаборатории, подтверждающих соответствие оборудования требованиям по сейсмостойкости по шкале MSK-64 (СП 14.13330.2018 «Свод правил строительства в сейсмических районах») на трансформаторные подстанции и силовые трансформаторы;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3.6. Копию паспорта изделия на ранее изготовленную продукцию (КТП);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3.7. Схема электрическая принципиальная (участник разрабатывает и предоставляет самостоятельно);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3.8. Сертификат (свидетельство) об утверждении типа средств измерений на трансформаторы тока, в соответствии с Федеральным Законом от 26.06.2008 г. № 102-ФЗ «Об обеспечении единства измерений», применяемые в сфере государственного регулирования, должны иметь действующее «Свидетельство об утверждении типа».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3.9. Отсканированную копию технических условий (полный текст), в соответствии с которыми изготавливаются КТП, РУНН (ЩО), РУВН (КСО), силовые трансформаторы (ТМГ);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3.10. Техническое описание КТП и встроенного оборудования (ячейки 6-10 кВ, панели 0,4 кВ, силовой трансформатор): общая информация, расшифровка условного обозначения, назначение и область применения, описание конструкции, основные параметры и технические характеристики, комплектность поставки.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3.11. Действующий Сертификат соответствия панелей ЩО требованиям Технического регламента Таможенного союза ТР ТС 004/2011 «О безопасности низковольтного оборудования» с приложением протокола испытаний, на основании которого был выдан сертификат.</w:t>
      </w:r>
    </w:p>
    <w:p>
      <w:pPr>
        <w:pStyle w:val="Normal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 В составе заявки необходимо представить:</w:t>
      </w:r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sz w:val="24"/>
          <w:szCs w:val="24"/>
        </w:rPr>
        <w:t>4.1. Документы и информацию, подтверждающие страну происхождения товара в соответствии с требованиями Постановления Правительства Российской Федерации от 23 декабря 2024 г. N 1875 “О мерах по предоставлению национального режима при осуществлении закупок товаров, работ, услуг для обеспечения государственных и муниципальных нужд, закупок товаров, работ, услуг отдельными видами юридических лиц”.</w:t>
      </w:r>
    </w:p>
    <w:p>
      <w:pPr>
        <w:pStyle w:val="Normal"/>
        <w:spacing w:before="0" w:after="60"/>
        <w:rPr>
          <w:color w:val="FFFFFF" w:themeColor="background1"/>
          <w:sz w:val="24"/>
          <w:szCs w:val="24"/>
        </w:rPr>
      </w:pPr>
      <w:r>
        <w:rPr>
          <w:color w:val="FFFFFF" w:themeColor="background1"/>
          <w:sz w:val="24"/>
          <w:szCs w:val="24"/>
        </w:rPr>
      </w:r>
    </w:p>
    <w:p>
      <w:pPr>
        <w:pStyle w:val="Normal"/>
        <w:spacing w:before="0" w:after="60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before="0" w:after="60"/>
        <w:rPr/>
      </w:pPr>
      <w:r>
        <w:rPr>
          <w:b/>
          <w:sz w:val="24"/>
          <w:szCs w:val="24"/>
        </w:rPr>
        <w:t>Приложения к техническим требованиям: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1. Приложение к таблице 3.1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2. Приложение к таблице 3.2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3. Приложение к таблице 3.3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4. Приложение к таблице 3.4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5.  Приложение к таблице 3.5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6. Приложение к таблице 3.6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7. Приложение к таблице 3.7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8. Приложение к таблице 3.8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9. Приложение к таблице 3.9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10. Приложение к таблице 3.10 Однолинейная схема, компоновочный чертеж, чертеж сборно-разборного фундамента;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11. Приложение к таблице 3.11 Однолинейная схема, компоновочный чертеж, схема размещения оборудования в шкафу учета;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12. Приложение к таблице 3.12 Однолинейная схема, компоновочный чертеж, схема размещения оборудования в шкафу учета;</w:t>
      </w:r>
    </w:p>
    <w:p>
      <w:pPr>
        <w:pStyle w:val="Normal"/>
        <w:spacing w:before="0" w:after="60"/>
        <w:rPr/>
      </w:pPr>
      <w:r>
        <w:rPr>
          <w:sz w:val="24"/>
          <w:szCs w:val="24"/>
        </w:rPr>
        <w:t>13. Приложение к таблице 3.13 Однолинейная схема, компоновочный чертеж, схема размещения оборудования в шкафу учета;</w:t>
      </w:r>
    </w:p>
    <w:p>
      <w:pPr>
        <w:sectPr>
          <w:headerReference w:type="default" r:id="rId5"/>
          <w:headerReference w:type="first" r:id="rId6"/>
          <w:type w:val="nextPage"/>
          <w:pgSz w:orient="landscape" w:w="16838" w:h="11906"/>
          <w:pgMar w:left="992" w:right="567" w:gutter="0" w:header="680" w:top="851" w:footer="0" w:bottom="851"/>
          <w:pgNumType w:fmt="decimal"/>
          <w:formProt w:val="false"/>
          <w:titlePg/>
          <w:textDirection w:val="lrTb"/>
          <w:docGrid w:type="default" w:linePitch="100" w:charSpace="0"/>
        </w:sectPr>
        <w:pStyle w:val="Normal"/>
        <w:spacing w:before="0" w:after="60"/>
        <w:rPr/>
      </w:pPr>
      <w:r>
        <w:rPr>
          <w:sz w:val="24"/>
          <w:szCs w:val="24"/>
        </w:rPr>
        <w:t>14. Приложение к таблице 3.14 Однолинейная схема, компоновочный чертеж, схема размещения оборудования в шкафу учета;</w:t>
      </w:r>
    </w:p>
    <w:p>
      <w:pPr>
        <w:pStyle w:val="Normal"/>
        <w:numPr>
          <w:ilvl w:val="0"/>
          <w:numId w:val="0"/>
        </w:numPr>
        <w:ind w:left="0" w:hanging="0"/>
        <w:jc w:val="both"/>
        <w:outlineLvl w:val="0"/>
        <w:rPr/>
      </w:pPr>
      <w:bookmarkStart w:id="99" w:name="__RefHeading___Toc28606_3473696645"/>
      <w:bookmarkStart w:id="100" w:name="_Toc149029451"/>
      <w:bookmarkEnd w:id="99"/>
      <w:r>
        <w:rPr>
          <w:b/>
          <w:sz w:val="24"/>
          <w:szCs w:val="24"/>
        </w:rPr>
        <w:t>5. Требования к документации по ценообразованию на этапе закупки</w:t>
      </w:r>
      <w:bookmarkEnd w:id="100"/>
    </w:p>
    <w:p>
      <w:pPr>
        <w:pStyle w:val="Normal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both"/>
        <w:rPr>
          <w:rFonts w:eastAsia="Calibri"/>
          <w:vanish/>
          <w:sz w:val="24"/>
          <w:szCs w:val="24"/>
        </w:rPr>
      </w:pPr>
      <w:r>
        <w:rPr>
          <w:rFonts w:eastAsia="Calibri"/>
          <w:vanish/>
          <w:sz w:val="24"/>
          <w:szCs w:val="24"/>
        </w:rPr>
      </w:r>
    </w:p>
    <w:p>
      <w:pPr>
        <w:pStyle w:val="Normal"/>
        <w:jc w:val="both"/>
        <w:rPr/>
      </w:pPr>
      <w:r>
        <w:rPr>
          <w:rFonts w:eastAsia="Calibri"/>
          <w:sz w:val="24"/>
          <w:szCs w:val="24"/>
        </w:rPr>
        <w:t xml:space="preserve">5.1.   В обоснование стоимости своей заявки Участник предоставляет Коммерческое предложение по форме </w:t>
      </w:r>
      <w:bookmarkStart w:id="101" w:name="_Hlk88325985"/>
      <w:r>
        <w:rPr>
          <w:rFonts w:eastAsia="Calibri"/>
          <w:sz w:val="24"/>
          <w:szCs w:val="24"/>
        </w:rPr>
        <w:t>(с учетом прилагаемой к ней инструкции по заполнению)</w:t>
      </w:r>
      <w:bookmarkEnd w:id="101"/>
      <w:r>
        <w:rPr>
          <w:rFonts w:eastAsia="Calibri"/>
          <w:sz w:val="24"/>
          <w:szCs w:val="24"/>
        </w:rPr>
        <w:t>, приведенной в Документации о закупке.</w:t>
      </w:r>
      <w:bookmarkStart w:id="102" w:name="_Hlk88327292"/>
    </w:p>
    <w:p>
      <w:pPr>
        <w:pStyle w:val="Normal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</w:r>
    </w:p>
    <w:p>
      <w:pPr>
        <w:pStyle w:val="Normal"/>
        <w:jc w:val="both"/>
        <w:rPr/>
      </w:pPr>
      <w:r>
        <w:rPr>
          <w:rFonts w:eastAsia="Calibri"/>
          <w:sz w:val="24"/>
          <w:szCs w:val="24"/>
        </w:rPr>
        <w:t>5.2.   Дополнительные документы по ценообразованию</w:t>
      </w:r>
      <w:bookmarkEnd w:id="102"/>
      <w:r>
        <w:rPr>
          <w:rFonts w:eastAsia="Calibri"/>
          <w:sz w:val="24"/>
          <w:szCs w:val="24"/>
        </w:rPr>
        <w:t xml:space="preserve"> в состав заявки не включаются.</w:t>
      </w:r>
    </w:p>
    <w:p>
      <w:pPr>
        <w:pStyle w:val="Normal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</w:r>
    </w:p>
    <w:p>
      <w:pPr>
        <w:sectPr>
          <w:headerReference w:type="default" r:id="rId7"/>
          <w:headerReference w:type="first" r:id="rId8"/>
          <w:type w:val="nextPage"/>
          <w:pgSz w:w="11906" w:h="16838"/>
          <w:pgMar w:left="1134" w:right="851" w:gutter="0" w:header="680" w:top="1134" w:footer="0" w:bottom="992"/>
          <w:pgNumType w:fmt="decimal"/>
          <w:formProt w:val="false"/>
          <w:textDirection w:val="lrTb"/>
          <w:docGrid w:type="default" w:linePitch="100" w:charSpace="0"/>
        </w:sectPr>
        <w:pStyle w:val="Normal"/>
        <w:jc w:val="both"/>
        <w:rPr/>
      </w:pPr>
      <w:r>
        <w:rPr>
          <w:sz w:val="24"/>
          <w:szCs w:val="24"/>
        </w:rPr>
        <w:t>5.3.   Стоимость за единицу продукции (товара) должна включать в себя погрузку, транспортировку товара до места поставки, подлежащие уплате налоги, сборы и пошлины и прочие затраты, и расходы поставщика, связанные с поставкой товара, предусмотренные Проектом договора (Приложение к Документации о закупке).</w:t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Приложения  к таблице №3.1.</w:t>
      </w:r>
    </w:p>
    <w:p>
      <w:pPr>
        <w:sectPr>
          <w:headerReference w:type="default" r:id="rId10"/>
          <w:headerReference w:type="first" r:id="rId11"/>
          <w:type w:val="nextPage"/>
          <w:pgSz w:w="11906" w:h="16838"/>
          <w:pgMar w:left="1134" w:right="851" w:gutter="0" w:header="680" w:top="1134" w:footer="0" w:bottom="992"/>
          <w:pgNumType w:fmt="decimal"/>
          <w:formProt w:val="false"/>
          <w:textDirection w:val="lrTb"/>
          <w:docGrid w:type="default" w:linePitch="100" w:charSpace="0"/>
        </w:sect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  <w:drawing>
          <wp:inline distT="0" distB="0" distL="0" distR="0">
            <wp:extent cx="6299835" cy="8910955"/>
            <wp:effectExtent l="0" t="0" r="0" b="0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/>
        <w:drawing>
          <wp:inline distT="0" distB="0" distL="0" distR="0">
            <wp:extent cx="6299835" cy="8910955"/>
            <wp:effectExtent l="0" t="0" r="0" b="0"/>
            <wp:docPr id="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5" name="Изображение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9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6" name="Изображение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0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7" name="Изображение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0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headerReference w:type="even" r:id="rId17"/>
          <w:headerReference w:type="default" r:id="rId18"/>
          <w:headerReference w:type="first" r:id="rId19"/>
          <w:type w:val="nextPage"/>
          <w:pgSz w:w="11906" w:h="16838"/>
          <w:pgMar w:left="1134" w:right="851" w:gutter="0" w:header="680" w:top="1134" w:footer="0" w:bottom="992"/>
          <w:pgNumType w:fmt="decimal"/>
          <w:formProt w:val="false"/>
          <w:titlePg/>
          <w:textDirection w:val="lrTb"/>
          <w:docGrid w:type="default" w:linePitch="100" w:charSpace="0"/>
        </w:sect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5">
            <wp:simplePos x="0" y="0"/>
            <wp:positionH relativeFrom="column">
              <wp:posOffset>0</wp:posOffset>
            </wp:positionH>
            <wp:positionV relativeFrom="paragraph">
              <wp:posOffset>26243915</wp:posOffset>
            </wp:positionV>
            <wp:extent cx="6299835" cy="8908415"/>
            <wp:effectExtent l="0" t="0" r="0" b="0"/>
            <wp:wrapSquare wrapText="bothSides"/>
            <wp:docPr id="8" name="Изображение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41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Приложения  к таблице №3.2.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/>
        <w:drawing>
          <wp:inline distT="0" distB="0" distL="0" distR="0">
            <wp:extent cx="6299835" cy="8910955"/>
            <wp:effectExtent l="0" t="0" r="0" b="0"/>
            <wp:docPr id="1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12" name="Изображение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36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18415" simplePos="0" locked="0" layoutInCell="0" allowOverlap="1" relativeHeight="27">
            <wp:simplePos x="0" y="0"/>
            <wp:positionH relativeFrom="column">
              <wp:posOffset>-38735</wp:posOffset>
            </wp:positionH>
            <wp:positionV relativeFrom="paragraph">
              <wp:posOffset>253365</wp:posOffset>
            </wp:positionV>
            <wp:extent cx="6490335" cy="7934960"/>
            <wp:effectExtent l="0" t="0" r="0" b="0"/>
            <wp:wrapSquare wrapText="bothSides"/>
            <wp:docPr id="13" name="Изображение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3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335" cy="793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14" name="Изображение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43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15" name="Изображение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44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16" name="Изображение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45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Приложения  к таблице №3.3.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  <w:drawing>
          <wp:inline distT="0" distB="0" distL="0" distR="0">
            <wp:extent cx="6299835" cy="8910955"/>
            <wp:effectExtent l="0" t="0" r="0" b="0"/>
            <wp:docPr id="1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  <w:drawing>
          <wp:anchor behindDoc="0" distT="0" distB="0" distL="0" distR="0" simplePos="0" locked="0" layoutInCell="0" allowOverlap="1" relativeHeight="3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4453255"/>
            <wp:effectExtent l="0" t="0" r="0" b="0"/>
            <wp:wrapSquare wrapText="bothSides"/>
            <wp:docPr id="18" name="Изображение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28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/>
      </w:pPr>
      <w:r>
        <w:rPr/>
        <w:drawing>
          <wp:anchor behindDoc="0" distT="0" distB="0" distL="0" distR="0" simplePos="0" locked="0" layoutInCell="0" allowOverlap="1" relativeHeight="4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19" name="Изображение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34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20" name="Изображение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46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21" name="Изображение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47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22" name="Изображение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49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Приложения  к таблице №3.4.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/>
        <w:drawing>
          <wp:inline distT="0" distB="0" distL="0" distR="0">
            <wp:extent cx="6299835" cy="8910955"/>
            <wp:effectExtent l="0" t="0" r="0" b="0"/>
            <wp:docPr id="23" name="Рисунок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7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mc:AlternateContent>
          <mc:Choice Requires="wps">
            <w:drawing>
              <wp:anchor behindDoc="0" distT="0" distB="635" distL="0" distR="29210" simplePos="0" locked="0" layoutInCell="0" allowOverlap="1" relativeHeight="28">
                <wp:simplePos x="0" y="0"/>
                <wp:positionH relativeFrom="column">
                  <wp:posOffset>-195580</wp:posOffset>
                </wp:positionH>
                <wp:positionV relativeFrom="paragraph">
                  <wp:posOffset>-441960</wp:posOffset>
                </wp:positionV>
                <wp:extent cx="6299835" cy="7349490"/>
                <wp:effectExtent l="0" t="0" r="0" b="0"/>
                <wp:wrapSquare wrapText="bothSides"/>
                <wp:docPr id="24" name="Изображение3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Изображение38" descr="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 rot="5400000">
                          <a:off x="0" y="0"/>
                          <a:ext cx="6300000" cy="7349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Изображение38" stroked="f" o:allowincell="f" style="position:absolute;margin-left:-15.45pt;margin-top:-34.8pt;width:496pt;height:578.65pt;mso-wrap-style:none;v-text-anchor:middle;rotation:90" type="_x0000_t75">
                <v:imagedata r:id="rId34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4">
            <wp:simplePos x="0" y="0"/>
            <wp:positionH relativeFrom="column">
              <wp:align>center</wp:align>
            </wp:positionH>
            <wp:positionV relativeFrom="paragraph">
              <wp:posOffset>452120</wp:posOffset>
            </wp:positionV>
            <wp:extent cx="6299835" cy="8456930"/>
            <wp:effectExtent l="0" t="0" r="0" b="0"/>
            <wp:wrapSquare wrapText="bothSides"/>
            <wp:docPr id="25" name="Изображение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42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45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26" name="Изображение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51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27" name="Изображение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52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28" name="Изображение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54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Приложения  к таблице №3.5.</w:t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/>
        <w:drawing>
          <wp:inline distT="0" distB="0" distL="0" distR="0">
            <wp:extent cx="6299835" cy="8909685"/>
            <wp:effectExtent l="0" t="0" r="0" b="0"/>
            <wp:docPr id="29" name="Рисунок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3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0" name="Изображение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55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4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1" name="Изображение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56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2" name="Изображение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57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3" name="Изображение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58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2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4" name="Изображение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48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/>
      </w:pPr>
      <w:r>
        <w:rPr/>
        <w:t>Приложения  к таблице №3.6.</w:t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/>
        <w:drawing>
          <wp:inline distT="0" distB="0" distL="0" distR="0">
            <wp:extent cx="6190615" cy="8616950"/>
            <wp:effectExtent l="0" t="0" r="0" b="0"/>
            <wp:docPr id="3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861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4451985"/>
            <wp:effectExtent l="0" t="0" r="0" b="0"/>
            <wp:wrapSquare wrapText="bothSides"/>
            <wp:docPr id="36" name="Изображение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50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7" name="Изображение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59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8" name="Изображение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53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39" name="Изображение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61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0" name="Изображение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62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bCs/>
          <w:sz w:val="24"/>
          <w:szCs w:val="24"/>
          <w:highlight w:val="none"/>
        </w:rPr>
      </w:pPr>
      <w:r>
        <w:rPr>
          <w:rFonts w:eastAsia="Calibri"/>
          <w:b/>
          <w:sz w:val="24"/>
          <w:szCs w:val="24"/>
        </w:rPr>
        <w:t>Приложения  к таблице №3.7.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/>
        <w:drawing>
          <wp:inline distT="0" distB="0" distL="0" distR="0">
            <wp:extent cx="6192520" cy="8759825"/>
            <wp:effectExtent l="0" t="0" r="0" b="0"/>
            <wp:docPr id="41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875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2" name="Изображение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63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3" name="Изображение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64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4" name="Изображение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65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5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5" name="Изображение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71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6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6" name="Изображение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Изображение72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Приложения  к таблице №3.8.</w:t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/>
        <w:drawing>
          <wp:inline distT="0" distB="0" distL="0" distR="0">
            <wp:extent cx="6299835" cy="8910955"/>
            <wp:effectExtent l="0" t="0" r="0" b="0"/>
            <wp:docPr id="4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bCs/>
          <w:sz w:val="24"/>
          <w:szCs w:val="24"/>
        </w:rPr>
      </w:pPr>
      <w:r>
        <w:rPr>
          <w:rFonts w:eastAsia="Calibri"/>
          <w:b/>
          <w:bCs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6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4453255"/>
            <wp:effectExtent l="0" t="0" r="0" b="0"/>
            <wp:wrapSquare wrapText="bothSides"/>
            <wp:docPr id="48" name="Изображение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73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6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49" name="Изображение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74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6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50" name="Изображение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Изображение75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6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51" name="Изображение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76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drawing>
          <wp:anchor behindDoc="0" distT="0" distB="0" distL="0" distR="0" simplePos="0" locked="0" layoutInCell="0" allowOverlap="1" relativeHeight="6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8908415"/>
            <wp:effectExtent l="0" t="0" r="0" b="0"/>
            <wp:wrapSquare wrapText="bothSides"/>
            <wp:docPr id="52" name="Изображение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78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rFonts w:eastAsia="Calibri"/>
          <w:sz w:val="24"/>
          <w:szCs w:val="24"/>
        </w:rPr>
      </w:pPr>
      <w:bookmarkStart w:id="103" w:name="__RefHeading___Toc98360_4125836466_Копия"/>
      <w:bookmarkEnd w:id="103"/>
      <w:r>
        <w:rPr/>
        <w:t xml:space="preserve">                                                                                          </w:t>
      </w:r>
      <w:bookmarkStart w:id="104" w:name="__RefHeading___Toc98348_4125836466"/>
      <w:bookmarkEnd w:id="104"/>
      <w:r>
        <w:rPr>
          <w:rFonts w:eastAsia="Calibri"/>
          <w:b/>
          <w:sz w:val="24"/>
          <w:szCs w:val="24"/>
        </w:rPr>
        <w:t>Приложения  к таблице №3</w:t>
      </w:r>
      <w:r>
        <w:rPr>
          <w:rFonts w:eastAsia="Calibri"/>
          <w:b/>
          <w:bCs/>
          <w:sz w:val="24"/>
          <w:szCs w:val="24"/>
        </w:rPr>
        <w:t>.9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drawing>
          <wp:anchor behindDoc="0" distT="0" distB="0" distL="0" distR="0" simplePos="0" locked="0" layoutInCell="0" allowOverlap="1" relativeHeight="66">
            <wp:simplePos x="0" y="0"/>
            <wp:positionH relativeFrom="column">
              <wp:posOffset>-90170</wp:posOffset>
            </wp:positionH>
            <wp:positionV relativeFrom="paragraph">
              <wp:posOffset>635</wp:posOffset>
            </wp:positionV>
            <wp:extent cx="6299835" cy="8989060"/>
            <wp:effectExtent l="0" t="0" r="0" b="0"/>
            <wp:wrapSquare wrapText="bothSides"/>
            <wp:docPr id="53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8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left"/>
        <w:outlineLvl w:val="0"/>
        <w:rPr>
          <w:color w:val="FFFFFF"/>
        </w:rPr>
      </w:pPr>
      <w:r>
        <w:rPr>
          <w:rFonts w:eastAsia="Calibri"/>
          <w:color w:val="FFFFFF"/>
        </w:rPr>
        <w:t>П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drawing>
          <wp:anchor behindDoc="0" distT="0" distB="0" distL="0" distR="0" simplePos="0" locked="0" layoutInCell="0" allowOverlap="1" relativeHeight="6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4395470"/>
            <wp:effectExtent l="0" t="0" r="0" b="0"/>
            <wp:wrapSquare wrapText="bothSides"/>
            <wp:docPr id="54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9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drawing>
          <wp:anchor behindDoc="0" distT="0" distB="0" distL="0" distR="0" simplePos="0" locked="0" layoutInCell="0" allowOverlap="1" relativeHeight="6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7331710"/>
            <wp:effectExtent l="0" t="0" r="0" b="0"/>
            <wp:wrapSquare wrapText="bothSides"/>
            <wp:docPr id="55" name="Изображение6 Копия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6 Копия 1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rPr>
          <w:b/>
          <w:bCs/>
          <w:i/>
          <w:i/>
          <w:sz w:val="24"/>
          <w:szCs w:val="24"/>
        </w:rPr>
      </w:pPr>
      <w:r>
        <w:rPr>
          <w:b/>
          <w:bCs/>
          <w:i/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right"/>
        <w:outlineLvl w:val="0"/>
        <w:rPr>
          <w:rFonts w:eastAsia="Calibri"/>
          <w:sz w:val="24"/>
          <w:szCs w:val="24"/>
        </w:rPr>
      </w:pPr>
      <w:bookmarkStart w:id="105" w:name="__RefHeading___Toc98360_4125836466"/>
      <w:bookmarkStart w:id="106" w:name="__DdeLink__1517428_707759621_Копия_1_Коп"/>
      <w:bookmarkEnd w:id="105"/>
      <w:bookmarkEnd w:id="106"/>
      <w:r>
        <w:rPr>
          <w:rFonts w:eastAsia="Calibri"/>
          <w:b/>
          <w:sz w:val="24"/>
          <w:szCs w:val="24"/>
        </w:rPr>
        <w:t>Приложения к таблице №3.</w:t>
      </w:r>
      <w:r>
        <w:rPr>
          <w:rFonts w:eastAsia="Calibri"/>
          <w:b/>
          <w:bCs/>
          <w:sz w:val="24"/>
          <w:szCs w:val="24"/>
        </w:rPr>
        <w:t>10</w:t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drawing>
          <wp:anchor behindDoc="0" distT="0" distB="0" distL="0" distR="0" simplePos="0" locked="0" layoutInCell="0" allowOverlap="1" relativeHeight="67">
            <wp:simplePos x="0" y="0"/>
            <wp:positionH relativeFrom="column">
              <wp:align>center</wp:align>
            </wp:positionH>
            <wp:positionV relativeFrom="paragraph">
              <wp:posOffset>484505</wp:posOffset>
            </wp:positionV>
            <wp:extent cx="6299835" cy="8511540"/>
            <wp:effectExtent l="0" t="0" r="0" b="0"/>
            <wp:wrapSquare wrapText="bothSides"/>
            <wp:docPr id="56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511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posOffset>19685</wp:posOffset>
            </wp:positionH>
            <wp:positionV relativeFrom="paragraph">
              <wp:posOffset>113030</wp:posOffset>
            </wp:positionV>
            <wp:extent cx="6299835" cy="4445000"/>
            <wp:effectExtent l="0" t="0" r="0" b="0"/>
            <wp:wrapSquare wrapText="bothSides"/>
            <wp:docPr id="57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  <w:bookmarkStart w:id="107" w:name="_GoBack"/>
      <w:bookmarkStart w:id="108" w:name="_GoBack"/>
      <w:bookmarkEnd w:id="108"/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99835" cy="7259320"/>
            <wp:effectExtent l="0" t="0" r="0" b="0"/>
            <wp:wrapSquare wrapText="bothSides"/>
            <wp:docPr id="58" name="Изображение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24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25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</w:rPr>
      </w:pPr>
      <w:r>
        <w:rPr>
          <w:b/>
          <w:i w:val="false"/>
          <w:iCs w:val="false"/>
          <w:sz w:val="24"/>
          <w:szCs w:val="24"/>
        </w:rPr>
        <w:t xml:space="preserve">                                                                                                                  </w:t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</w:rPr>
      </w:pPr>
      <w:r>
        <w:rPr>
          <w:b/>
          <w:bCs w:val="false"/>
          <w:i w:val="false"/>
          <w:sz w:val="24"/>
          <w:szCs w:val="24"/>
        </w:rPr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  <w:highlight w:val="none"/>
        </w:rPr>
      </w:pPr>
      <w:r>
        <w:rPr>
          <w:b/>
          <w:bCs w:val="false"/>
          <w:i w:val="false"/>
          <w:sz w:val="24"/>
          <w:szCs w:val="24"/>
        </w:rPr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  <w:highlight w:val="none"/>
        </w:rPr>
      </w:pPr>
      <w:r>
        <w:rPr>
          <w:b/>
          <w:bCs w:val="false"/>
          <w:i w:val="false"/>
          <w:sz w:val="24"/>
          <w:szCs w:val="24"/>
        </w:rPr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  <w:highlight w:val="none"/>
        </w:rPr>
      </w:pPr>
      <w:r>
        <w:rPr>
          <w:b/>
          <w:bCs w:val="false"/>
          <w:i w:val="false"/>
          <w:sz w:val="24"/>
          <w:szCs w:val="24"/>
        </w:rPr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  <w:highlight w:val="none"/>
        </w:rPr>
      </w:pPr>
      <w:r>
        <w:rPr>
          <w:b/>
          <w:bCs w:val="false"/>
          <w:i w:val="false"/>
          <w:sz w:val="24"/>
          <w:szCs w:val="24"/>
        </w:rPr>
      </w:r>
    </w:p>
    <w:p>
      <w:pPr>
        <w:pStyle w:val="Normal"/>
        <w:rPr>
          <w:b/>
          <w:bCs w:val="false"/>
          <w:i w:val="false"/>
          <w:i w:val="false"/>
          <w:sz w:val="24"/>
          <w:szCs w:val="24"/>
          <w:highlight w:val="none"/>
        </w:rPr>
      </w:pPr>
      <w:r>
        <w:rPr>
          <w:b/>
          <w:i w:val="false"/>
          <w:iCs w:val="false"/>
          <w:sz w:val="24"/>
          <w:szCs w:val="24"/>
        </w:rPr>
        <w:t xml:space="preserve">                                                                                                                  </w:t>
      </w:r>
      <w:r>
        <w:rPr>
          <w:b/>
          <w:i w:val="false"/>
          <w:iCs w:val="false"/>
          <w:sz w:val="24"/>
          <w:szCs w:val="24"/>
        </w:rPr>
        <w:t>Приложение  к таблице 3.11</w:t>
      </w:r>
    </w:p>
    <w:p>
      <w:pPr>
        <w:pStyle w:val="Normal"/>
        <w:rPr>
          <w:sz w:val="24"/>
          <w:szCs w:val="24"/>
        </w:rPr>
      </w:pPr>
      <w:r>
        <w:rPr/>
        <w:drawing>
          <wp:inline distT="0" distB="0" distL="0" distR="0">
            <wp:extent cx="6299835" cy="8910955"/>
            <wp:effectExtent l="0" t="0" r="0" b="0"/>
            <wp:docPr id="59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  <w:highlight w:val="none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4453255"/>
            <wp:effectExtent l="0" t="0" r="0" b="0"/>
            <wp:docPr id="60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7272655"/>
            <wp:effectExtent l="0" t="0" r="0" b="0"/>
            <wp:docPr id="61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  <w:t xml:space="preserve">                                                                                                                </w:t>
      </w:r>
      <w:r>
        <w:rPr>
          <w:b/>
          <w:bCs/>
          <w:sz w:val="24"/>
          <w:szCs w:val="24"/>
        </w:rPr>
        <w:t>Приложение к таблице 3.12</w:t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8910955"/>
            <wp:effectExtent l="0" t="0" r="0" b="0"/>
            <wp:docPr id="62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4453255"/>
            <wp:effectExtent l="0" t="0" r="0" b="0"/>
            <wp:docPr id="63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7272655"/>
            <wp:effectExtent l="0" t="0" r="0" b="0"/>
            <wp:docPr id="64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  <w:t xml:space="preserve">                                                                                                                  </w:t>
      </w:r>
      <w:r>
        <w:rPr>
          <w:b/>
          <w:bCs/>
          <w:sz w:val="24"/>
          <w:szCs w:val="24"/>
        </w:rPr>
        <w:t>Приложение к таблице 3.13</w:t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8910955"/>
            <wp:effectExtent l="0" t="0" r="0" b="0"/>
            <wp:docPr id="65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4453255"/>
            <wp:effectExtent l="0" t="0" r="0" b="0"/>
            <wp:docPr id="66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7272655"/>
            <wp:effectExtent l="0" t="0" r="0" b="0"/>
            <wp:docPr id="67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  <w:t xml:space="preserve">                                                                                                                   </w:t>
      </w:r>
      <w:r>
        <w:rPr>
          <w:b/>
          <w:bCs/>
          <w:sz w:val="24"/>
          <w:szCs w:val="24"/>
        </w:rPr>
        <w:t>Приложение к таблице 3.14</w:t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8910955"/>
            <wp:effectExtent l="0" t="0" r="0" b="0"/>
            <wp:docPr id="68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4453255"/>
            <wp:effectExtent l="0" t="0" r="0" b="0"/>
            <wp:docPr id="69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>
          <w:b/>
          <w:bCs/>
          <w:sz w:val="24"/>
          <w:szCs w:val="24"/>
        </w:rPr>
      </w:r>
    </w:p>
    <w:p>
      <w:pPr>
        <w:pStyle w:val="Normal"/>
        <w:rPr>
          <w:b/>
          <w:bCs/>
          <w:sz w:val="24"/>
          <w:szCs w:val="24"/>
          <w:highlight w:val="none"/>
        </w:rPr>
      </w:pPr>
      <w:r>
        <w:rPr/>
        <w:drawing>
          <wp:inline distT="0" distB="0" distL="0" distR="0">
            <wp:extent cx="6299835" cy="7272655"/>
            <wp:effectExtent l="0" t="0" r="0" b="0"/>
            <wp:docPr id="70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81"/>
      <w:headerReference w:type="first" r:id="rId82"/>
      <w:type w:val="nextPage"/>
      <w:pgSz w:w="11906" w:h="16838"/>
      <w:pgMar w:left="1134" w:right="851" w:gutter="0" w:header="680" w:top="1134" w:footer="0" w:bottom="992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Cambria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ahoma">
    <w:charset w:val="01"/>
    <w:family w:val="roman"/>
    <w:pitch w:val="variable"/>
  </w:font>
  <w:font w:name="Arial Unicode MS">
    <w:charset w:val="01"/>
    <w:family w:val="roman"/>
    <w:pitch w:val="variable"/>
  </w:font>
  <w:font w:name="Verdana">
    <w:charset w:val="01"/>
    <w:family w:val="roman"/>
    <w:pitch w:val="variable"/>
  </w:font>
  <w:font w:name="Garamond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modern"/>
    <w:pitch w:val="fixed"/>
  </w:font>
  <w:font w:name="Wingdings">
    <w:charset w:val="02"/>
    <w:family w:val="auto"/>
    <w:pitch w:val="default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  <mc:AlternateContent>
        <mc:Choice Requires="wps">
          <w:drawing>
            <wp:anchor behindDoc="1" distT="0" distB="0" distL="0" distR="0" simplePos="0" locked="0" layoutInCell="0" allowOverlap="1" relativeHeight="24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4605" cy="14605"/>
              <wp:effectExtent l="0" t="0" r="0" b="0"/>
              <wp:wrapSquare wrapText="bothSides"/>
              <wp:docPr id="1" name="Врезка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60" cy="14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rPr>
                              <w:rStyle w:val="Pagenumber"/>
                            </w:rPr>
                          </w:pP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1" path="m0,0l-2147483645,0l-2147483645,-2147483646l0,-2147483646xe" stroked="f" o:allowincell="f" style="position:absolute;margin-left:0pt;margin-top:0.05pt;width:1.1pt;height:1.1pt;mso-wrap-style:square;v-text-anchor:top;mso-position-horizontal:center;mso-position-horizontal-relative:margin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Header"/>
                      <w:rPr>
                        <w:rStyle w:val="Pagenumber"/>
                      </w:rPr>
                    </w:pP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1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  <mc:AlternateContent>
        <mc:Choice Requires="wps">
          <w:drawing>
            <wp:anchor behindDoc="1" distT="0" distB="0" distL="0" distR="0" simplePos="0" locked="0" layoutInCell="0" allowOverlap="1" relativeHeight="23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4605" cy="14605"/>
              <wp:effectExtent l="0" t="0" r="0" b="0"/>
              <wp:wrapSquare wrapText="bothSides"/>
              <wp:docPr id="9" name="Врезка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60" cy="14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rPr>
                              <w:rStyle w:val="Pagenumber"/>
                            </w:rPr>
                          </w:pP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2" path="m0,0l-2147483645,0l-2147483645,-2147483646l0,-2147483646xe" stroked="f" o:allowincell="f" style="position:absolute;margin-left:0pt;margin-top:0.05pt;width:1.1pt;height:1.1pt;mso-wrap-style:square;v-text-anchor:top;mso-position-horizontal:center;mso-position-horizontal-relative:margin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Header"/>
                      <w:rPr>
                        <w:rStyle w:val="Pagenumber"/>
                      </w:rPr>
                    </w:pP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1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290</w:t>
    </w:r>
    <w:r>
      <w:rPr/>
      <w:fldChar w:fldCharType="end"/>
    </w:r>
  </w:p>
</w:hdr>
</file>

<file path=word/header1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286</w:t>
    </w:r>
    <w:r>
      <w:rPr/>
      <w:fldChar w:fldCharType="end"/>
    </w:r>
  </w:p>
</w:hdr>
</file>

<file path=word/header1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350</w:t>
    </w:r>
    <w:r>
      <w:rPr/>
      <w:fldChar w:fldCharType="end"/>
    </w:r>
  </w:p>
</w:hdr>
</file>

<file path=word/header1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5</w:t>
    </w:r>
    <w:r>
      <w:rPr/>
      <w:fldChar w:fldCharType="end"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283</w:t>
    </w:r>
    <w:r>
      <w:rPr/>
      <w:fldChar w:fldCharType="end"/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284</w:t>
    </w:r>
    <w:r>
      <w:rPr/>
      <w:fldChar w:fldCharType="end"/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285</w:t>
    </w:r>
    <w:r>
      <w:rPr/>
      <w:fldChar w:fldCharType="end"/>
    </w:r>
  </w:p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5038" w:hanging="360"/>
      </w:pPr>
      <w:rPr>
        <w:smallCaps w:val="false"/>
        <w:caps w:val="false"/>
        <w:dstrike w:val="false"/>
        <w:strike w:val="false"/>
        <w:vertAlign w:val="baseline"/>
        <w:position w:val="0"/>
        <w:sz w:val="28"/>
        <w:sz w:val="28"/>
        <w:spacing w:val="0"/>
        <w:i w:val="false"/>
        <w:u w:val="none"/>
        <w:b/>
        <w:szCs w:val="28"/>
        <w:iCs w:val="false"/>
        <w:bCs w:val="false"/>
        <w:vanish w:val="false"/>
        <w:rFonts w:ascii="Times New Roman" w:hAnsi="Times New Roman" w:cs="Times New Roman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432" w:hanging="432"/>
      </w:pPr>
      <w:rPr>
        <w:sz w:val="24"/>
        <w:i w:val="false"/>
        <w:b/>
        <w:szCs w:val="24"/>
        <w:iCs/>
        <w:bCs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066" w:hanging="648"/>
      </w:pPr>
      <w:rPr>
        <w:i w:val="false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20"/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9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10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11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1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13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18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20"/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19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20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1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2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20"/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24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5"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26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27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8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9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0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20"/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31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2"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3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34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5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6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7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20"/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38"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9"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40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4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36"/>
  </w:num>
  <w:num w:numId="37">
    <w:abstractNumId w:val="37"/>
  </w:num>
  <w:num w:numId="38">
    <w:abstractNumId w:val="38"/>
  </w:num>
  <w:num w:numId="39">
    <w:abstractNumId w:val="39"/>
  </w:num>
  <w:num w:numId="40">
    <w:abstractNumId w:val="40"/>
  </w:num>
  <w:num w:numId="41">
    <w:abstractNumId w:val="41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ahoma" w:cs="Lohit Devanagari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fals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8"/>
      <w:szCs w:val="28"/>
      <w:lang w:val="ru-RU" w:eastAsia="ru-RU" w:bidi="ar-SA"/>
    </w:rPr>
  </w:style>
  <w:style w:type="paragraph" w:styleId="Heading1">
    <w:name w:val="Heading 1"/>
    <w:basedOn w:val="Heading3"/>
    <w:next w:val="Normal"/>
    <w:link w:val="15"/>
    <w:qFormat/>
    <w:pPr>
      <w:ind w:left="5038" w:hanging="360"/>
      <w:outlineLvl w:val="0"/>
    </w:pPr>
    <w:rPr>
      <w:sz w:val="28"/>
      <w:szCs w:val="28"/>
    </w:rPr>
  </w:style>
  <w:style w:type="paragraph" w:styleId="Heading2">
    <w:name w:val="Heading 2"/>
    <w:basedOn w:val="Heading4"/>
    <w:next w:val="Normal"/>
    <w:link w:val="2"/>
    <w:qFormat/>
    <w:pPr>
      <w:numPr>
        <w:ilvl w:val="0"/>
      </w:numPr>
      <w:ind w:left="432" w:hanging="432"/>
      <w:outlineLvl w:val="1"/>
    </w:pPr>
    <w:rPr/>
  </w:style>
  <w:style w:type="paragraph" w:styleId="Heading3">
    <w:name w:val="Heading 3"/>
    <w:basedOn w:val="Normal"/>
    <w:next w:val="Normal"/>
    <w:link w:val="3"/>
    <w:qFormat/>
    <w:pPr>
      <w:keepNext w:val="true"/>
      <w:tabs>
        <w:tab w:val="clear" w:pos="708"/>
        <w:tab w:val="left" w:pos="0" w:leader="none"/>
      </w:tabs>
      <w:spacing w:before="120" w:after="60"/>
      <w:ind w:left="1224" w:hanging="504"/>
      <w:outlineLvl w:val="2"/>
    </w:pPr>
    <w:rPr>
      <w:rFonts w:eastAsia="Calibri"/>
      <w:b/>
      <w:sz w:val="24"/>
      <w:szCs w:val="24"/>
    </w:rPr>
  </w:style>
  <w:style w:type="paragraph" w:styleId="Heading4">
    <w:name w:val="Heading 4"/>
    <w:basedOn w:val="Heading3"/>
    <w:next w:val="Normal"/>
    <w:link w:val="4"/>
    <w:qFormat/>
    <w:pPr>
      <w:numPr>
        <w:ilvl w:val="1"/>
      </w:numPr>
      <w:ind w:left="1224" w:hanging="504"/>
      <w:outlineLvl w:val="3"/>
    </w:pPr>
    <w:rPr>
      <w:bCs/>
    </w:rPr>
  </w:style>
  <w:style w:type="paragraph" w:styleId="Heading5">
    <w:name w:val="Heading 5"/>
    <w:basedOn w:val="Normal"/>
    <w:next w:val="Normal"/>
    <w:link w:val="5"/>
    <w:uiPriority w:val="9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6"/>
    <w:uiPriority w:val="9"/>
    <w:qFormat/>
    <w:pPr>
      <w:keepNext w:val="true"/>
      <w:keepLines/>
      <w:spacing w:before="200" w:after="0"/>
      <w:outlineLvl w:val="5"/>
    </w:pPr>
    <w:rPr>
      <w:rFonts w:ascii="Cambria" w:hAnsi="Cambria"/>
      <w:i/>
      <w:iCs/>
      <w:color w:val="243F60"/>
      <w:sz w:val="20"/>
      <w:szCs w:val="20"/>
    </w:rPr>
  </w:style>
  <w:style w:type="paragraph" w:styleId="Heading7">
    <w:name w:val="Heading 7"/>
    <w:basedOn w:val="Normal"/>
    <w:next w:val="Normal"/>
    <w:link w:val="7"/>
    <w:uiPriority w:val="9"/>
    <w:qFormat/>
    <w:pPr>
      <w:keepNext w:val="true"/>
      <w:keepLines/>
      <w:spacing w:before="200" w:after="0"/>
      <w:outlineLvl w:val="6"/>
    </w:pPr>
    <w:rPr>
      <w:rFonts w:ascii="Cambria" w:hAnsi="Cambria"/>
      <w:i/>
      <w:iCs/>
      <w:color w:val="404040"/>
      <w:sz w:val="20"/>
      <w:szCs w:val="20"/>
    </w:rPr>
  </w:style>
  <w:style w:type="paragraph" w:styleId="Heading8">
    <w:name w:val="Heading 8"/>
    <w:basedOn w:val="Normal"/>
    <w:next w:val="Normal"/>
    <w:link w:val="8"/>
    <w:uiPriority w:val="9"/>
    <w:qFormat/>
    <w:pPr>
      <w:keepNext w:val="true"/>
      <w:keepLines/>
      <w:spacing w:before="200" w:after="0"/>
      <w:outlineLvl w:val="7"/>
    </w:pPr>
    <w:rPr>
      <w:rFonts w:ascii="Cambria" w:hAnsi="Cambria"/>
      <w:color w:val="4F81BD"/>
      <w:sz w:val="20"/>
      <w:szCs w:val="20"/>
    </w:rPr>
  </w:style>
  <w:style w:type="paragraph" w:styleId="Heading9">
    <w:name w:val="Heading 9"/>
    <w:basedOn w:val="Normal"/>
    <w:next w:val="Normal"/>
    <w:link w:val="9"/>
    <w:uiPriority w:val="9"/>
    <w:qFormat/>
    <w:pPr>
      <w:spacing w:before="240" w:after="60"/>
      <w:outlineLvl w:val="8"/>
    </w:pPr>
    <w:rPr>
      <w:rFonts w:ascii="Arial" w:hAnsi="Arial"/>
      <w:sz w:val="22"/>
      <w:szCs w:val="22"/>
    </w:rPr>
  </w:style>
  <w:style w:type="character" w:styleId="TitleChar">
    <w:name w:val="Title Char"/>
    <w:basedOn w:val="DefaultParagraphFont"/>
    <w:uiPriority w:val="10"/>
    <w:qFormat/>
    <w:rPr>
      <w:rFonts w:ascii="Arial" w:hAnsi="Arial" w:eastAsia="Arial" w:cs="Arial"/>
      <w:spacing w:val="-10"/>
      <w:sz w:val="56"/>
      <w:szCs w:val="56"/>
    </w:rPr>
  </w:style>
  <w:style w:type="character" w:styleId="SubtitleChar">
    <w:name w:val="Subtitle Char"/>
    <w:basedOn w:val="DefaultParagraphFont"/>
    <w:uiPriority w:val="11"/>
    <w:qFormat/>
    <w:rPr>
      <w:color w:val="595959" w:themeColor="text1" w:themeTint="a6"/>
      <w:spacing w:val="15"/>
      <w:sz w:val="28"/>
      <w:szCs w:val="28"/>
    </w:rPr>
  </w:style>
  <w:style w:type="character" w:styleId="HeaderChar">
    <w:name w:val="Header Char"/>
    <w:basedOn w:val="DefaultParagraphFont"/>
    <w:uiPriority w:val="99"/>
    <w:qFormat/>
    <w:rPr/>
  </w:style>
  <w:style w:type="character" w:styleId="FooterChar">
    <w:name w:val="Footer Char"/>
    <w:basedOn w:val="DefaultParagraphFont"/>
    <w:uiPriority w:val="99"/>
    <w:qFormat/>
    <w:rPr/>
  </w:style>
  <w:style w:type="character" w:styleId="FootnoteTextChar">
    <w:name w:val="Footnote Text Char"/>
    <w:basedOn w:val="DefaultParagraphFont"/>
    <w:uiPriority w:val="99"/>
    <w:semiHidden/>
    <w:qFormat/>
    <w:rPr>
      <w:sz w:val="20"/>
      <w:szCs w:val="20"/>
    </w:rPr>
  </w:style>
  <w:style w:type="character" w:styleId="EndnoteTextChar">
    <w:name w:val="Endnote Text Char"/>
    <w:basedOn w:val="DefaultParagraphFont"/>
    <w:uiPriority w:val="99"/>
    <w:semiHidden/>
    <w:qFormat/>
    <w:rPr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eading1Char" w:customStyle="1">
    <w:name w:val="Heading 1 Char"/>
    <w:basedOn w:val="DefaultParagraphFont"/>
    <w:uiPriority w:val="9"/>
    <w:qFormat/>
    <w:rPr>
      <w:rFonts w:ascii="Arial" w:hAnsi="Arial" w:eastAsia="Arial" w:cs="Arial"/>
      <w:color w:val="2F5496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uiPriority w:val="9"/>
    <w:qFormat/>
    <w:rPr>
      <w:rFonts w:ascii="Arial" w:hAnsi="Arial" w:eastAsia="Arial" w:cs="Arial"/>
      <w:color w:val="2F5496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uiPriority w:val="9"/>
    <w:qFormat/>
    <w:rPr>
      <w:rFonts w:ascii="Arial" w:hAnsi="Arial" w:eastAsia="Arial" w:cs="Arial"/>
      <w:color w:val="2F5496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uiPriority w:val="9"/>
    <w:qFormat/>
    <w:rPr>
      <w:rFonts w:ascii="Arial" w:hAnsi="Arial" w:eastAsia="Arial" w:cs="Arial"/>
      <w:i/>
      <w:iCs/>
      <w:color w:val="2F5496" w:themeColor="accent1" w:themeShade="bf"/>
    </w:rPr>
  </w:style>
  <w:style w:type="character" w:styleId="Heading5Char" w:customStyle="1">
    <w:name w:val="Heading 5 Char"/>
    <w:basedOn w:val="DefaultParagraphFont"/>
    <w:uiPriority w:val="9"/>
    <w:qFormat/>
    <w:rPr>
      <w:rFonts w:ascii="Arial" w:hAnsi="Arial" w:eastAsia="Arial" w:cs="Arial"/>
      <w:color w:val="2F5496" w:themeColor="accent1" w:themeShade="bf"/>
    </w:rPr>
  </w:style>
  <w:style w:type="character" w:styleId="Heading6Char" w:customStyle="1">
    <w:name w:val="Heading 6 Char"/>
    <w:basedOn w:val="DefaultParagraphFont"/>
    <w:uiPriority w:val="9"/>
    <w:qFormat/>
    <w:rPr>
      <w:rFonts w:ascii="Arial" w:hAnsi="Arial" w:eastAsia="Arial" w:cs="Arial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uiPriority w:val="9"/>
    <w:qFormat/>
    <w:rPr>
      <w:rFonts w:ascii="Arial" w:hAnsi="Arial" w:eastAsia="Arial" w:cs="Arial"/>
      <w:color w:val="595959" w:themeColor="text1" w:themeTint="a6"/>
    </w:rPr>
  </w:style>
  <w:style w:type="character" w:styleId="Heading8Char" w:customStyle="1">
    <w:name w:val="Heading 8 Char"/>
    <w:basedOn w:val="DefaultParagraphFont"/>
    <w:uiPriority w:val="9"/>
    <w:qFormat/>
    <w:rPr>
      <w:rFonts w:ascii="Arial" w:hAnsi="Arial" w:eastAsia="Arial" w:cs="Arial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uiPriority w:val="9"/>
    <w:qFormat/>
    <w:rPr>
      <w:rFonts w:ascii="Arial" w:hAnsi="Arial" w:eastAsia="Arial" w:cs="Arial"/>
      <w:i/>
      <w:iCs/>
      <w:color w:val="272727" w:themeColor="text1" w:themeTint="d8"/>
    </w:rPr>
  </w:style>
  <w:style w:type="character" w:styleId="Style" w:customStyle="1">
    <w:name w:val="Заголовок Знак"/>
    <w:basedOn w:val="DefaultParagraphFont"/>
    <w:uiPriority w:val="10"/>
    <w:qFormat/>
    <w:rPr>
      <w:rFonts w:ascii="Arial" w:hAnsi="Arial" w:eastAsia="Arial" w:cs="Arial"/>
      <w:spacing w:val="-10"/>
      <w:sz w:val="56"/>
      <w:szCs w:val="56"/>
    </w:rPr>
  </w:style>
  <w:style w:type="character" w:styleId="1" w:customStyle="1">
    <w:name w:val="Подзаголовок Знак1"/>
    <w:basedOn w:val="DefaultParagraphFont"/>
    <w:uiPriority w:val="11"/>
    <w:qFormat/>
    <w:rPr>
      <w:color w:val="595959" w:themeColor="text1" w:themeTint="a6"/>
      <w:spacing w:val="15"/>
      <w:sz w:val="28"/>
      <w:szCs w:val="28"/>
    </w:rPr>
  </w:style>
  <w:style w:type="character" w:styleId="QuoteChar" w:customStyle="1">
    <w:name w:val="Quote Char"/>
    <w:basedOn w:val="DefaultParagraphFont"/>
    <w:uiPriority w:val="29"/>
    <w:qFormat/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uiPriority w:val="30"/>
    <w:qFormat/>
    <w:rPr>
      <w:i/>
      <w:iCs/>
      <w:color w:val="2F5496" w:themeColor="accent1" w:themeShade="bf"/>
    </w:rPr>
  </w:style>
  <w:style w:type="character" w:styleId="11" w:customStyle="1">
    <w:name w:val="Верхний колонтитул Знак1"/>
    <w:basedOn w:val="DefaultParagraphFont"/>
    <w:uiPriority w:val="99"/>
    <w:qFormat/>
    <w:rPr/>
  </w:style>
  <w:style w:type="character" w:styleId="12" w:customStyle="1">
    <w:name w:val="Нижний колонтитул Знак1"/>
    <w:basedOn w:val="DefaultParagraphFont"/>
    <w:uiPriority w:val="99"/>
    <w:qFormat/>
    <w:rPr/>
  </w:style>
  <w:style w:type="character" w:styleId="13" w:customStyle="1">
    <w:name w:val="Текст сноски Знак1"/>
    <w:basedOn w:val="DefaultParagraphFont"/>
    <w:uiPriority w:val="99"/>
    <w:semiHidden/>
    <w:qFormat/>
    <w:rPr>
      <w:sz w:val="20"/>
      <w:szCs w:val="20"/>
    </w:rPr>
  </w:style>
  <w:style w:type="character" w:styleId="14" w:customStyle="1">
    <w:name w:val="Текст концевой сноски Знак1"/>
    <w:basedOn w:val="DefaultParagraphFont"/>
    <w:uiPriority w:val="99"/>
    <w:semiHidden/>
    <w:qFormat/>
    <w:rPr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954F72" w:themeColor="followedHyperlink"/>
      <w:u w:val="single"/>
    </w:rPr>
  </w:style>
  <w:style w:type="character" w:styleId="Style1" w:customStyle="1">
    <w:name w:val="Символ сноски"/>
    <w:uiPriority w:val="99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basedOn w:val="DefaultParagraphFont"/>
    <w:qFormat/>
    <w:rPr/>
  </w:style>
  <w:style w:type="character" w:styleId="Hyperlink">
    <w:name w:val="Hyperlink"/>
    <w:uiPriority w:val="99"/>
    <w:rPr>
      <w:color w:val="0000FF"/>
      <w:u w:val="single"/>
    </w:rPr>
  </w:style>
  <w:style w:type="character" w:styleId="Annotationreference">
    <w:name w:val="annotation reference"/>
    <w:uiPriority w:val="99"/>
    <w:semiHidden/>
    <w:qFormat/>
    <w:rPr>
      <w:sz w:val="16"/>
      <w:szCs w:val="16"/>
    </w:rPr>
  </w:style>
  <w:style w:type="character" w:styleId="Strong">
    <w:name w:val="Strong"/>
    <w:uiPriority w:val="22"/>
    <w:qFormat/>
    <w:rPr>
      <w:b/>
      <w:bCs/>
    </w:rPr>
  </w:style>
  <w:style w:type="character" w:styleId="6" w:customStyle="1">
    <w:name w:val="Заголовок 6 Знак"/>
    <w:uiPriority w:val="9"/>
    <w:qFormat/>
    <w:rPr>
      <w:rFonts w:ascii="Cambria" w:hAnsi="Cambria"/>
      <w:i/>
      <w:iCs/>
      <w:color w:val="243F60"/>
    </w:rPr>
  </w:style>
  <w:style w:type="character" w:styleId="7" w:customStyle="1">
    <w:name w:val="Заголовок 7 Знак"/>
    <w:uiPriority w:val="9"/>
    <w:qFormat/>
    <w:rPr>
      <w:rFonts w:ascii="Cambria" w:hAnsi="Cambria"/>
      <w:i/>
      <w:iCs/>
      <w:color w:val="404040"/>
    </w:rPr>
  </w:style>
  <w:style w:type="character" w:styleId="8" w:customStyle="1">
    <w:name w:val="Заголовок 8 Знак"/>
    <w:uiPriority w:val="9"/>
    <w:qFormat/>
    <w:rPr>
      <w:rFonts w:ascii="Cambria" w:hAnsi="Cambria"/>
      <w:color w:val="4F81BD"/>
    </w:rPr>
  </w:style>
  <w:style w:type="character" w:styleId="15" w:customStyle="1">
    <w:name w:val="Заголовок 1 Знак"/>
    <w:qFormat/>
    <w:rPr>
      <w:rFonts w:eastAsia="Calibri"/>
      <w:b/>
      <w:sz w:val="28"/>
      <w:szCs w:val="28"/>
    </w:rPr>
  </w:style>
  <w:style w:type="character" w:styleId="2" w:customStyle="1">
    <w:name w:val="Заголовок 2 Знак"/>
    <w:qFormat/>
    <w:rPr>
      <w:rFonts w:eastAsia="Calibri"/>
      <w:b/>
      <w:bCs/>
      <w:sz w:val="24"/>
      <w:szCs w:val="24"/>
    </w:rPr>
  </w:style>
  <w:style w:type="character" w:styleId="3" w:customStyle="1">
    <w:name w:val="Заголовок 3 Знак"/>
    <w:qFormat/>
    <w:rPr>
      <w:rFonts w:eastAsia="Calibri"/>
      <w:b/>
      <w:sz w:val="24"/>
      <w:szCs w:val="24"/>
    </w:rPr>
  </w:style>
  <w:style w:type="character" w:styleId="4" w:customStyle="1">
    <w:name w:val="Заголовок 4 Знак"/>
    <w:qFormat/>
    <w:rPr>
      <w:rFonts w:eastAsia="Calibri"/>
      <w:b/>
      <w:bCs/>
      <w:sz w:val="24"/>
      <w:szCs w:val="24"/>
    </w:rPr>
  </w:style>
  <w:style w:type="character" w:styleId="5" w:customStyle="1">
    <w:name w:val="Заголовок 5 Знак"/>
    <w:uiPriority w:val="9"/>
    <w:qFormat/>
    <w:rPr>
      <w:b/>
      <w:bCs/>
      <w:i/>
      <w:iCs/>
      <w:sz w:val="26"/>
      <w:szCs w:val="26"/>
    </w:rPr>
  </w:style>
  <w:style w:type="character" w:styleId="9" w:customStyle="1">
    <w:name w:val="Заголовок 9 Знак"/>
    <w:uiPriority w:val="9"/>
    <w:qFormat/>
    <w:rPr>
      <w:rFonts w:ascii="Arial" w:hAnsi="Arial" w:cs="Arial"/>
      <w:sz w:val="22"/>
      <w:szCs w:val="22"/>
    </w:rPr>
  </w:style>
  <w:style w:type="character" w:styleId="Style2" w:customStyle="1">
    <w:name w:val="Название Знак"/>
    <w:link w:val="112"/>
    <w:uiPriority w:val="10"/>
    <w:qFormat/>
    <w:rPr>
      <w:sz w:val="28"/>
    </w:rPr>
  </w:style>
  <w:style w:type="character" w:styleId="Style3" w:customStyle="1">
    <w:name w:val="Подзаголовок Знак"/>
    <w:uiPriority w:val="11"/>
    <w:qFormat/>
    <w:rPr>
      <w:rFonts w:ascii="Cambria" w:hAnsi="Cambria"/>
      <w:i/>
      <w:iCs/>
      <w:color w:val="4F81BD"/>
      <w:spacing w:val="15"/>
      <w:sz w:val="24"/>
      <w:szCs w:val="24"/>
    </w:rPr>
  </w:style>
  <w:style w:type="character" w:styleId="Emphasis">
    <w:name w:val="Emphasis"/>
    <w:uiPriority w:val="20"/>
    <w:qFormat/>
    <w:rPr>
      <w:i/>
      <w:iCs/>
    </w:rPr>
  </w:style>
  <w:style w:type="character" w:styleId="21" w:customStyle="1">
    <w:name w:val="Цитата 2 Знак"/>
    <w:link w:val="Quote"/>
    <w:uiPriority w:val="29"/>
    <w:qFormat/>
    <w:rPr>
      <w:rFonts w:ascii="Calibri" w:hAnsi="Calibri" w:eastAsia="Calibri"/>
      <w:i/>
      <w:iCs/>
      <w:color w:val="000000"/>
    </w:rPr>
  </w:style>
  <w:style w:type="character" w:styleId="Style4" w:customStyle="1">
    <w:name w:val="Выделенная цитата Знак"/>
    <w:link w:val="IntenseQuote"/>
    <w:uiPriority w:val="30"/>
    <w:qFormat/>
    <w:rPr>
      <w:rFonts w:ascii="Calibri" w:hAnsi="Calibri" w:eastAsia="Calibri"/>
      <w:b/>
      <w:bCs/>
      <w:i/>
      <w:iCs/>
      <w:color w:val="4F81BD"/>
    </w:rPr>
  </w:style>
  <w:style w:type="character" w:styleId="SubtleEmphasis">
    <w:name w:val="Subtle Emphasis"/>
    <w:uiPriority w:val="19"/>
    <w:qFormat/>
    <w:rPr>
      <w:i/>
      <w:iCs/>
      <w:color w:val="808080"/>
    </w:rPr>
  </w:style>
  <w:style w:type="character" w:styleId="IntenseEmphasis">
    <w:name w:val="Intense Emphasis"/>
    <w:uiPriority w:val="21"/>
    <w:qFormat/>
    <w:rPr>
      <w:b/>
      <w:bCs/>
      <w:i/>
      <w:iCs/>
      <w:color w:val="4F81BD"/>
    </w:rPr>
  </w:style>
  <w:style w:type="character" w:styleId="SubtleReference">
    <w:name w:val="Subtle Reference"/>
    <w:uiPriority w:val="31"/>
    <w:qFormat/>
    <w:rPr>
      <w:smallCaps/>
      <w:color w:val="C0504D"/>
      <w:u w:val="single"/>
    </w:rPr>
  </w:style>
  <w:style w:type="character" w:styleId="IntenseReference">
    <w:name w:val="Intense Reference"/>
    <w:uiPriority w:val="32"/>
    <w:qFormat/>
    <w:rPr>
      <w:b/>
      <w:bCs/>
      <w:smallCaps/>
      <w:color w:val="C0504D"/>
      <w:spacing w:val="5"/>
      <w:u w:val="single"/>
    </w:rPr>
  </w:style>
  <w:style w:type="character" w:styleId="BookTitle">
    <w:name w:val="Book Title"/>
    <w:uiPriority w:val="33"/>
    <w:qFormat/>
    <w:rPr>
      <w:b/>
      <w:bCs/>
      <w:smallCaps/>
      <w:spacing w:val="5"/>
    </w:rPr>
  </w:style>
  <w:style w:type="character" w:styleId="Style5" w:customStyle="1">
    <w:name w:val="Электронная подпись Знак"/>
    <w:link w:val="E-mailSignature"/>
    <w:uiPriority w:val="99"/>
    <w:qFormat/>
    <w:rPr>
      <w:rFonts w:eastAsia="Calibri"/>
      <w:sz w:val="24"/>
      <w:szCs w:val="24"/>
    </w:rPr>
  </w:style>
  <w:style w:type="character" w:styleId="16" w:customStyle="1">
    <w:name w:val="Подпункт Знак1"/>
    <w:link w:val="Style26"/>
    <w:qFormat/>
    <w:rPr>
      <w:sz w:val="28"/>
    </w:rPr>
  </w:style>
  <w:style w:type="character" w:styleId="Style6" w:customStyle="1">
    <w:name w:val="Текст сноски Знак"/>
    <w:uiPriority w:val="99"/>
    <w:qFormat/>
    <w:rPr/>
  </w:style>
  <w:style w:type="character" w:styleId="Style7" w:customStyle="1">
    <w:name w:val="Основной текст Знак"/>
    <w:qFormat/>
    <w:rPr>
      <w:sz w:val="28"/>
      <w:szCs w:val="28"/>
    </w:rPr>
  </w:style>
  <w:style w:type="character" w:styleId="Blk" w:customStyle="1">
    <w:name w:val="blk"/>
    <w:qFormat/>
    <w:rPr/>
  </w:style>
  <w:style w:type="character" w:styleId="Style8" w:customStyle="1">
    <w:name w:val="Абзац списка Знак"/>
    <w:link w:val="ListParagraph"/>
    <w:uiPriority w:val="34"/>
    <w:qFormat/>
    <w:rPr>
      <w:rFonts w:eastAsia="Calibri"/>
      <w:sz w:val="24"/>
      <w:szCs w:val="24"/>
    </w:rPr>
  </w:style>
  <w:style w:type="character" w:styleId="Style9" w:customStyle="1">
    <w:name w:val="комментарий"/>
    <w:qFormat/>
    <w:rPr>
      <w:b/>
      <w:i/>
      <w:shd w:fill="FFFF99" w:val="clear"/>
    </w:rPr>
  </w:style>
  <w:style w:type="character" w:styleId="Style10" w:customStyle="1">
    <w:name w:val="Подподпункт Знак"/>
    <w:link w:val="Style34"/>
    <w:qFormat/>
    <w:rPr>
      <w:sz w:val="26"/>
      <w:szCs w:val="26"/>
    </w:rPr>
  </w:style>
  <w:style w:type="character" w:styleId="31" w:customStyle="1">
    <w:name w:val="УРОВЕНЬ_Абзац_тип3 Знак"/>
    <w:link w:val="36"/>
    <w:qFormat/>
    <w:rPr>
      <w:rFonts w:ascii="Calibri" w:hAnsi="Calibri" w:eastAsia="Calibri" w:cs="Calibri"/>
      <w:sz w:val="26"/>
      <w:szCs w:val="28"/>
      <w:lang w:eastAsia="en-US"/>
    </w:rPr>
  </w:style>
  <w:style w:type="character" w:styleId="Style11" w:customStyle="1">
    <w:name w:val="Верхний колонтитул Знак"/>
    <w:uiPriority w:val="99"/>
    <w:qFormat/>
    <w:rPr>
      <w:sz w:val="24"/>
      <w:szCs w:val="24"/>
    </w:rPr>
  </w:style>
  <w:style w:type="character" w:styleId="Style12" w:customStyle="1">
    <w:name w:val="Текст примечания Знак"/>
    <w:link w:val="Annotationtext"/>
    <w:qFormat/>
    <w:rPr/>
  </w:style>
  <w:style w:type="character" w:styleId="Style13" w:customStyle="1">
    <w:name w:val="Текст концевой сноски Знак"/>
    <w:basedOn w:val="DefaultParagraphFont"/>
    <w:qFormat/>
    <w:rPr/>
  </w:style>
  <w:style w:type="character" w:styleId="Style14" w:customStyle="1">
    <w:name w:val="Символ концевой сноски"/>
    <w:qFormat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22" w:customStyle="1">
    <w:name w:val="Пункт2 Знак"/>
    <w:link w:val="24"/>
    <w:qFormat/>
    <w:rPr>
      <w:b/>
      <w:sz w:val="28"/>
    </w:rPr>
  </w:style>
  <w:style w:type="character" w:styleId="17" w:customStyle="1">
    <w:name w:val="УРОВЕНЬ_1. Знак"/>
    <w:link w:val="116"/>
    <w:qFormat/>
    <w:rPr>
      <w:rFonts w:eastAsia="Calibri"/>
      <w:caps/>
      <w:sz w:val="28"/>
      <w:szCs w:val="28"/>
      <w:lang w:eastAsia="en-US"/>
    </w:rPr>
  </w:style>
  <w:style w:type="character" w:styleId="18" w:customStyle="1">
    <w:name w:val="Неразрешенное упоминание1"/>
    <w:basedOn w:val="DefaultParagraphFont"/>
    <w:uiPriority w:val="99"/>
    <w:semiHidden/>
    <w:unhideWhenUsed/>
    <w:qFormat/>
    <w:rPr>
      <w:color w:val="605E5C"/>
      <w:shd w:fill="E1DFDD" w:val="clear"/>
    </w:rPr>
  </w:style>
  <w:style w:type="character" w:styleId="32" w:customStyle="1">
    <w:name w:val="Основной текст с отступом 3 Знак"/>
    <w:link w:val="BodyTextIndent3"/>
    <w:qFormat/>
    <w:rPr>
      <w:sz w:val="16"/>
      <w:szCs w:val="16"/>
    </w:rPr>
  </w:style>
  <w:style w:type="character" w:styleId="ConsPlusNormal" w:customStyle="1">
    <w:name w:val="ConsPlusNormal Знак"/>
    <w:link w:val="ConsPlusNormal1"/>
    <w:qFormat/>
    <w:rPr>
      <w:rFonts w:ascii="Arial" w:hAnsi="Arial" w:cs="Arial"/>
    </w:rPr>
  </w:style>
  <w:style w:type="character" w:styleId="My" w:customStyle="1">
    <w:name w:val="my Знак"/>
    <w:link w:val="My1"/>
    <w:qFormat/>
    <w:rPr>
      <w:b/>
      <w:sz w:val="28"/>
      <w:szCs w:val="28"/>
    </w:rPr>
  </w:style>
  <w:style w:type="character" w:styleId="S0" w:customStyle="1">
    <w:name w:val="s0"/>
    <w:qFormat/>
    <w:rPr>
      <w:rFonts w:ascii="Times New Roman" w:hAnsi="Times New Roman" w:cs="Times New Roman"/>
      <w:b w:val="false"/>
      <w:bCs w:val="false"/>
      <w:i w:val="false"/>
      <w:iCs w:val="false"/>
      <w:strike w:val="false"/>
      <w:dstrike w:val="false"/>
      <w:color w:val="000000"/>
      <w:sz w:val="22"/>
      <w:szCs w:val="22"/>
      <w:u w:val="none"/>
    </w:rPr>
  </w:style>
  <w:style w:type="character" w:styleId="Style15" w:customStyle="1">
    <w:name w:val="Текст Знак"/>
    <w:basedOn w:val="DefaultParagraphFont"/>
    <w:link w:val="PlainText"/>
    <w:qFormat/>
    <w:rPr>
      <w:rFonts w:cs="Courier New"/>
    </w:rPr>
  </w:style>
  <w:style w:type="character" w:styleId="Style16" w:customStyle="1">
    <w:name w:val="Основной текст с отступом Знак"/>
    <w:qFormat/>
    <w:rPr>
      <w:sz w:val="24"/>
      <w:szCs w:val="24"/>
    </w:rPr>
  </w:style>
  <w:style w:type="character" w:styleId="19" w:customStyle="1">
    <w:name w:val="Пункт Знак1"/>
    <w:link w:val="Style31"/>
    <w:qFormat/>
    <w:rPr>
      <w:rFonts w:ascii="Arial" w:hAnsi="Arial"/>
      <w:b/>
      <w:i/>
      <w:sz w:val="28"/>
    </w:rPr>
  </w:style>
  <w:style w:type="character" w:styleId="Style17" w:customStyle="1">
    <w:name w:val="Нижний колонтитул Знак"/>
    <w:uiPriority w:val="99"/>
    <w:qFormat/>
    <w:rPr>
      <w:sz w:val="28"/>
      <w:szCs w:val="28"/>
    </w:rPr>
  </w:style>
  <w:style w:type="character" w:styleId="Viewb" w:customStyle="1">
    <w:name w:val="view_b"/>
    <w:qFormat/>
    <w:rPr/>
  </w:style>
  <w:style w:type="character" w:styleId="Style18" w:customStyle="1">
    <w:name w:val="Ссылка указателя"/>
    <w:qFormat/>
    <w:rPr/>
  </w:style>
  <w:style w:type="character" w:styleId="Style19" w:customStyle="1">
    <w:name w:val="Символ нумерации"/>
    <w:qFormat/>
    <w:rPr>
      <w:rFonts w:ascii="Times New Roman" w:hAnsi="Times New Roman"/>
      <w:b w:val="false"/>
      <w:bCs w:val="false"/>
    </w:rPr>
  </w:style>
  <w:style w:type="paragraph" w:styleId="Style20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link w:val="Style7"/>
    <w:pPr>
      <w:spacing w:before="0" w:after="120"/>
    </w:pPr>
    <w:rPr/>
  </w:style>
  <w:style w:type="paragraph" w:styleId="List">
    <w:name w:val="List"/>
    <w:basedOn w:val="BodyText"/>
    <w:pPr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/>
  </w:style>
  <w:style w:type="paragraph" w:styleId="Title">
    <w:name w:val="Title"/>
    <w:basedOn w:val="Normal"/>
    <w:next w:val="BodyText"/>
    <w:link w:val="Style"/>
    <w:qFormat/>
    <w:pPr>
      <w:keepNext w:val="true"/>
      <w:spacing w:before="240" w:after="120"/>
    </w:pPr>
    <w:rPr>
      <w:rFonts w:ascii="Liberation Sans" w:hAnsi="Liberation Sans" w:eastAsia="Tahoma" w:cs="Lohit Devanagari"/>
    </w:rPr>
  </w:style>
  <w:style w:type="paragraph" w:styleId="Caption1">
    <w:name w:val="caption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">
    <w:name w:val="index heading1"/>
    <w:basedOn w:val="Title"/>
    <w:qFormat/>
    <w:pPr/>
    <w:rPr/>
  </w:style>
  <w:style w:type="paragraph" w:styleId="Tableoffigures">
    <w:name w:val="table of figures"/>
    <w:basedOn w:val="Normal"/>
    <w:next w:val="Normal"/>
    <w:uiPriority w:val="99"/>
    <w:unhideWhenUsed/>
    <w:qFormat/>
    <w:pPr/>
    <w:rPr/>
  </w:style>
  <w:style w:type="paragraph" w:styleId="Caption11" w:customStyle="1">
    <w:name w:val="caption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" w:customStyle="1">
    <w:name w:val="index heading11"/>
    <w:basedOn w:val="Title"/>
    <w:qFormat/>
    <w:pPr/>
    <w:rPr/>
  </w:style>
  <w:style w:type="paragraph" w:styleId="110" w:customStyle="1">
    <w:name w:val="Заголовок1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Tahoma" w:cs="Lohit Devanagari"/>
    </w:rPr>
  </w:style>
  <w:style w:type="paragraph" w:styleId="Caption111" w:customStyle="1">
    <w:name w:val="caption111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heading111" w:customStyle="1">
    <w:name w:val="index heading111"/>
    <w:basedOn w:val="110"/>
    <w:qFormat/>
    <w:pPr/>
    <w:rPr/>
  </w:style>
  <w:style w:type="paragraph" w:styleId="Caption1111" w:customStyle="1">
    <w:name w:val="caption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" w:customStyle="1">
    <w:name w:val="index heading1111"/>
    <w:basedOn w:val="Title"/>
    <w:qFormat/>
    <w:pPr/>
    <w:rPr/>
  </w:style>
  <w:style w:type="paragraph" w:styleId="Caption11111" w:customStyle="1">
    <w:name w:val="caption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" w:customStyle="1">
    <w:name w:val="index heading11111"/>
    <w:basedOn w:val="Title"/>
    <w:qFormat/>
    <w:pPr/>
    <w:rPr/>
  </w:style>
  <w:style w:type="paragraph" w:styleId="Caption111111" w:customStyle="1">
    <w:name w:val="caption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" w:customStyle="1">
    <w:name w:val="index heading111111"/>
    <w:basedOn w:val="Title"/>
    <w:qFormat/>
    <w:pPr/>
    <w:rPr/>
  </w:style>
  <w:style w:type="paragraph" w:styleId="Caption1111111" w:customStyle="1">
    <w:name w:val="caption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" w:customStyle="1">
    <w:name w:val="index heading1111111"/>
    <w:basedOn w:val="Title"/>
    <w:qFormat/>
    <w:pPr/>
    <w:rPr/>
  </w:style>
  <w:style w:type="paragraph" w:styleId="Caption11111111" w:customStyle="1">
    <w:name w:val="caption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" w:customStyle="1">
    <w:name w:val="index heading11111111"/>
    <w:basedOn w:val="Title"/>
    <w:qFormat/>
    <w:pPr/>
    <w:rPr/>
  </w:style>
  <w:style w:type="paragraph" w:styleId="Caption111111111" w:customStyle="1">
    <w:name w:val="caption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" w:customStyle="1">
    <w:name w:val="index heading111111111"/>
    <w:basedOn w:val="Title"/>
    <w:qFormat/>
    <w:pPr/>
    <w:rPr/>
  </w:style>
  <w:style w:type="paragraph" w:styleId="Caption1111111111" w:customStyle="1">
    <w:name w:val="caption1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1" w:customStyle="1">
    <w:name w:val="index heading1111111111"/>
    <w:basedOn w:val="Title"/>
    <w:qFormat/>
    <w:pPr/>
    <w:rPr/>
  </w:style>
  <w:style w:type="paragraph" w:styleId="Caption11111111111" w:customStyle="1">
    <w:name w:val="caption11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11" w:customStyle="1">
    <w:name w:val="index heading11111111111"/>
    <w:basedOn w:val="Title"/>
    <w:qFormat/>
    <w:pPr/>
    <w:rPr/>
  </w:style>
  <w:style w:type="paragraph" w:styleId="Caption111111111111" w:customStyle="1">
    <w:name w:val="caption111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111" w:customStyle="1">
    <w:name w:val="index heading111111111111"/>
    <w:basedOn w:val="Title"/>
    <w:qFormat/>
    <w:pPr/>
    <w:rPr/>
  </w:style>
  <w:style w:type="paragraph" w:styleId="Caption1111111111111" w:customStyle="1">
    <w:name w:val="caption1111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1111" w:customStyle="1">
    <w:name w:val="index heading1111111111111"/>
    <w:basedOn w:val="Title"/>
    <w:qFormat/>
    <w:pPr/>
    <w:rPr/>
  </w:style>
  <w:style w:type="paragraph" w:styleId="Caption11111111111111" w:customStyle="1">
    <w:name w:val="caption11111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11111" w:customStyle="1">
    <w:name w:val="index heading11111111111111"/>
    <w:basedOn w:val="Title"/>
    <w:qFormat/>
    <w:pPr/>
    <w:rPr/>
  </w:style>
  <w:style w:type="paragraph" w:styleId="Caption111111111111111" w:customStyle="1">
    <w:name w:val="caption111111111111111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heading111111111111111" w:customStyle="1">
    <w:name w:val="index heading111111111111111"/>
    <w:basedOn w:val="110"/>
    <w:qFormat/>
    <w:pPr/>
    <w:rPr/>
  </w:style>
  <w:style w:type="paragraph" w:styleId="Style22" w:customStyle="1">
    <w:name w:val="Название раздела инструкции"/>
    <w:basedOn w:val="Normal"/>
    <w:qFormat/>
    <w:pPr>
      <w:jc w:val="center"/>
    </w:pPr>
    <w:rPr>
      <w:b/>
    </w:rPr>
  </w:style>
  <w:style w:type="paragraph" w:styleId="Style23" w:customStyle="1">
    <w:name w:val="Раздел положения"/>
    <w:basedOn w:val="Normal"/>
    <w:qFormat/>
    <w:pPr>
      <w:tabs>
        <w:tab w:val="clear" w:pos="708"/>
        <w:tab w:val="left" w:pos="360" w:leader="none"/>
      </w:tabs>
      <w:spacing w:before="80" w:after="80"/>
      <w:ind w:left="360" w:hanging="360"/>
      <w:jc w:val="center"/>
    </w:pPr>
    <w:rPr>
      <w:b/>
      <w:sz w:val="32"/>
      <w:szCs w:val="32"/>
    </w:rPr>
  </w:style>
  <w:style w:type="paragraph" w:styleId="Style24" w:customStyle="1">
    <w:name w:val="Подраздел раздела положения"/>
    <w:basedOn w:val="Normal"/>
    <w:qFormat/>
    <w:pPr>
      <w:tabs>
        <w:tab w:val="clear" w:pos="708"/>
        <w:tab w:val="left" w:pos="357" w:leader="none"/>
      </w:tabs>
      <w:spacing w:before="80" w:after="80"/>
      <w:jc w:val="both"/>
    </w:pPr>
    <w:rPr/>
  </w:style>
  <w:style w:type="paragraph" w:styleId="FootnoteText">
    <w:name w:val="Footnote Text"/>
    <w:basedOn w:val="Normal"/>
    <w:link w:val="13"/>
    <w:uiPriority w:val="99"/>
    <w:pPr/>
    <w:rPr>
      <w:sz w:val="20"/>
      <w:szCs w:val="20"/>
    </w:rPr>
  </w:style>
  <w:style w:type="paragraph" w:styleId="111" w:customStyle="1">
    <w:name w:val="Шапка 1"/>
    <w:basedOn w:val="Normal"/>
    <w:qFormat/>
    <w:pPr>
      <w:pBdr>
        <w:bottom w:val="single" w:sz="24" w:space="1" w:color="000000"/>
      </w:pBdr>
      <w:spacing w:before="0" w:after="240"/>
      <w:jc w:val="center"/>
    </w:pPr>
    <w:rPr>
      <w:sz w:val="22"/>
      <w:szCs w:val="22"/>
    </w:rPr>
  </w:style>
  <w:style w:type="paragraph" w:styleId="23" w:customStyle="1">
    <w:name w:val="Шапка 2"/>
    <w:basedOn w:val="Normal"/>
    <w:qFormat/>
    <w:pPr>
      <w:pBdr>
        <w:bottom w:val="single" w:sz="24" w:space="1" w:color="000000"/>
      </w:pBdr>
      <w:spacing w:before="0" w:after="120"/>
      <w:jc w:val="center"/>
    </w:pPr>
    <w:rPr>
      <w:b/>
      <w:sz w:val="22"/>
      <w:szCs w:val="22"/>
    </w:rPr>
  </w:style>
  <w:style w:type="paragraph" w:styleId="33" w:customStyle="1">
    <w:name w:val="Шапка 3"/>
    <w:basedOn w:val="Normal"/>
    <w:qFormat/>
    <w:pPr>
      <w:pBdr>
        <w:bottom w:val="single" w:sz="24" w:space="1" w:color="000000"/>
      </w:pBdr>
      <w:spacing w:before="240" w:after="360"/>
      <w:jc w:val="center"/>
    </w:pPr>
    <w:rPr>
      <w:b/>
      <w:sz w:val="24"/>
      <w:szCs w:val="24"/>
    </w:rPr>
  </w:style>
  <w:style w:type="paragraph" w:styleId="112" w:customStyle="1">
    <w:name w:val="Название1"/>
    <w:basedOn w:val="Normal"/>
    <w:link w:val="Style2"/>
    <w:uiPriority w:val="10"/>
    <w:qFormat/>
    <w:pPr>
      <w:jc w:val="center"/>
    </w:pPr>
    <w:rPr>
      <w:szCs w:val="20"/>
    </w:rPr>
  </w:style>
  <w:style w:type="paragraph" w:styleId="Style25" w:customStyle="1">
    <w:name w:val="Колонтитул"/>
    <w:basedOn w:val="Normal"/>
    <w:qFormat/>
    <w:pPr/>
    <w:rPr/>
  </w:style>
  <w:style w:type="paragraph" w:styleId="Header">
    <w:name w:val="Header"/>
    <w:basedOn w:val="Normal"/>
    <w:link w:val="11"/>
    <w:pPr>
      <w:tabs>
        <w:tab w:val="clear" w:pos="708"/>
        <w:tab w:val="center" w:pos="4677" w:leader="none"/>
        <w:tab w:val="right" w:pos="9355" w:leader="none"/>
      </w:tabs>
    </w:pPr>
    <w:rPr>
      <w:sz w:val="24"/>
      <w:szCs w:val="24"/>
    </w:rPr>
  </w:style>
  <w:style w:type="paragraph" w:styleId="BodyTextIndent">
    <w:name w:val="Body Text Indent"/>
    <w:basedOn w:val="Normal"/>
    <w:link w:val="Style16"/>
    <w:pPr>
      <w:ind w:left="360" w:hanging="0"/>
    </w:pPr>
    <w:rPr>
      <w:sz w:val="24"/>
      <w:szCs w:val="24"/>
    </w:rPr>
  </w:style>
  <w:style w:type="paragraph" w:styleId="Footer">
    <w:name w:val="Footer"/>
    <w:basedOn w:val="Normal"/>
    <w:link w:val="12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BodyTextIndent2">
    <w:name w:val="Body Text Indent 2"/>
    <w:basedOn w:val="Normal"/>
    <w:qFormat/>
    <w:pPr>
      <w:spacing w:lineRule="auto" w:line="480" w:before="0" w:after="120"/>
      <w:ind w:left="283" w:hanging="0"/>
    </w:pPr>
    <w:rPr/>
  </w:style>
  <w:style w:type="paragraph" w:styleId="BodyText3">
    <w:name w:val="Body Text 3"/>
    <w:basedOn w:val="Normal"/>
    <w:qFormat/>
    <w:pPr>
      <w:spacing w:before="0" w:after="120"/>
    </w:pPr>
    <w:rPr>
      <w:sz w:val="16"/>
      <w:szCs w:val="16"/>
    </w:rPr>
  </w:style>
  <w:style w:type="paragraph" w:styleId="BodyTextIndent3">
    <w:name w:val="Body Text Indent 3"/>
    <w:basedOn w:val="Normal"/>
    <w:link w:val="32"/>
    <w:qFormat/>
    <w:pPr>
      <w:spacing w:before="0" w:after="120"/>
      <w:ind w:left="283" w:hanging="0"/>
    </w:pPr>
    <w:rPr>
      <w:sz w:val="16"/>
      <w:szCs w:val="16"/>
    </w:rPr>
  </w:style>
  <w:style w:type="paragraph" w:styleId="BodyText2">
    <w:name w:val="Body Text 2"/>
    <w:basedOn w:val="Normal"/>
    <w:qFormat/>
    <w:pPr>
      <w:spacing w:lineRule="auto" w:line="480" w:before="0" w:after="120"/>
    </w:pPr>
    <w:rPr/>
  </w:style>
  <w:style w:type="paragraph" w:styleId="BlockText">
    <w:name w:val="Block Text"/>
    <w:basedOn w:val="Normal"/>
    <w:qFormat/>
    <w:pPr>
      <w:ind w:left="-567" w:right="-766" w:hanging="0"/>
      <w:jc w:val="center"/>
    </w:pPr>
    <w:rPr>
      <w:b/>
      <w:bCs/>
      <w:sz w:val="24"/>
      <w:szCs w:val="20"/>
    </w:rPr>
  </w:style>
  <w:style w:type="paragraph" w:styleId="Style26" w:customStyle="1">
    <w:name w:val="Подпункт"/>
    <w:basedOn w:val="Normal"/>
    <w:link w:val="16"/>
    <w:qFormat/>
    <w:pPr>
      <w:tabs>
        <w:tab w:val="clear" w:pos="708"/>
        <w:tab w:val="left" w:pos="1134" w:leader="none"/>
      </w:tabs>
      <w:spacing w:lineRule="auto" w:line="360"/>
      <w:ind w:left="1134" w:hanging="1134"/>
      <w:jc w:val="both"/>
    </w:pPr>
    <w:rPr>
      <w:szCs w:val="20"/>
    </w:rPr>
  </w:style>
  <w:style w:type="paragraph" w:styleId="24" w:customStyle="1">
    <w:name w:val="Пункт2"/>
    <w:basedOn w:val="Normal"/>
    <w:link w:val="22"/>
    <w:qFormat/>
    <w:pPr>
      <w:keepNext w:val="true"/>
      <w:tabs>
        <w:tab w:val="clear" w:pos="708"/>
        <w:tab w:val="left" w:pos="1134" w:leader="none"/>
      </w:tabs>
      <w:spacing w:before="240" w:after="120"/>
      <w:ind w:left="1134" w:hanging="1134"/>
      <w:outlineLvl w:val="2"/>
    </w:pPr>
    <w:rPr>
      <w:b/>
      <w:szCs w:val="20"/>
    </w:rPr>
  </w:style>
  <w:style w:type="paragraph" w:styleId="TOC1">
    <w:name w:val="TOC 1"/>
    <w:basedOn w:val="Normal"/>
    <w:next w:val="Normal"/>
    <w:uiPriority w:val="39"/>
    <w:pPr>
      <w:tabs>
        <w:tab w:val="clear" w:pos="708"/>
        <w:tab w:val="right" w:pos="9911" w:leader="dot"/>
      </w:tabs>
      <w:spacing w:before="120" w:after="0"/>
    </w:pPr>
    <w:rPr>
      <w:rFonts w:cs="Calibri Light (Заголовки)"/>
      <w:b/>
      <w:bCs/>
      <w:sz w:val="24"/>
      <w:szCs w:val="24"/>
    </w:rPr>
  </w:style>
  <w:style w:type="paragraph" w:styleId="TOC3">
    <w:name w:val="TOC 3"/>
    <w:basedOn w:val="Normal"/>
    <w:next w:val="Normal"/>
    <w:uiPriority w:val="39"/>
    <w:pPr>
      <w:tabs>
        <w:tab w:val="clear" w:pos="708"/>
        <w:tab w:val="left" w:pos="1120" w:leader="none"/>
        <w:tab w:val="right" w:pos="9911" w:leader="dot"/>
      </w:tabs>
    </w:pPr>
    <w:rPr>
      <w:rFonts w:cs="Calibri" w:cstheme="minorHAnsi"/>
      <w:sz w:val="20"/>
      <w:szCs w:val="20"/>
    </w:rPr>
  </w:style>
  <w:style w:type="paragraph" w:styleId="Style27" w:customStyle="1">
    <w:name w:val="Раздел регламента"/>
    <w:basedOn w:val="Normal"/>
    <w:qFormat/>
    <w:pPr/>
    <w:rPr/>
  </w:style>
  <w:style w:type="paragraph" w:styleId="Style28" w:customStyle="1">
    <w:name w:val="Приложение к регламенту"/>
    <w:basedOn w:val="Normal"/>
    <w:qFormat/>
    <w:pPr>
      <w:jc w:val="right"/>
    </w:pPr>
    <w:rPr/>
  </w:style>
  <w:style w:type="paragraph" w:styleId="TOC2">
    <w:name w:val="TOC 2"/>
    <w:basedOn w:val="Normal"/>
    <w:next w:val="Normal"/>
    <w:uiPriority w:val="39"/>
    <w:pPr>
      <w:spacing w:before="240" w:after="0"/>
    </w:pPr>
    <w:rPr>
      <w:rFonts w:cs="Calibri" w:cstheme="minorHAnsi"/>
      <w:b/>
      <w:bCs/>
      <w:sz w:val="20"/>
      <w:szCs w:val="20"/>
    </w:rPr>
  </w:style>
  <w:style w:type="paragraph" w:styleId="BalloonText">
    <w:name w:val="Balloon Text"/>
    <w:basedOn w:val="Normal"/>
    <w:semiHidden/>
    <w:qFormat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12"/>
    <w:qFormat/>
    <w:pPr/>
    <w:rPr>
      <w:sz w:val="20"/>
      <w:szCs w:val="20"/>
    </w:rPr>
  </w:style>
  <w:style w:type="paragraph" w:styleId="Annotationsubject">
    <w:name w:val="annotation subject"/>
    <w:basedOn w:val="Annotationtext"/>
    <w:next w:val="Annotationtext"/>
    <w:semiHidden/>
    <w:qFormat/>
    <w:pPr/>
    <w:rPr>
      <w:b/>
      <w:bCs/>
    </w:rPr>
  </w:style>
  <w:style w:type="paragraph" w:styleId="113" w:customStyle="1">
    <w:name w:val="Обычный (веб)1"/>
    <w:basedOn w:val="Normal"/>
    <w:uiPriority w:val="99"/>
    <w:qFormat/>
    <w:pPr>
      <w:spacing w:beforeAutospacing="1" w:afterAutospacing="1"/>
    </w:pPr>
    <w:rPr>
      <w:rFonts w:ascii="Arial Unicode MS" w:hAnsi="Arial Unicode MS" w:eastAsia="Arial Unicode MS" w:cs="Arial Unicode MS"/>
      <w:sz w:val="24"/>
      <w:szCs w:val="24"/>
    </w:rPr>
  </w:style>
  <w:style w:type="paragraph" w:styleId="TOC9">
    <w:name w:val="TOC 9"/>
    <w:basedOn w:val="Normal"/>
    <w:next w:val="Normal"/>
    <w:semiHidden/>
    <w:pPr>
      <w:ind w:left="196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5">
    <w:name w:val="TOC 5"/>
    <w:basedOn w:val="Normal"/>
    <w:next w:val="Normal"/>
    <w:semiHidden/>
    <w:pPr>
      <w:ind w:left="84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4">
    <w:name w:val="TOC 4"/>
    <w:basedOn w:val="Normal"/>
    <w:next w:val="Normal"/>
    <w:uiPriority w:val="39"/>
    <w:pPr>
      <w:tabs>
        <w:tab w:val="clear" w:pos="708"/>
        <w:tab w:val="right" w:pos="9921" w:leader="dot"/>
      </w:tabs>
      <w:ind w:left="560" w:hanging="560"/>
    </w:pPr>
    <w:rPr>
      <w:rFonts w:cs="Calibri" w:cstheme="minorHAnsi"/>
      <w:sz w:val="20"/>
      <w:szCs w:val="20"/>
    </w:rPr>
  </w:style>
  <w:style w:type="paragraph" w:styleId="25" w:customStyle="1">
    <w:name w:val="Раздел положения 2"/>
    <w:basedOn w:val="Normal"/>
    <w:qFormat/>
    <w:pPr>
      <w:pageBreakBefore/>
      <w:jc w:val="both"/>
      <w:outlineLvl w:val="0"/>
    </w:pPr>
    <w:rPr>
      <w:b/>
    </w:rPr>
  </w:style>
  <w:style w:type="paragraph" w:styleId="Style29" w:customStyle="1">
    <w:name w:val="Знак Знак Знак Знак Знак Знак Знак Знак Знак"/>
    <w:basedOn w:val="Normal"/>
    <w:qFormat/>
    <w:pPr>
      <w:spacing w:lineRule="exact" w:line="240" w:before="0" w:after="160"/>
      <w:jc w:val="both"/>
    </w:pPr>
    <w:rPr>
      <w:rFonts w:ascii="Verdana" w:hAnsi="Verdana" w:cs="Verdana"/>
      <w:sz w:val="22"/>
      <w:szCs w:val="22"/>
      <w:lang w:val="en-US" w:eastAsia="en-US"/>
    </w:rPr>
  </w:style>
  <w:style w:type="paragraph" w:styleId="NoSpacing">
    <w:name w:val="No Spacing"/>
    <w:basedOn w:val="Normal"/>
    <w:uiPriority w:val="1"/>
    <w:qFormat/>
    <w:pPr>
      <w:spacing w:lineRule="auto" w:line="360"/>
    </w:pPr>
    <w:rPr>
      <w:rFonts w:eastAsia="Calibri"/>
      <w:sz w:val="24"/>
      <w:szCs w:val="24"/>
    </w:rPr>
  </w:style>
  <w:style w:type="paragraph" w:styleId="Caption1111111111111111" w:customStyle="1">
    <w:name w:val="caption1111111111111111"/>
    <w:basedOn w:val="Normal"/>
    <w:next w:val="Normal"/>
    <w:uiPriority w:val="35"/>
    <w:qFormat/>
    <w:pPr/>
    <w:rPr>
      <w:rFonts w:eastAsia="Calibri"/>
      <w:b/>
      <w:bCs/>
      <w:color w:val="4F81BD"/>
      <w:sz w:val="18"/>
      <w:szCs w:val="18"/>
    </w:rPr>
  </w:style>
  <w:style w:type="paragraph" w:styleId="Subtitle">
    <w:name w:val="Subtitle"/>
    <w:basedOn w:val="Normal"/>
    <w:next w:val="Normal"/>
    <w:link w:val="1"/>
    <w:uiPriority w:val="11"/>
    <w:qFormat/>
    <w:pPr>
      <w:numPr>
        <w:ilvl w:val="1"/>
      </w:numPr>
      <w:ind w:left="1066" w:firstLine="709"/>
    </w:pPr>
    <w:rPr>
      <w:rFonts w:ascii="Cambria" w:hAnsi="Cambria"/>
      <w:i/>
      <w:iCs/>
      <w:color w:val="4F81BD"/>
      <w:spacing w:val="15"/>
      <w:sz w:val="24"/>
      <w:szCs w:val="24"/>
    </w:rPr>
  </w:style>
  <w:style w:type="paragraph" w:styleId="ListParagraph">
    <w:name w:val="List Paragraph"/>
    <w:basedOn w:val="Normal"/>
    <w:link w:val="Style8"/>
    <w:qFormat/>
    <w:pPr>
      <w:spacing w:lineRule="auto" w:line="276" w:before="0" w:after="200"/>
      <w:ind w:left="720" w:hanging="0"/>
      <w:contextualSpacing/>
    </w:pPr>
    <w:rPr>
      <w:rFonts w:ascii="Calibri" w:hAnsi="Calibri" w:eastAsia="Calibri" w:cs="Calibri"/>
      <w:sz w:val="22"/>
      <w:szCs w:val="22"/>
    </w:rPr>
  </w:style>
  <w:style w:type="paragraph" w:styleId="Quote">
    <w:name w:val="Quote"/>
    <w:basedOn w:val="Normal"/>
    <w:next w:val="Normal"/>
    <w:link w:val="21"/>
    <w:uiPriority w:val="29"/>
    <w:qFormat/>
    <w:pPr/>
    <w:rPr>
      <w:rFonts w:ascii="Calibri" w:hAnsi="Calibri" w:eastAsia="Calibri"/>
      <w:i/>
      <w:iCs/>
      <w:color w:val="000000"/>
      <w:sz w:val="20"/>
      <w:szCs w:val="20"/>
    </w:rPr>
  </w:style>
  <w:style w:type="paragraph" w:styleId="IntenseQuote">
    <w:name w:val="Intense Quote"/>
    <w:basedOn w:val="Normal"/>
    <w:next w:val="Normal"/>
    <w:link w:val="Style4"/>
    <w:uiPriority w:val="30"/>
    <w:qFormat/>
    <w:pPr>
      <w:pBdr>
        <w:bottom w:val="single" w:sz="4" w:space="4" w:color="4F81BD"/>
      </w:pBdr>
      <w:spacing w:before="200" w:after="280"/>
      <w:ind w:left="936" w:right="936" w:hanging="0"/>
    </w:pPr>
    <w:rPr>
      <w:rFonts w:ascii="Calibri" w:hAnsi="Calibri" w:eastAsia="Calibri"/>
      <w:b/>
      <w:bCs/>
      <w:i/>
      <w:iCs/>
      <w:color w:val="4F81BD"/>
      <w:sz w:val="20"/>
      <w:szCs w:val="20"/>
    </w:rPr>
  </w:style>
  <w:style w:type="paragraph" w:styleId="IndexHeading">
    <w:name w:val="Index Heading"/>
    <w:basedOn w:val="Style20"/>
    <w:pPr/>
    <w:rPr/>
  </w:style>
  <w:style w:type="paragraph" w:styleId="TOCHeading">
    <w:name w:val="TOC Heading"/>
    <w:basedOn w:val="Heading1"/>
    <w:next w:val="Normal"/>
    <w:uiPriority w:val="39"/>
    <w:qFormat/>
    <w:pPr>
      <w:keepLines/>
      <w:spacing w:before="480" w:after="60"/>
      <w:outlineLvl w:val="9"/>
    </w:pPr>
    <w:rPr>
      <w:rFonts w:ascii="Cambria" w:hAnsi="Cambria"/>
      <w:bCs/>
      <w:color w:val="365F91"/>
    </w:rPr>
  </w:style>
  <w:style w:type="paragraph" w:styleId="E-mailSignature">
    <w:name w:val="E-mail Signature"/>
    <w:basedOn w:val="Normal"/>
    <w:link w:val="Style5"/>
    <w:uiPriority w:val="99"/>
    <w:unhideWhenUsed/>
    <w:qFormat/>
    <w:pPr/>
    <w:rPr>
      <w:rFonts w:eastAsia="Calibri"/>
      <w:sz w:val="24"/>
      <w:szCs w:val="24"/>
    </w:rPr>
  </w:style>
  <w:style w:type="paragraph" w:styleId="Style30" w:customStyle="1">
    <w:name w:val="Знак"/>
    <w:basedOn w:val="Normal"/>
    <w:qFormat/>
    <w:pPr>
      <w:spacing w:lineRule="exact" w:line="240" w:before="0" w:after="160"/>
    </w:pPr>
    <w:rPr>
      <w:rFonts w:ascii="Verdana" w:hAnsi="Verdana" w:cs="Verdana"/>
      <w:sz w:val="20"/>
      <w:szCs w:val="20"/>
      <w:lang w:val="en-US" w:eastAsia="en-US"/>
    </w:rPr>
  </w:style>
  <w:style w:type="paragraph" w:styleId="34" w:customStyle="1">
    <w:name w:val="Нумерованный список ур3"/>
    <w:basedOn w:val="Normal"/>
    <w:qFormat/>
    <w:pPr>
      <w:tabs>
        <w:tab w:val="clear" w:pos="708"/>
        <w:tab w:val="left" w:pos="1233" w:leader="none"/>
      </w:tabs>
      <w:ind w:left="1233" w:hanging="360"/>
      <w:jc w:val="both"/>
    </w:pPr>
    <w:rPr>
      <w:rFonts w:ascii="Garamond" w:hAnsi="Garamond"/>
      <w:sz w:val="24"/>
      <w:szCs w:val="20"/>
    </w:rPr>
  </w:style>
  <w:style w:type="paragraph" w:styleId="41" w:customStyle="1">
    <w:name w:val="Маркированный список 41"/>
    <w:basedOn w:val="Normal"/>
    <w:qFormat/>
    <w:pPr>
      <w:tabs>
        <w:tab w:val="clear" w:pos="708"/>
        <w:tab w:val="left" w:pos="0" w:leader="none"/>
      </w:tabs>
      <w:spacing w:before="120" w:after="0"/>
      <w:ind w:left="-207" w:hanging="360"/>
      <w:jc w:val="both"/>
    </w:pPr>
    <w:rPr>
      <w:rFonts w:ascii="Garamond" w:hAnsi="Garamond"/>
      <w:sz w:val="24"/>
      <w:szCs w:val="20"/>
    </w:rPr>
  </w:style>
  <w:style w:type="paragraph" w:styleId="26" w:customStyle="1">
    <w:name w:val="Нумерованный список ур2"/>
    <w:basedOn w:val="Normal"/>
    <w:qFormat/>
    <w:pPr>
      <w:tabs>
        <w:tab w:val="clear" w:pos="708"/>
        <w:tab w:val="left" w:pos="513" w:leader="none"/>
      </w:tabs>
      <w:spacing w:before="120" w:after="0"/>
      <w:ind w:left="513" w:hanging="360"/>
      <w:jc w:val="both"/>
    </w:pPr>
    <w:rPr>
      <w:rFonts w:ascii="Garamond" w:hAnsi="Garamond"/>
      <w:sz w:val="24"/>
      <w:szCs w:val="20"/>
    </w:rPr>
  </w:style>
  <w:style w:type="paragraph" w:styleId="Revision">
    <w:name w:val="Revision"/>
    <w:uiPriority w:val="99"/>
    <w:semiHidden/>
    <w:qFormat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auto"/>
      <w:kern w:val="0"/>
      <w:sz w:val="24"/>
      <w:szCs w:val="24"/>
      <w:lang w:val="ru-RU" w:eastAsia="ru-RU" w:bidi="ar-SA"/>
    </w:rPr>
  </w:style>
  <w:style w:type="paragraph" w:styleId="ConsPlusNormal1" w:customStyle="1">
    <w:name w:val="ConsPlusNormal"/>
    <w:link w:val="ConsPlusNormal"/>
    <w:qFormat/>
    <w:pPr>
      <w:widowControl w:val="false"/>
      <w:suppressAutoHyphens w:val="true"/>
      <w:bidi w:val="0"/>
      <w:spacing w:before="0" w:after="0"/>
      <w:ind w:firstLine="72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35" w:customStyle="1">
    <w:name w:val="Знак Знак3 Знак Знак"/>
    <w:basedOn w:val="Normal"/>
    <w:qFormat/>
    <w:pPr>
      <w:spacing w:lineRule="exact" w:line="240" w:before="0" w:after="160"/>
      <w:jc w:val="both"/>
    </w:pPr>
    <w:rPr>
      <w:rFonts w:ascii="Verdana" w:hAnsi="Verdana" w:cs="Verdana"/>
      <w:sz w:val="22"/>
      <w:szCs w:val="22"/>
      <w:lang w:val="en-US" w:eastAsia="en-US"/>
    </w:rPr>
  </w:style>
  <w:style w:type="paragraph" w:styleId="Style31" w:customStyle="1">
    <w:name w:val="Пункт"/>
    <w:basedOn w:val="Normal"/>
    <w:link w:val="19"/>
    <w:qFormat/>
    <w:pPr>
      <w:widowControl w:val="false"/>
      <w:tabs>
        <w:tab w:val="clear" w:pos="708"/>
        <w:tab w:val="left" w:pos="1134" w:leader="none"/>
      </w:tabs>
      <w:spacing w:lineRule="auto" w:line="360" w:before="120" w:after="0"/>
      <w:ind w:left="1134" w:right="800" w:hanging="1134"/>
      <w:jc w:val="both"/>
    </w:pPr>
    <w:rPr>
      <w:rFonts w:ascii="Arial" w:hAnsi="Arial"/>
      <w:b/>
      <w:i/>
      <w:szCs w:val="20"/>
    </w:rPr>
  </w:style>
  <w:style w:type="paragraph" w:styleId="114" w:customStyle="1">
    <w:name w:val="Абзац списка1"/>
    <w:basedOn w:val="Normal"/>
    <w:qFormat/>
    <w:pPr>
      <w:spacing w:lineRule="auto" w:line="276" w:before="0" w:after="200"/>
      <w:ind w:left="720" w:hanging="0"/>
      <w:contextualSpacing/>
    </w:pPr>
    <w:rPr>
      <w:rFonts w:ascii="Calibri" w:hAnsi="Calibri"/>
      <w:sz w:val="22"/>
      <w:szCs w:val="22"/>
      <w:lang w:eastAsia="en-US"/>
    </w:rPr>
  </w:style>
  <w:style w:type="paragraph" w:styleId="Style32" w:customStyle="1">
    <w:name w:val="Таблица"/>
    <w:basedOn w:val="Normal"/>
    <w:qFormat/>
    <w:pPr>
      <w:keepNext w:val="true"/>
      <w:spacing w:before="60" w:after="60"/>
      <w:jc w:val="center"/>
    </w:pPr>
    <w:rPr>
      <w:rFonts w:eastAsia="Calibri"/>
      <w:b/>
      <w:sz w:val="24"/>
      <w:szCs w:val="24"/>
    </w:rPr>
  </w:style>
  <w:style w:type="paragraph" w:styleId="Style33" w:customStyle="1">
    <w:name w:val="Таблица шапка"/>
    <w:basedOn w:val="Normal"/>
    <w:qFormat/>
    <w:pPr>
      <w:keepNext w:val="true"/>
      <w:spacing w:before="40" w:after="40"/>
      <w:ind w:left="57" w:right="57" w:hanging="0"/>
    </w:pPr>
    <w:rPr>
      <w:sz w:val="22"/>
      <w:szCs w:val="26"/>
    </w:rPr>
  </w:style>
  <w:style w:type="paragraph" w:styleId="Style34" w:customStyle="1">
    <w:name w:val="Подподпункт"/>
    <w:basedOn w:val="Style26"/>
    <w:link w:val="Style10"/>
    <w:qFormat/>
    <w:pPr>
      <w:tabs>
        <w:tab w:val="clear" w:pos="1134"/>
        <w:tab w:val="left" w:pos="5104" w:leader="none"/>
      </w:tabs>
      <w:spacing w:lineRule="auto" w:line="240" w:before="120" w:after="0"/>
      <w:ind w:left="5104" w:hanging="567"/>
    </w:pPr>
    <w:rPr>
      <w:sz w:val="26"/>
      <w:szCs w:val="26"/>
    </w:rPr>
  </w:style>
  <w:style w:type="paragraph" w:styleId="Style35" w:customStyle="1">
    <w:name w:val="УРОВЕНЬ_(а)"/>
    <w:basedOn w:val="ListParagraph"/>
    <w:qFormat/>
    <w:pPr>
      <w:tabs>
        <w:tab w:val="clear" w:pos="708"/>
        <w:tab w:val="left" w:pos="0" w:leader="none"/>
      </w:tabs>
      <w:spacing w:lineRule="exact" w:line="360" w:before="120" w:after="0"/>
      <w:ind w:left="1985" w:hanging="567"/>
      <w:contextualSpacing w:val="false"/>
      <w:jc w:val="both"/>
      <w:outlineLvl w:val="3"/>
    </w:pPr>
    <w:rPr>
      <w:sz w:val="26"/>
      <w:szCs w:val="28"/>
      <w:lang w:eastAsia="en-US"/>
    </w:rPr>
  </w:style>
  <w:style w:type="paragraph" w:styleId="-" w:customStyle="1">
    <w:name w:val="УРОВЕНЬ_-"/>
    <w:basedOn w:val="ListParagraph"/>
    <w:qFormat/>
    <w:pPr>
      <w:tabs>
        <w:tab w:val="clear" w:pos="708"/>
        <w:tab w:val="left" w:pos="0" w:leader="none"/>
      </w:tabs>
      <w:spacing w:lineRule="exact" w:line="360" w:before="120" w:after="0"/>
      <w:ind w:left="2268" w:hanging="567"/>
      <w:contextualSpacing w:val="false"/>
      <w:jc w:val="both"/>
      <w:outlineLvl w:val="4"/>
    </w:pPr>
    <w:rPr>
      <w:sz w:val="26"/>
      <w:szCs w:val="28"/>
      <w:lang w:eastAsia="en-US"/>
    </w:rPr>
  </w:style>
  <w:style w:type="paragraph" w:styleId="27" w:customStyle="1">
    <w:name w:val="УРОВЕНЬ_Абзац_тип2"/>
    <w:basedOn w:val="ListParagraph"/>
    <w:qFormat/>
    <w:pPr>
      <w:tabs>
        <w:tab w:val="clear" w:pos="708"/>
        <w:tab w:val="left" w:pos="0" w:leader="none"/>
      </w:tabs>
      <w:spacing w:lineRule="exact" w:line="360" w:before="120" w:after="0"/>
      <w:ind w:left="1701" w:hanging="0"/>
      <w:contextualSpacing w:val="false"/>
      <w:jc w:val="both"/>
    </w:pPr>
    <w:rPr>
      <w:sz w:val="26"/>
      <w:szCs w:val="28"/>
      <w:lang w:eastAsia="en-US"/>
    </w:rPr>
  </w:style>
  <w:style w:type="paragraph" w:styleId="36" w:customStyle="1">
    <w:name w:val="УРОВЕНЬ_Абзац_тип3"/>
    <w:basedOn w:val="ListParagraph"/>
    <w:link w:val="31"/>
    <w:qFormat/>
    <w:pPr>
      <w:tabs>
        <w:tab w:val="clear" w:pos="708"/>
        <w:tab w:val="left" w:pos="0" w:leader="none"/>
      </w:tabs>
      <w:spacing w:lineRule="exact" w:line="360" w:before="120" w:after="0"/>
      <w:ind w:left="0" w:hanging="0"/>
      <w:contextualSpacing w:val="false"/>
      <w:jc w:val="both"/>
    </w:pPr>
    <w:rPr>
      <w:sz w:val="26"/>
      <w:szCs w:val="28"/>
      <w:lang w:eastAsia="en-US"/>
    </w:rPr>
  </w:style>
  <w:style w:type="paragraph" w:styleId="Style36" w:customStyle="1">
    <w:name w:val="УРОВЕНЬ_Подпись"/>
    <w:basedOn w:val="ListParagraph"/>
    <w:qFormat/>
    <w:pPr>
      <w:keepNext w:val="true"/>
      <w:tabs>
        <w:tab w:val="clear" w:pos="708"/>
        <w:tab w:val="left" w:pos="0" w:leader="none"/>
      </w:tabs>
      <w:spacing w:lineRule="exact" w:line="360" w:before="120" w:after="120"/>
      <w:ind w:left="1134" w:hanging="0"/>
      <w:contextualSpacing w:val="false"/>
      <w:jc w:val="right"/>
      <w:outlineLvl w:val="3"/>
    </w:pPr>
    <w:rPr>
      <w:sz w:val="26"/>
      <w:szCs w:val="28"/>
      <w:lang w:eastAsia="en-US"/>
    </w:rPr>
  </w:style>
  <w:style w:type="paragraph" w:styleId="115" w:customStyle="1">
    <w:name w:val="Стиль Заголовок 1 + по ширине"/>
    <w:basedOn w:val="Heading1"/>
    <w:qFormat/>
    <w:pPr>
      <w:keepLines/>
      <w:tabs>
        <w:tab w:val="clear" w:pos="0"/>
        <w:tab w:val="left" w:pos="567" w:leader="none"/>
      </w:tabs>
      <w:spacing w:before="480" w:after="240"/>
      <w:ind w:left="567" w:hanging="567"/>
      <w:jc w:val="both"/>
    </w:pPr>
    <w:rPr>
      <w:rFonts w:ascii="Arial" w:hAnsi="Arial" w:eastAsia="Times New Roman"/>
      <w:bCs/>
      <w:sz w:val="40"/>
      <w:szCs w:val="20"/>
    </w:rPr>
  </w:style>
  <w:style w:type="paragraph" w:styleId="EndnoteText">
    <w:name w:val="Endnote Text"/>
    <w:basedOn w:val="Normal"/>
    <w:link w:val="14"/>
    <w:pPr/>
    <w:rPr>
      <w:sz w:val="20"/>
      <w:szCs w:val="20"/>
    </w:rPr>
  </w:style>
  <w:style w:type="paragraph" w:styleId="28" w:customStyle="1">
    <w:name w:val="Заголовок 2 КВВ"/>
    <w:basedOn w:val="Normal"/>
    <w:qFormat/>
    <w:pPr>
      <w:keepNext w:val="true"/>
      <w:tabs>
        <w:tab w:val="clear" w:pos="708"/>
        <w:tab w:val="left" w:pos="0" w:leader="none"/>
      </w:tabs>
      <w:spacing w:before="120" w:after="120"/>
      <w:ind w:left="1429" w:hanging="360"/>
      <w:jc w:val="both"/>
      <w:outlineLvl w:val="0"/>
    </w:pPr>
    <w:rPr>
      <w:b/>
      <w:sz w:val="24"/>
      <w:szCs w:val="20"/>
    </w:rPr>
  </w:style>
  <w:style w:type="paragraph" w:styleId="Style37" w:customStyle="1">
    <w:name w:val="Таблица текст"/>
    <w:basedOn w:val="Normal"/>
    <w:qFormat/>
    <w:pPr>
      <w:spacing w:before="40" w:after="40"/>
      <w:ind w:left="57" w:right="57" w:hanging="0"/>
    </w:pPr>
    <w:rPr>
      <w:sz w:val="24"/>
      <w:szCs w:val="26"/>
    </w:rPr>
  </w:style>
  <w:style w:type="paragraph" w:styleId="NormalWeb">
    <w:name w:val="Normal (Web)"/>
    <w:basedOn w:val="Normal"/>
    <w:uiPriority w:val="99"/>
    <w:unhideWhenUsed/>
    <w:qFormat/>
    <w:pPr>
      <w:spacing w:beforeAutospacing="1" w:afterAutospacing="1"/>
    </w:pPr>
    <w:rPr>
      <w:sz w:val="24"/>
      <w:szCs w:val="24"/>
    </w:rPr>
  </w:style>
  <w:style w:type="paragraph" w:styleId="116" w:customStyle="1">
    <w:name w:val="УРОВЕНЬ_1."/>
    <w:basedOn w:val="ListParagraph"/>
    <w:link w:val="17"/>
    <w:qFormat/>
    <w:pPr>
      <w:keepNext w:val="true"/>
      <w:keepLines/>
      <w:spacing w:before="240" w:after="120"/>
      <w:ind w:left="0" w:hanging="0"/>
      <w:contextualSpacing w:val="false"/>
      <w:jc w:val="both"/>
      <w:outlineLvl w:val="0"/>
    </w:pPr>
    <w:rPr>
      <w:caps/>
      <w:sz w:val="28"/>
      <w:szCs w:val="28"/>
      <w:lang w:eastAsia="en-US"/>
    </w:rPr>
  </w:style>
  <w:style w:type="paragraph" w:styleId="TOC6">
    <w:name w:val="TOC 6"/>
    <w:basedOn w:val="Normal"/>
    <w:next w:val="Normal"/>
    <w:unhideWhenUsed/>
    <w:pPr>
      <w:ind w:left="112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7">
    <w:name w:val="TOC 7"/>
    <w:basedOn w:val="Normal"/>
    <w:next w:val="Normal"/>
    <w:unhideWhenUsed/>
    <w:pPr>
      <w:ind w:left="140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8">
    <w:name w:val="TOC 8"/>
    <w:basedOn w:val="Normal"/>
    <w:next w:val="Normal"/>
    <w:unhideWhenUsed/>
    <w:pPr>
      <w:ind w:left="168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Headertext" w:customStyle="1">
    <w:name w:val="headertext"/>
    <w:basedOn w:val="Normal"/>
    <w:qFormat/>
    <w:pPr>
      <w:spacing w:beforeAutospacing="1" w:afterAutospacing="1"/>
    </w:pPr>
    <w:rPr>
      <w:sz w:val="24"/>
      <w:szCs w:val="24"/>
    </w:rPr>
  </w:style>
  <w:style w:type="paragraph" w:styleId="Formattext" w:customStyle="1">
    <w:name w:val="formattext"/>
    <w:basedOn w:val="Normal"/>
    <w:qFormat/>
    <w:pPr>
      <w:spacing w:beforeAutospacing="1" w:afterAutospacing="1"/>
    </w:pPr>
    <w:rPr>
      <w:sz w:val="24"/>
      <w:szCs w:val="24"/>
    </w:rPr>
  </w:style>
  <w:style w:type="paragraph" w:styleId="ListNum" w:customStyle="1">
    <w:name w:val="ListNum"/>
    <w:qFormat/>
    <w:pPr>
      <w:widowControl w:val="false"/>
      <w:tabs>
        <w:tab w:val="clear" w:pos="708"/>
        <w:tab w:val="left" w:pos="284" w:leader="none"/>
        <w:tab w:val="left" w:pos="1260" w:leader="none"/>
      </w:tabs>
      <w:suppressAutoHyphens w:val="true"/>
      <w:bidi w:val="0"/>
      <w:spacing w:before="60" w:after="0"/>
      <w:jc w:val="both"/>
    </w:pPr>
    <w:rPr>
      <w:rFonts w:ascii="Times New Roman" w:hAnsi="Times New Roman" w:eastAsia="Times New Roman" w:cs="Times New Roman"/>
      <w:color w:val="000000"/>
      <w:kern w:val="0"/>
      <w:sz w:val="22"/>
      <w:szCs w:val="22"/>
      <w:lang w:val="ru-RU" w:eastAsia="ru-RU" w:bidi="ar-SA"/>
    </w:rPr>
  </w:style>
  <w:style w:type="paragraph" w:styleId="Default" w:customStyle="1">
    <w:name w:val="Default"/>
    <w:qFormat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Style38" w:customStyle="1">
    <w:name w:val="Пункт б/н"/>
    <w:basedOn w:val="Normal"/>
    <w:qFormat/>
    <w:pPr>
      <w:tabs>
        <w:tab w:val="clear" w:pos="708"/>
        <w:tab w:val="left" w:pos="1134" w:leader="none"/>
      </w:tabs>
      <w:spacing w:lineRule="auto" w:line="360"/>
      <w:ind w:firstLine="567"/>
      <w:jc w:val="both"/>
    </w:pPr>
    <w:rPr>
      <w:szCs w:val="20"/>
    </w:rPr>
  </w:style>
  <w:style w:type="paragraph" w:styleId="Style39" w:customStyle="1">
    <w:name w:val="Пункт Знак"/>
    <w:basedOn w:val="Normal"/>
    <w:qFormat/>
    <w:pPr>
      <w:tabs>
        <w:tab w:val="clear" w:pos="708"/>
        <w:tab w:val="left" w:pos="567" w:leader="none"/>
        <w:tab w:val="left" w:pos="851" w:leader="none"/>
        <w:tab w:val="left" w:pos="1134" w:leader="none"/>
      </w:tabs>
      <w:spacing w:lineRule="auto" w:line="360"/>
      <w:ind w:left="567" w:hanging="567"/>
      <w:jc w:val="both"/>
    </w:pPr>
    <w:rPr>
      <w:szCs w:val="20"/>
    </w:rPr>
  </w:style>
  <w:style w:type="paragraph" w:styleId="Style40" w:customStyle="1">
    <w:name w:val="Подподподпункт"/>
    <w:basedOn w:val="Normal"/>
    <w:qFormat/>
    <w:pPr>
      <w:tabs>
        <w:tab w:val="clear" w:pos="708"/>
        <w:tab w:val="left" w:pos="1134" w:leader="none"/>
        <w:tab w:val="left" w:pos="1701" w:leader="none"/>
        <w:tab w:val="left" w:pos="2448" w:leader="none"/>
      </w:tabs>
      <w:spacing w:lineRule="auto" w:line="360"/>
      <w:ind w:left="2448" w:hanging="1008"/>
      <w:jc w:val="both"/>
    </w:pPr>
    <w:rPr>
      <w:szCs w:val="20"/>
    </w:rPr>
  </w:style>
  <w:style w:type="paragraph" w:styleId="117" w:customStyle="1">
    <w:name w:val="Пункт1"/>
    <w:basedOn w:val="Normal"/>
    <w:qFormat/>
    <w:pPr>
      <w:tabs>
        <w:tab w:val="clear" w:pos="708"/>
        <w:tab w:val="left" w:pos="567" w:leader="none"/>
      </w:tabs>
      <w:spacing w:lineRule="auto" w:line="360" w:before="240" w:after="0"/>
      <w:ind w:left="567" w:hanging="279"/>
      <w:jc w:val="center"/>
    </w:pPr>
    <w:rPr>
      <w:rFonts w:ascii="Arial" w:hAnsi="Arial"/>
      <w:b/>
    </w:rPr>
  </w:style>
  <w:style w:type="paragraph" w:styleId="My1" w:customStyle="1">
    <w:name w:val="my"/>
    <w:basedOn w:val="Heading1"/>
    <w:link w:val="My"/>
    <w:qFormat/>
    <w:pPr>
      <w:keepLines/>
      <w:tabs>
        <w:tab w:val="clear" w:pos="0"/>
      </w:tabs>
      <w:spacing w:before="360" w:after="120"/>
      <w:ind w:left="0" w:hanging="0"/>
      <w:jc w:val="center"/>
    </w:pPr>
    <w:rPr>
      <w:rFonts w:eastAsia="Times New Roman"/>
    </w:rPr>
  </w:style>
  <w:style w:type="paragraph" w:styleId="118" w:customStyle="1">
    <w:name w:val="Обычный1"/>
    <w:qFormat/>
    <w:pPr>
      <w:widowControl w:val="false"/>
      <w:suppressAutoHyphens w:val="true"/>
      <w:bidi w:val="0"/>
      <w:spacing w:lineRule="auto" w:line="420" w:before="460" w:after="0"/>
      <w:ind w:firstLine="720"/>
      <w:jc w:val="left"/>
    </w:pPr>
    <w:rPr>
      <w:rFonts w:ascii="Arial" w:hAnsi="Arial" w:eastAsia="Arial" w:cs="Times New Roman"/>
      <w:color w:val="auto"/>
      <w:kern w:val="0"/>
      <w:sz w:val="28"/>
      <w:szCs w:val="20"/>
      <w:lang w:val="ru-RU" w:eastAsia="ar-SA" w:bidi="ar-SA"/>
    </w:rPr>
  </w:style>
  <w:style w:type="paragraph" w:styleId="PlainText">
    <w:name w:val="Plain Text"/>
    <w:basedOn w:val="Normal"/>
    <w:link w:val="Style15"/>
    <w:qFormat/>
    <w:pPr>
      <w:ind w:firstLine="709"/>
      <w:jc w:val="both"/>
    </w:pPr>
    <w:rPr>
      <w:rFonts w:cs="Courier New"/>
      <w:sz w:val="20"/>
      <w:szCs w:val="20"/>
    </w:rPr>
  </w:style>
  <w:style w:type="paragraph" w:styleId="29" w:customStyle="1">
    <w:name w:val="Пункт_2"/>
    <w:basedOn w:val="Normal"/>
    <w:qFormat/>
    <w:pPr>
      <w:tabs>
        <w:tab w:val="clear" w:pos="708"/>
        <w:tab w:val="left" w:pos="1134" w:leader="none"/>
      </w:tabs>
      <w:spacing w:lineRule="auto" w:line="360"/>
      <w:ind w:left="1134" w:hanging="1133"/>
      <w:jc w:val="both"/>
    </w:pPr>
    <w:rPr>
      <w:szCs w:val="20"/>
    </w:rPr>
  </w:style>
  <w:style w:type="paragraph" w:styleId="37" w:customStyle="1">
    <w:name w:val="Пункт_3"/>
    <w:basedOn w:val="29"/>
    <w:qFormat/>
    <w:pPr>
      <w:tabs>
        <w:tab w:val="clear" w:pos="1134"/>
        <w:tab w:val="left" w:pos="1694" w:leader="none"/>
      </w:tabs>
      <w:ind w:left="1694" w:hanging="1133"/>
    </w:pPr>
    <w:rPr/>
  </w:style>
  <w:style w:type="paragraph" w:styleId="42" w:customStyle="1">
    <w:name w:val="Пункт_4"/>
    <w:basedOn w:val="37"/>
    <w:qFormat/>
    <w:pPr>
      <w:tabs>
        <w:tab w:val="clear" w:pos="1694"/>
        <w:tab w:val="left" w:pos="1134" w:leader="none"/>
      </w:tabs>
      <w:ind w:left="1134" w:hanging="1134"/>
    </w:pPr>
    <w:rPr/>
  </w:style>
  <w:style w:type="paragraph" w:styleId="5ABCD" w:customStyle="1">
    <w:name w:val="Пункт_5_ABCD"/>
    <w:basedOn w:val="Normal"/>
    <w:qFormat/>
    <w:pPr>
      <w:tabs>
        <w:tab w:val="clear" w:pos="708"/>
        <w:tab w:val="left" w:pos="1701" w:leader="none"/>
      </w:tabs>
      <w:spacing w:lineRule="auto" w:line="360"/>
      <w:ind w:left="1701" w:hanging="567"/>
      <w:jc w:val="both"/>
    </w:pPr>
    <w:rPr>
      <w:szCs w:val="20"/>
    </w:rPr>
  </w:style>
  <w:style w:type="paragraph" w:styleId="119" w:customStyle="1">
    <w:name w:val="Пункт_1"/>
    <w:basedOn w:val="Normal"/>
    <w:qFormat/>
    <w:pPr>
      <w:keepNext w:val="true"/>
      <w:tabs>
        <w:tab w:val="clear" w:pos="708"/>
        <w:tab w:val="left" w:pos="568" w:leader="none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</w:rPr>
  </w:style>
  <w:style w:type="paragraph" w:styleId="38" w:customStyle="1">
    <w:name w:val="заголовок 3"/>
    <w:basedOn w:val="Normal"/>
    <w:next w:val="Normal"/>
    <w:qFormat/>
    <w:pPr>
      <w:keepNext w:val="true"/>
      <w:spacing w:lineRule="auto" w:line="360" w:before="120" w:after="0"/>
      <w:ind w:firstLine="720"/>
      <w:jc w:val="center"/>
      <w:outlineLvl w:val="2"/>
    </w:pPr>
    <w:rPr>
      <w:sz w:val="20"/>
      <w:szCs w:val="24"/>
    </w:rPr>
  </w:style>
  <w:style w:type="paragraph" w:styleId="Style41" w:customStyle="1">
    <w:name w:val="Обычный+ без отступа"/>
    <w:basedOn w:val="Normal"/>
    <w:qFormat/>
    <w:pPr>
      <w:tabs>
        <w:tab w:val="clear" w:pos="708"/>
        <w:tab w:val="left" w:pos="926" w:leader="none"/>
      </w:tabs>
      <w:spacing w:lineRule="auto" w:line="360" w:before="120" w:after="0"/>
      <w:jc w:val="both"/>
    </w:pPr>
    <w:rPr>
      <w:rFonts w:eastAsia="MS Mincho"/>
    </w:rPr>
  </w:style>
  <w:style w:type="paragraph" w:styleId="ListNumber">
    <w:name w:val="List Number"/>
    <w:basedOn w:val="Normal"/>
    <w:qFormat/>
    <w:pPr>
      <w:spacing w:lineRule="auto" w:line="360" w:before="60" w:after="0"/>
      <w:jc w:val="both"/>
    </w:pPr>
    <w:rPr>
      <w:szCs w:val="24"/>
    </w:rPr>
  </w:style>
  <w:style w:type="paragraph" w:styleId="HEADERTEXT1" w:customStyle="1">
    <w:name w:val=".HEADERTEXT"/>
    <w:uiPriority w:val="99"/>
    <w:qFormat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2B4279"/>
      <w:kern w:val="0"/>
      <w:sz w:val="24"/>
      <w:szCs w:val="24"/>
      <w:lang w:val="ru-RU" w:eastAsia="ru-RU" w:bidi="ar-SA"/>
    </w:rPr>
  </w:style>
  <w:style w:type="paragraph" w:styleId="211" w:customStyle="1">
    <w:name w:val="Основной текст 21"/>
    <w:basedOn w:val="Normal"/>
    <w:qFormat/>
    <w:pPr/>
    <w:rPr>
      <w:sz w:val="22"/>
      <w:szCs w:val="20"/>
      <w:lang w:eastAsia="ar-SA"/>
    </w:rPr>
  </w:style>
  <w:style w:type="paragraph" w:styleId="Style42" w:customStyle="1">
    <w:name w:val="Содержимое врезки"/>
    <w:basedOn w:val="Normal"/>
    <w:qFormat/>
    <w:pPr/>
    <w:rPr/>
  </w:style>
  <w:style w:type="paragraph" w:styleId="Style43" w:customStyle="1">
    <w:name w:val="Содержимое таблицы"/>
    <w:basedOn w:val="Normal"/>
    <w:qFormat/>
    <w:pPr>
      <w:widowControl w:val="false"/>
      <w:suppressLineNumbers/>
    </w:pPr>
    <w:rPr/>
  </w:style>
  <w:style w:type="paragraph" w:styleId="Style44" w:customStyle="1">
    <w:name w:val="Заголовок таблицы"/>
    <w:basedOn w:val="Style43"/>
    <w:qFormat/>
    <w:pPr>
      <w:jc w:val="center"/>
    </w:pPr>
    <w:rPr>
      <w:b/>
      <w:bCs/>
    </w:rPr>
  </w:style>
  <w:style w:type="paragraph" w:styleId="Standard" w:customStyle="1">
    <w:name w:val="Standard"/>
    <w:qFormat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0"/>
      <w:szCs w:val="20"/>
      <w:lang w:val="ru-RU" w:eastAsia="zh-CN" w:bidi="ar-SA"/>
    </w:rPr>
  </w:style>
  <w:style w:type="numbering" w:styleId="NoList" w:default="1">
    <w:name w:val="No List"/>
    <w:uiPriority w:val="99"/>
    <w:semiHidden/>
    <w:unhideWhenUsed/>
    <w:qFormat/>
  </w:style>
  <w:style w:type="numbering" w:styleId="120" w:customStyle="1">
    <w:name w:val="Стиль1"/>
    <w:uiPriority w:val="99"/>
    <w:qFormat/>
  </w:style>
  <w:style w:type="numbering" w:styleId="210" w:customStyle="1">
    <w:name w:val="Стиль2"/>
    <w:uiPriority w:val="99"/>
    <w:qFormat/>
  </w:style>
  <w:style w:type="numbering" w:styleId="19639624581" w:customStyle="1">
    <w:name w:val="19639624581"/>
    <w:qFormat/>
  </w:style>
  <w:style w:type="numbering" w:styleId="42648439681" w:customStyle="1">
    <w:name w:val="42648439681"/>
    <w:qFormat/>
  </w:style>
  <w:style w:type="numbering" w:styleId="18014956671" w:customStyle="1">
    <w:name w:val="18014956671"/>
    <w:qFormat/>
  </w:style>
  <w:style w:type="table" w:default="1" w:styleId="1185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  <w:tblStylePr w:type="band1Horz">
      <w:tblPr/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tblPr/>
    </w:tblStylePr>
    <w:tblStylePr w:type="firstRow">
      <w:tblPr/>
    </w:tblStylePr>
    <w:tblStylePr w:type="lastCol">
      <w:tblPr/>
    </w:tblStylePr>
    <w:tblStylePr w:type="lastRow"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86">
    <w:name w:val="Table Grid Light"/>
    <w:basedOn w:val="1185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blPr/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tblPr/>
    </w:tblStylePr>
    <w:tblStylePr w:type="firstRow">
      <w:tblPr/>
    </w:tblStylePr>
    <w:tblStylePr w:type="lastCol">
      <w:tblPr/>
    </w:tblStylePr>
    <w:tblStylePr w:type="lastRow"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87">
    <w:name w:val="Plain Table 1"/>
    <w:basedOn w:val="1185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blPr/>
      <w:tcPr>
        <w:shd w:val="clear" w:color="F2F2F2" w:fill="F2F2F2" w:themeFill="text1" w:themeFillTint="0"/>
      </w:tcPr>
    </w:tblStylePr>
    <w:tblStylePr w:type="band1Vert">
      <w:tblPr/>
      <w:tcPr>
        <w:shd w:val="clear" w:color="F2F2F2" w:fill="F2F2F2" w:themeFill="text1" w:themeFillTint="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88">
    <w:name w:val="Plain Table 2"/>
    <w:basedOn w:val="1185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tblPr/>
    </w:tblStylePr>
    <w:tblStylePr w:type="band2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89">
    <w:name w:val="Plain Table 3"/>
    <w:basedOn w:val="1185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2Horz">
      <w:tblPr/>
    </w:tblStylePr>
    <w:tblStylePr w:type="band2Vert">
      <w:tblPr/>
    </w:tblStylePr>
    <w:tblStylePr w:type="firstCol">
      <w:rPr>
        <w:b/>
        <w:caps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tblPr/>
    </w:tblStylePr>
    <w:tblStylePr w:type="lastRow">
      <w:rPr>
        <w:b/>
        <w:caps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90">
    <w:name w:val="Plain Table 4"/>
    <w:basedOn w:val="1185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91">
    <w:name w:val="Plain Table 5"/>
    <w:basedOn w:val="1185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color="404040" w:sz="4" w:space="0"/>
        </w:tcBorders>
        <w:shd w:val="clear" w:color="FFFFFF" w:fill="auto"/>
      </w:tcPr>
    </w:tblStylePr>
    <w:tblStylePr w:type="firstRow">
      <w:rPr>
        <w:i/>
        <w:color w:val="404040"/>
      </w:rPr>
      <w:tblPr/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color="404040" w:sz="4" w:space="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92">
    <w:name w:val="Grid Table 1 Light"/>
    <w:basedOn w:val="1185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93">
    <w:name w:val="Grid Table 1 Light - Accent 1"/>
    <w:basedOn w:val="1185"/>
    <w:uiPriority w:val="99"/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4472C4" w:themeColor="accent1" w:sz="4" w:space="0"/>
          <w:left w:val="single" w:color="4472C4" w:themeColor="accent1" w:sz="4" w:space="0"/>
          <w:bottom w:val="single" w:color="4472C4" w:themeColor="accent1" w:sz="4" w:space="0"/>
          <w:right w:val="single" w:color="4472C4" w:themeColor="accent1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4472C4" w:themeColor="accent1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94">
    <w:name w:val="Grid Table 1 Light - Accent 2"/>
    <w:basedOn w:val="1185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ED7D31" w:themeColor="accent2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95">
    <w:name w:val="Grid Table 1 Light - Accent 3"/>
    <w:basedOn w:val="1185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A5A5A5" w:themeColor="accent3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96">
    <w:name w:val="Grid Table 1 Light - Accent 4"/>
    <w:basedOn w:val="1185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FFC000" w:themeColor="accent4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97">
    <w:name w:val="Grid Table 1 Light - Accent 5"/>
    <w:basedOn w:val="1185"/>
    <w:uiPriority w:val="99"/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198">
    <w:name w:val="Grid Table 1 Light - Accent 6"/>
    <w:basedOn w:val="1185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199">
    <w:name w:val="Grid Table 2"/>
    <w:basedOn w:val="1185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0">
    <w:name w:val="Grid Table 2 - Accent 1"/>
    <w:basedOn w:val="1185"/>
    <w:uiPriority w:val="99"/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color w:val="404040"/>
        <w:sz w:val="22"/>
      </w:rPr>
      <w:tblPr/>
      <w:tcPr>
        <w:shd w:val="clear" w:color="D8E2F3" w:fill="D8E2F3" w:themeFill="accent1" w:themeFillTint="34"/>
      </w:tcPr>
    </w:tblStylePr>
    <w:tblStylePr w:type="band1Vert">
      <w:rPr>
        <w:color w:val="404040"/>
        <w:sz w:val="22"/>
      </w:rPr>
      <w:tblPr/>
      <w:tcPr>
        <w:shd w:val="clear" w:color="D8E2F3" w:fill="D8E2F3" w:themeFill="accent1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1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1">
    <w:name w:val="Grid Table 2 - Accent 2"/>
    <w:basedOn w:val="1185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2">
    <w:name w:val="Grid Table 2 - Accent 3"/>
    <w:basedOn w:val="1185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3">
    <w:name w:val="Grid Table 2 - Accent 4"/>
    <w:basedOn w:val="1185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4">
    <w:name w:val="Grid Table 2 - Accent 5"/>
    <w:basedOn w:val="1185"/>
    <w:uiPriority w:val="99"/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1Vert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5">
    <w:name w:val="Grid Table 2 - Accent 6"/>
    <w:basedOn w:val="1185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06">
    <w:name w:val="Grid Table 3"/>
    <w:basedOn w:val="1185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7">
    <w:name w:val="Grid Table 3 - Accent 1"/>
    <w:basedOn w:val="1185"/>
    <w:uiPriority w:val="99"/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color w:val="404040"/>
        <w:sz w:val="22"/>
      </w:rPr>
      <w:tblPr/>
      <w:tcPr>
        <w:shd w:val="clear" w:color="D8E2F3" w:fill="D8E2F3" w:themeFill="accent1" w:themeFillTint="34"/>
      </w:tcPr>
    </w:tblStylePr>
    <w:tblStylePr w:type="band1Vert">
      <w:rPr>
        <w:color w:val="404040"/>
        <w:sz w:val="22"/>
      </w:rPr>
      <w:tblPr/>
      <w:tcPr>
        <w:shd w:val="clear" w:color="D8E2F3" w:fill="D8E2F3" w:themeFill="accent1" w:themeFillTint="34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8">
    <w:name w:val="Grid Table 3 - Accent 2"/>
    <w:basedOn w:val="1185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09">
    <w:name w:val="Grid Table 3 - Accent 3"/>
    <w:basedOn w:val="1185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0">
    <w:name w:val="Grid Table 3 - Accent 4"/>
    <w:basedOn w:val="1185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1">
    <w:name w:val="Grid Table 3 - Accent 5"/>
    <w:basedOn w:val="1185"/>
    <w:uiPriority w:val="99"/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1Vert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2">
    <w:name w:val="Grid Table 3 - Accent 6"/>
    <w:basedOn w:val="1185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2Horz">
      <w:tblPr/>
    </w:tblStylePr>
    <w:tblStylePr w:type="band2Vert">
      <w:tblPr/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13">
    <w:name w:val="Grid Table 4"/>
    <w:basedOn w:val="1185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fill="000000" w:themeFill="text1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000000" w:themeColor="text1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4">
    <w:name w:val="Grid Table 4 - Accent 1"/>
    <w:basedOn w:val="1185"/>
    <w:uiPriority w:val="59"/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blStylePr w:type="band1Horz">
      <w:rPr>
        <w:color w:val="404040"/>
        <w:sz w:val="22"/>
      </w:rPr>
      <w:tblPr/>
      <w:tcPr>
        <w:shd w:val="clear" w:color="DAE3F3" w:fill="DAE3F3" w:themeFill="accent1" w:themeFillTint="32"/>
      </w:tcPr>
    </w:tblStylePr>
    <w:tblStylePr w:type="band1Vert">
      <w:rPr>
        <w:color w:val="404040"/>
        <w:sz w:val="22"/>
      </w:rPr>
      <w:tblPr/>
      <w:tcPr>
        <w:shd w:val="clear" w:color="DAE3F3" w:fill="DAE3F3" w:themeFill="accent1" w:themeFillTint="32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4472C4" w:themeColor="accent1" w:sz="4" w:space="0"/>
          <w:left w:val="single" w:color="4472C4" w:themeColor="accent1" w:sz="4" w:space="0"/>
          <w:bottom w:val="single" w:color="4472C4" w:themeColor="accent1" w:sz="4" w:space="0"/>
          <w:right w:val="single" w:color="4472C4" w:themeColor="accent1" w:sz="4" w:space="0"/>
        </w:tcBorders>
        <w:shd w:val="clear" w:color="537DC8" w:fill="537DC8" w:themeFill="accent1" w:themeFillTint="ea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4472C4" w:themeColor="accent1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5">
    <w:name w:val="Grid Table 4 - Accent 2"/>
    <w:basedOn w:val="1185"/>
    <w:uiPriority w:val="5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  <w:shd w:val="clear" w:color="F4B184" w:fill="F4B184" w:themeFill="accent2" w:themeFillTint="97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ED7D31" w:themeColor="accent2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6">
    <w:name w:val="Grid Table 4 - Accent 3"/>
    <w:basedOn w:val="1185"/>
    <w:uiPriority w:val="5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  <w:shd w:val="clear" w:color="A5A5A5" w:fill="A5A5A5" w:themeFill="accent3" w:themeFillTint="fe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A5A5A5" w:themeColor="accent3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7">
    <w:name w:val="Grid Table 4 - Accent 4"/>
    <w:basedOn w:val="1185"/>
    <w:uiPriority w:val="5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  <w:shd w:val="clear" w:color="FFD865" w:fill="FFD865" w:themeFill="accent4" w:themeFillTint="9a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FFC000" w:themeColor="accent4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8">
    <w:name w:val="Grid Table 4 - Accent 5"/>
    <w:basedOn w:val="1185"/>
    <w:uiPriority w:val="59"/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1Vert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  <w:shd w:val="clear" w:color="5B9BD5" w:fill="5B9BD5" w:themeFill="accent5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5B9BD5" w:themeColor="accent5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19">
    <w:name w:val="Grid Table 4 - Accent 6"/>
    <w:basedOn w:val="1185"/>
    <w:uiPriority w:val="5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  <w:shd w:val="clear" w:color="70AD47" w:fill="70AD47" w:themeFill="accent6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70AD47" w:themeColor="accent6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20">
    <w:name w:val="Grid Table 5 Dark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8A8A8A" w:fill="8A8A8A" w:themeFill="text1" w:themeFillTint="75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000000" w:fill="000000" w:themeFill="tex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1">
    <w:name w:val="Grid Table 5 Dark- Accent 1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A9BEE4" w:fill="A9BEE4" w:themeFill="accent1" w:themeFillTint="75"/>
      </w:tcPr>
    </w:tblStylePr>
    <w:tblStylePr w:type="band1Vert">
      <w:tblPr/>
      <w:tcPr>
        <w:shd w:val="clear" w:color="A9BEE4" w:fill="A9BEE4" w:themeFill="accent1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4472C4" w:fill="4472C4" w:themeFill="accent1"/>
      </w:tcPr>
    </w:tblStylePr>
    <w:tblStylePr w:type="firstRow">
      <w:rPr>
        <w:b/>
        <w:color w:val="FFFFFF"/>
        <w:sz w:val="22"/>
      </w:rPr>
      <w:tblPr/>
      <w:tcPr>
        <w:shd w:val="clear" w:color="4472C4" w:fill="4472C4" w:themeFill="accent1"/>
      </w:tcPr>
    </w:tblStylePr>
    <w:tblStylePr w:type="lastCol">
      <w:rPr>
        <w:b/>
        <w:color w:val="FFFFFF"/>
        <w:sz w:val="22"/>
      </w:rPr>
      <w:tblPr/>
      <w:tcPr>
        <w:shd w:val="clear" w:color="4472C4" w:fill="4472C4" w:themeFill="accent1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4472C4" w:fill="4472C4" w:themeFill="accen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2">
    <w:name w:val="Grid Table 5 Dark - Accent 2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F6C3A0" w:fill="F6C3A0" w:themeFill="accent2" w:themeFillTint="75"/>
      </w:tcPr>
    </w:tblStylePr>
    <w:tblStylePr w:type="band1Vert">
      <w:tblPr/>
      <w:tcPr>
        <w:shd w:val="clear" w:color="F6C3A0" w:fill="F6C3A0" w:themeFill="accent2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firstRow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Col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ED7D31" w:fill="ED7D31" w:themeFill="accent2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3">
    <w:name w:val="Grid Table 5 Dark - Accent 3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D5D5D5" w:fill="D5D5D5" w:themeFill="accent3" w:themeFillTint="75"/>
      </w:tcPr>
    </w:tblStylePr>
    <w:tblStylePr w:type="band1Vert">
      <w:tblPr/>
      <w:tcPr>
        <w:shd w:val="clear" w:color="D5D5D5" w:fill="D5D5D5" w:themeFill="accent3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firstRow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Col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A5A5A5" w:fill="A5A5A5" w:themeFill="accent3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4">
    <w:name w:val="Grid Table 5 Dark- Accent 4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FFE28A" w:fill="FFE28A" w:themeFill="accent4" w:themeFillTint="75"/>
      </w:tcPr>
    </w:tblStylePr>
    <w:tblStylePr w:type="band1Vert">
      <w:tblPr/>
      <w:tcPr>
        <w:shd w:val="clear" w:color="FFE28A" w:fill="FFE28A" w:themeFill="accent4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firstRow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Col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FFC000" w:fill="FFC000" w:themeFill="accent4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5">
    <w:name w:val="Grid Table 5 Dark - Accent 5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B3D0EB" w:fill="B3D0EB" w:themeFill="accent5" w:themeFillTint="75"/>
      </w:tcPr>
    </w:tblStylePr>
    <w:tblStylePr w:type="band1Vert">
      <w:tblPr/>
      <w:tcPr>
        <w:shd w:val="clear" w:color="B3D0EB" w:fill="B3D0EB" w:themeFill="accent5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5B9BD5" w:fill="5B9BD5" w:themeFill="accent5"/>
      </w:tcPr>
    </w:tblStylePr>
    <w:tblStylePr w:type="firstRow">
      <w:rPr>
        <w:b/>
        <w:color w:val="FFFFFF"/>
        <w:sz w:val="22"/>
      </w:rPr>
      <w:tblPr/>
      <w:tcPr>
        <w:shd w:val="clear" w:color="5B9BD5" w:fill="5B9BD5" w:themeFill="accent5"/>
      </w:tcPr>
    </w:tblStylePr>
    <w:tblStylePr w:type="lastCol">
      <w:rPr>
        <w:b/>
        <w:color w:val="FFFFFF"/>
        <w:sz w:val="22"/>
      </w:rPr>
      <w:tblPr/>
      <w:tcPr>
        <w:shd w:val="clear" w:color="5B9BD5" w:fill="5B9BD5" w:themeFill="accent5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5B9BD5" w:fill="5B9BD5" w:themeFill="accent5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6">
    <w:name w:val="Grid Table 5 Dark - Accent 6"/>
    <w:basedOn w:val="1185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blPr/>
      <w:tcPr>
        <w:shd w:val="clear" w:color="BCDBA8" w:fill="BCDBA8" w:themeFill="accent6" w:themeFillTint="75"/>
      </w:tcPr>
    </w:tblStylePr>
    <w:tblStylePr w:type="band1Vert">
      <w:tblPr/>
      <w:tcPr>
        <w:shd w:val="clear" w:color="BCDBA8" w:fill="BCDBA8" w:themeFill="accent6" w:themeFillTint="75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firstRow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Col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b/>
        <w:color w:val="FFFFFF"/>
        <w:sz w:val="22"/>
      </w:rPr>
      <w:tblPr/>
      <w:tcPr>
        <w:tcBorders>
          <w:top w:val="single" w:color="FFFFFF" w:themeColor="light1" w:sz="4" w:space="0"/>
        </w:tcBorders>
        <w:shd w:val="clear" w:color="70AD47" w:fill="70AD47" w:themeFill="accent6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27">
    <w:name w:val="Grid Table 6 Colorful"/>
    <w:basedOn w:val="1185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1Vert">
      <w:tblPr/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  <w:tblPr/>
    </w:tblStylePr>
    <w:tblStylePr w:type="band2Vert">
      <w:tblPr/>
    </w:tblStylePr>
    <w:tblStylePr w:type="firstCol">
      <w:rPr>
        <w:b/>
        <w:color w:val="7F7F7F" w:themeColor="text1" w:themeTint="80" w:themeShade="95"/>
      </w:rPr>
      <w:tblPr/>
    </w:tblStylePr>
    <w:tblStylePr w:type="firstRow">
      <w:rPr>
        <w:b/>
        <w:color w:val="7F7F7F" w:themeColor="text1" w:themeTint="80" w:themeShade="95"/>
      </w:rPr>
      <w:tblPr/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  <w:tblPr/>
    </w:tblStylePr>
    <w:tblStylePr w:type="lastRow">
      <w:rPr>
        <w:b/>
        <w:color w:val="7F7F7F" w:themeColor="text1" w:themeTint="80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8">
    <w:name w:val="Grid Table 6 Colorful - Accent 1"/>
    <w:basedOn w:val="1185"/>
    <w:uiPriority w:val="99"/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color w:val="A0B7E1" w:themeColor="accent1" w:themeTint="80" w:themeShade="95"/>
        <w:sz w:val="22"/>
      </w:rPr>
      <w:tblPr/>
      <w:tcPr>
        <w:shd w:val="clear" w:color="D8E2F3" w:fill="D8E2F3" w:themeFill="accent1" w:themeFillTint="34"/>
      </w:tcPr>
    </w:tblStylePr>
    <w:tblStylePr w:type="band1Vert">
      <w:tblPr/>
      <w:tcPr>
        <w:shd w:val="clear" w:color="D8E2F3" w:fill="D8E2F3" w:themeFill="accent1" w:themeFillTint="34"/>
      </w:tcPr>
    </w:tblStylePr>
    <w:tblStylePr w:type="band2Horz">
      <w:rPr>
        <w:color w:val="A0B7E1" w:themeColor="accent1" w:themeTint="80" w:themeShade="95"/>
        <w:sz w:val="22"/>
      </w:rPr>
      <w:tblPr/>
    </w:tblStylePr>
    <w:tblStylePr w:type="band2Vert">
      <w:tblPr/>
    </w:tblStylePr>
    <w:tblStylePr w:type="firstCol">
      <w:rPr>
        <w:b/>
        <w:color w:val="A0B7E1" w:themeColor="accent1" w:themeTint="80" w:themeShade="95"/>
      </w:rPr>
      <w:tblPr/>
    </w:tblStylePr>
    <w:tblStylePr w:type="firstRow">
      <w:rPr>
        <w:b/>
        <w:color w:val="A0B7E1" w:themeColor="accent1" w:themeTint="80" w:themeShade="95"/>
      </w:rPr>
      <w:tblPr/>
      <w:tcPr>
        <w:tcBorders>
          <w:bottom w:val="single" w:color="4472C4" w:themeColor="accent1" w:sz="12" w:space="0"/>
        </w:tcBorders>
      </w:tcPr>
    </w:tblStylePr>
    <w:tblStylePr w:type="lastCol">
      <w:rPr>
        <w:b/>
        <w:color w:val="A0B7E1" w:themeColor="accent1" w:themeTint="80" w:themeShade="95"/>
      </w:rPr>
      <w:tblPr/>
    </w:tblStylePr>
    <w:tblStylePr w:type="lastRow">
      <w:rPr>
        <w:b/>
        <w:color w:val="A0B7E1" w:themeColor="accent1" w:themeTint="80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29">
    <w:name w:val="Grid Table 6 Colorful - Accent 2"/>
    <w:basedOn w:val="1185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1Vert">
      <w:tblPr/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  <w:tblPr/>
    </w:tblStylePr>
    <w:tblStylePr w:type="band2Vert">
      <w:tblPr/>
    </w:tblStylePr>
    <w:tblStylePr w:type="firstCol">
      <w:rPr>
        <w:b/>
        <w:color w:val="F4B184" w:themeColor="accent2" w:themeTint="97" w:themeShade="95"/>
      </w:rPr>
      <w:tblPr/>
    </w:tblStylePr>
    <w:tblStylePr w:type="firstRow">
      <w:rPr>
        <w:b/>
        <w:color w:val="F4B184" w:themeColor="accent2" w:themeTint="97" w:themeShade="95"/>
      </w:rPr>
      <w:tblPr/>
      <w:tcPr>
        <w:tcBorders>
          <w:bottom w:val="single" w:color="ED7D31" w:themeColor="accent2" w:sz="12" w:space="0"/>
        </w:tcBorders>
      </w:tcPr>
    </w:tblStylePr>
    <w:tblStylePr w:type="lastCol">
      <w:rPr>
        <w:b/>
        <w:color w:val="F4B184" w:themeColor="accent2" w:themeTint="97" w:themeShade="95"/>
      </w:rPr>
      <w:tblPr/>
    </w:tblStylePr>
    <w:tblStylePr w:type="lastRow">
      <w:rPr>
        <w:b/>
        <w:color w:val="F4B184" w:themeColor="accent2" w:themeTint="97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0">
    <w:name w:val="Grid Table 6 Colorful - Accent 3"/>
    <w:basedOn w:val="1185"/>
    <w:uiPriority w:val="99"/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1Vert">
      <w:tblPr/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  <w:tblPr/>
    </w:tblStylePr>
    <w:tblStylePr w:type="band2Vert">
      <w:tblPr/>
    </w:tblStylePr>
    <w:tblStylePr w:type="firstCol">
      <w:rPr>
        <w:b/>
        <w:color w:val="A5A5A5" w:themeColor="accent3" w:themeTint="fe" w:themeShade="95"/>
      </w:rPr>
      <w:tblPr/>
    </w:tblStylePr>
    <w:tblStylePr w:type="firstRow">
      <w:rPr>
        <w:b/>
        <w:color w:val="A5A5A5" w:themeColor="accent3" w:themeTint="fe" w:themeShade="95"/>
      </w:rPr>
      <w:tblPr/>
      <w:tcPr>
        <w:tcBorders>
          <w:bottom w:val="single" w:color="A5A5A5" w:themeColor="accent3" w:sz="12" w:space="0"/>
        </w:tcBorders>
      </w:tcPr>
    </w:tblStylePr>
    <w:tblStylePr w:type="lastCol">
      <w:rPr>
        <w:b/>
        <w:color w:val="A5A5A5" w:themeColor="accent3" w:themeTint="fe" w:themeShade="95"/>
      </w:rPr>
      <w:tblPr/>
    </w:tblStylePr>
    <w:tblStylePr w:type="lastRow">
      <w:rPr>
        <w:b/>
        <w:color w:val="A5A5A5" w:themeColor="accent3" w:themeTint="fe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1">
    <w:name w:val="Grid Table 6 Colorful - Accent 4"/>
    <w:basedOn w:val="1185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1Vert">
      <w:tblPr/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  <w:tblPr/>
    </w:tblStylePr>
    <w:tblStylePr w:type="band2Vert">
      <w:tblPr/>
    </w:tblStylePr>
    <w:tblStylePr w:type="firstCol">
      <w:rPr>
        <w:b/>
        <w:color w:val="FFD865" w:themeColor="accent4" w:themeTint="9a" w:themeShade="95"/>
      </w:rPr>
      <w:tblPr/>
    </w:tblStylePr>
    <w:tblStylePr w:type="firstRow">
      <w:rPr>
        <w:b/>
        <w:color w:val="FFD865" w:themeColor="accent4" w:themeTint="9a" w:themeShade="95"/>
      </w:rPr>
      <w:tblPr/>
      <w:tcPr>
        <w:tcBorders>
          <w:bottom w:val="single" w:color="FFC000" w:themeColor="accent4" w:sz="12" w:space="0"/>
        </w:tcBorders>
      </w:tcPr>
    </w:tblStylePr>
    <w:tblStylePr w:type="lastCol">
      <w:rPr>
        <w:b/>
        <w:color w:val="FFD865" w:themeColor="accent4" w:themeTint="9a" w:themeShade="95"/>
      </w:rPr>
      <w:tblPr/>
    </w:tblStylePr>
    <w:tblStylePr w:type="lastRow">
      <w:rPr>
        <w:b/>
        <w:color w:val="FFD865" w:themeColor="accent4" w:themeTint="9a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2">
    <w:name w:val="Grid Table 6 Colorful - Accent 5"/>
    <w:basedOn w:val="1185"/>
    <w:uiPriority w:val="99"/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color w:val="245A8D" w:themeColor="accent5" w:themeShade="95"/>
        <w:sz w:val="22"/>
      </w:rPr>
      <w:tblPr/>
      <w:tcPr>
        <w:shd w:val="clear" w:color="DDEAF6" w:fill="DDEAF6" w:themeFill="accent5" w:themeFillTint="34"/>
      </w:tcPr>
    </w:tblStylePr>
    <w:tblStylePr w:type="band1Vert">
      <w:tblPr/>
      <w:tcPr>
        <w:shd w:val="clear" w:color="DDEAF6" w:fill="DDEAF6" w:themeFill="accent5" w:themeFillTint="34"/>
      </w:tcPr>
    </w:tblStylePr>
    <w:tblStylePr w:type="band2Horz">
      <w:rPr>
        <w:color w:val="245A8D" w:themeColor="accent5" w:themeShade="95"/>
        <w:sz w:val="22"/>
      </w:rPr>
      <w:tblPr/>
    </w:tblStylePr>
    <w:tblStylePr w:type="band2Vert">
      <w:tblPr/>
    </w:tblStylePr>
    <w:tblStylePr w:type="firstCol">
      <w:rPr>
        <w:b/>
        <w:color w:val="245A8D" w:themeColor="accent5" w:themeShade="95"/>
      </w:rPr>
      <w:tblPr/>
    </w:tblStylePr>
    <w:tblStylePr w:type="firstRow">
      <w:rPr>
        <w:b/>
        <w:color w:val="245A8D" w:themeColor="accent5" w:themeShade="95"/>
      </w:rPr>
      <w:tblPr/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  <w:tblPr/>
    </w:tblStylePr>
    <w:tblStylePr w:type="lastRow">
      <w:rPr>
        <w:b/>
        <w:color w:val="245A8D" w:themeColor="accent5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3">
    <w:name w:val="Grid Table 6 Colorful - Accent 6"/>
    <w:basedOn w:val="1185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color w:val="245A8D" w:themeColor="accent5" w:themeShade="95"/>
        <w:sz w:val="22"/>
      </w:rPr>
      <w:tblPr/>
      <w:tcPr>
        <w:shd w:val="clear" w:color="E1EFD8" w:fill="E1EFD8" w:themeFill="accent6" w:themeFillTint="34"/>
      </w:tcPr>
    </w:tblStylePr>
    <w:tblStylePr w:type="band1Vert">
      <w:tblPr/>
      <w:tcPr>
        <w:shd w:val="clear" w:color="E1EFD8" w:fill="E1EFD8" w:themeFill="accent6" w:themeFillTint="34"/>
      </w:tcPr>
    </w:tblStylePr>
    <w:tblStylePr w:type="band2Horz">
      <w:rPr>
        <w:color w:val="245A8D" w:themeColor="accent5" w:themeShade="95"/>
        <w:sz w:val="22"/>
      </w:rPr>
      <w:tblPr/>
    </w:tblStylePr>
    <w:tblStylePr w:type="band2Vert">
      <w:tblPr/>
    </w:tblStylePr>
    <w:tblStylePr w:type="firstCol">
      <w:rPr>
        <w:b/>
        <w:color w:val="245A8D" w:themeColor="accent5" w:themeShade="95"/>
      </w:rPr>
      <w:tblPr/>
    </w:tblStylePr>
    <w:tblStylePr w:type="firstRow">
      <w:rPr>
        <w:b/>
        <w:color w:val="245A8D" w:themeColor="accent5" w:themeShade="95"/>
      </w:rPr>
      <w:tblPr/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  <w:tblPr/>
    </w:tblStylePr>
    <w:tblStylePr w:type="lastRow">
      <w:rPr>
        <w:b/>
        <w:color w:val="245A8D" w:themeColor="accent5" w:themeShade="95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34">
    <w:name w:val="Grid Table 7 Colorful"/>
    <w:basedOn w:val="1185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blPr/>
      <w:tcPr>
        <w:shd w:val="clear" w:color="F2F2F2" w:fill="F2F2F2" w:themeFill="text1" w:themeFillTint="0"/>
      </w:tcPr>
    </w:tblStylePr>
    <w:tblStylePr w:type="band1Vert">
      <w:tblPr/>
      <w:tcPr>
        <w:shd w:val="clear" w:color="F2F2F2" w:fill="F2F2F2" w:themeFill="text1" w:themeFillTint="0"/>
      </w:tcPr>
    </w:tblStylePr>
    <w:tblStylePr w:type="band2Horz">
      <w:rPr>
        <w:color w:val="7F7F7F" w:themeColor="text1" w:themeTint="80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4" w:space="0"/>
        </w:tcBorders>
        <w:shd w:val="clear" w:color="FFFFFF" w:fill="auto"/>
      </w:tcPr>
    </w:tblStylePr>
    <w:tblStylePr w:type="firstRow">
      <w:rPr>
        <w:b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single" w:color="000000" w:themeColor="tex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7F7F7F" w:themeColor="text1" w:themeTint="80" w:themeShade="95"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5">
    <w:name w:val="Grid Table 7 Colorful - Accent 1"/>
    <w:basedOn w:val="1185"/>
    <w:uiPriority w:val="99"/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color w:val="A0B7E1" w:themeColor="accent1" w:themeTint="80" w:themeShade="95"/>
        <w:sz w:val="22"/>
      </w:rPr>
      <w:tblPr/>
      <w:tcPr>
        <w:shd w:val="clear" w:color="D8E2F3" w:fill="D8E2F3" w:themeFill="accent1" w:themeFillTint="34"/>
      </w:tcPr>
    </w:tblStylePr>
    <w:tblStylePr w:type="band1Vert">
      <w:tblPr/>
      <w:tcPr>
        <w:shd w:val="clear" w:color="D8E2F3" w:fill="D8E2F3" w:themeFill="accent1" w:themeFillTint="34"/>
      </w:tcPr>
    </w:tblStylePr>
    <w:tblStylePr w:type="band2Horz">
      <w:rPr>
        <w:color w:val="A0B7E1" w:themeColor="accent1" w:themeTint="80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A0B7E1" w:themeColor="accen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1" w:sz="4" w:space="0"/>
        </w:tcBorders>
        <w:shd w:val="clear" w:color="FFFFFF" w:fill="auto"/>
      </w:tcPr>
    </w:tblStylePr>
    <w:tblStylePr w:type="firstRow">
      <w:rPr>
        <w:b/>
        <w:color w:val="A0B7E1" w:themeColor="accen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A0B7E1" w:themeColor="accent1" w:themeTint="80" w:themeShade="95"/>
        <w:sz w:val="22"/>
      </w:rPr>
      <w:tblPr/>
      <w:tcPr>
        <w:tcBorders>
          <w:top w:val="none" w:color="000000" w:sz="4" w:space="0"/>
          <w:left w:val="single" w:color="4472C4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A0B7E1" w:themeColor="accent1" w:themeTint="80" w:themeShade="95"/>
        <w:sz w:val="22"/>
      </w:rPr>
      <w:tblPr/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6">
    <w:name w:val="Grid Table 7 Colorful - Accent 2"/>
    <w:basedOn w:val="1185"/>
    <w:uiPriority w:val="99"/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1Vert">
      <w:tblPr/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ED7D31" w:themeColor="accent2" w:sz="4" w:space="0"/>
        </w:tcBorders>
        <w:shd w:val="clear" w:color="FFFFFF" w:fill="auto"/>
      </w:tcPr>
    </w:tblStylePr>
    <w:tblStylePr w:type="firstRow">
      <w:rPr>
        <w:b/>
        <w:color w:val="F4B184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color="000000" w:sz="4" w:space="0"/>
          <w:left w:val="single" w:color="ED7D31" w:themeColor="accent2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F4B184" w:themeColor="accent2" w:themeTint="97" w:themeShade="95"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7">
    <w:name w:val="Grid Table 7 Colorful - Accent 3"/>
    <w:basedOn w:val="1185"/>
    <w:uiPriority w:val="99"/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1Vert">
      <w:tblPr/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A5A5A5" w:themeColor="accent3" w:themeTint="fe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sz="4" w:space="0"/>
        </w:tcBorders>
        <w:shd w:val="clear" w:color="FFFFFF" w:fill="auto"/>
      </w:tcPr>
    </w:tblStylePr>
    <w:tblStylePr w:type="firstRow">
      <w:rPr>
        <w:b/>
        <w:color w:val="A5A5A5" w:themeColor="accent3" w:themeTint="fe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A5A5A5" w:themeColor="accent3" w:themeTint="fe" w:themeShade="95"/>
        <w:sz w:val="22"/>
      </w:rPr>
      <w:tblPr/>
      <w:tcPr>
        <w:tcBorders>
          <w:top w:val="none" w:color="000000" w:sz="4" w:space="0"/>
          <w:left w:val="single" w:color="A5A5A5" w:themeColor="accent3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A5A5A5" w:themeColor="accent3" w:themeTint="fe" w:themeShade="95"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8">
    <w:name w:val="Grid Table 7 Colorful - Accent 4"/>
    <w:basedOn w:val="1185"/>
    <w:uiPriority w:val="99"/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1Vert">
      <w:tblPr/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C000" w:themeColor="accent4" w:sz="4" w:space="0"/>
        </w:tcBorders>
        <w:shd w:val="clear" w:color="FFFFFF" w:fill="auto"/>
      </w:tcPr>
    </w:tblStylePr>
    <w:tblStylePr w:type="firstRow">
      <w:rPr>
        <w:b/>
        <w:color w:val="FFD865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color="000000" w:sz="4" w:space="0"/>
          <w:left w:val="single" w:color="FFC000" w:themeColor="accent4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FFD865" w:themeColor="accent4" w:themeTint="9a" w:themeShade="95"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39">
    <w:name w:val="Grid Table 7 Colorful - Accent 5"/>
    <w:basedOn w:val="1185"/>
    <w:uiPriority w:val="99"/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color w:val="245A8D" w:themeColor="accent5" w:themeShade="95"/>
        <w:sz w:val="22"/>
      </w:rPr>
      <w:tblPr/>
      <w:tcPr>
        <w:shd w:val="clear" w:color="DDEAF6" w:fill="DDEAF6" w:themeFill="accent5" w:themeFillTint="34"/>
      </w:tcPr>
    </w:tblStylePr>
    <w:tblStylePr w:type="band1Vert">
      <w:tblPr/>
      <w:tcPr>
        <w:shd w:val="clear" w:color="DDEAF6" w:fill="DDEAF6" w:themeFill="accent5" w:themeFillTint="34"/>
      </w:tcPr>
    </w:tblStylePr>
    <w:tblStylePr w:type="band2Horz">
      <w:rPr>
        <w:color w:val="245A8D" w:themeColor="accent5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245A8D" w:themeColor="accent5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5" w:sz="4" w:space="0"/>
        </w:tcBorders>
        <w:shd w:val="clear" w:color="FFFFFF" w:fill="auto"/>
      </w:tcPr>
    </w:tblStylePr>
    <w:tblStylePr w:type="firstRow">
      <w:rPr>
        <w:b/>
        <w:color w:val="245A8D" w:themeColor="accent5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245A8D" w:themeColor="accent5" w:themeShade="95"/>
        <w:sz w:val="22"/>
      </w:rPr>
      <w:tblPr/>
      <w:tcPr>
        <w:tcBorders>
          <w:top w:val="none" w:color="000000" w:sz="4" w:space="0"/>
          <w:left w:val="single" w:color="5B9BD5" w:themeColor="accent5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245A8D" w:themeColor="accent5" w:themeShade="95"/>
        <w:sz w:val="22"/>
      </w:rPr>
      <w:tblPr/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0">
    <w:name w:val="Grid Table 7 Colorful - Accent 6"/>
    <w:basedOn w:val="1185"/>
    <w:uiPriority w:val="99"/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color w:val="416429" w:themeColor="accent6" w:themeShade="95"/>
        <w:sz w:val="22"/>
      </w:rPr>
      <w:tblPr/>
      <w:tcPr>
        <w:shd w:val="clear" w:color="E1EFD8" w:fill="E1EFD8" w:themeFill="accent6" w:themeFillTint="34"/>
      </w:tcPr>
    </w:tblStylePr>
    <w:tblStylePr w:type="band1Vert">
      <w:tblPr/>
      <w:tcPr>
        <w:shd w:val="clear" w:color="E1EFD8" w:fill="E1EFD8" w:themeFill="accent6" w:themeFillTint="34"/>
      </w:tcPr>
    </w:tblStylePr>
    <w:tblStylePr w:type="band2Horz">
      <w:rPr>
        <w:color w:val="416429" w:themeColor="accent6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416429" w:themeColor="accent6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0AD47" w:themeColor="accent6" w:sz="4" w:space="0"/>
        </w:tcBorders>
        <w:shd w:val="clear" w:color="FFFFFF" w:fill="auto"/>
      </w:tcPr>
    </w:tblStylePr>
    <w:tblStylePr w:type="firstRow">
      <w:rPr>
        <w:b/>
        <w:color w:val="416429" w:themeColor="accent6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416429" w:themeColor="accent6" w:themeShade="95"/>
        <w:sz w:val="22"/>
      </w:rPr>
      <w:tblPr/>
      <w:tcPr>
        <w:tcBorders>
          <w:top w:val="none" w:color="000000" w:sz="4" w:space="0"/>
          <w:left w:val="single" w:color="70AD47" w:themeColor="accent6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16429" w:themeColor="accent6" w:themeShade="95"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41">
    <w:name w:val="List Table 1 Light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BFBFBF" w:fill="BFBFBF" w:themeFill="text1" w:themeFillTint="40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2">
    <w:name w:val="List Table 1 Light - Accent 1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CFDBF0" w:fill="CFDBF0" w:themeFill="accent1" w:themeFillTint="40"/>
      </w:tcPr>
    </w:tblStylePr>
    <w:tblStylePr w:type="band1Vert">
      <w:tblPr/>
      <w:tcPr>
        <w:shd w:val="clear" w:color="CFDBF0" w:fill="CFDBF0" w:themeFill="accent1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3">
    <w:name w:val="List Table 1 Light - Accent 2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FADECB" w:fill="FADECB" w:themeFill="accent2" w:themeFillTint="40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4">
    <w:name w:val="List Table 1 Light - Accent 3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E8E8E8" w:fill="E8E8E8" w:themeFill="accent3" w:themeFillTint="40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5">
    <w:name w:val="List Table 1 Light - Accent 4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FFEFBF" w:fill="FFEFBF" w:themeFill="accent4" w:themeFillTint="40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6">
    <w:name w:val="List Table 1 Light - Accent 5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D5E5F4" w:fill="D5E5F4" w:themeFill="accent5" w:themeFillTint="40"/>
      </w:tcPr>
    </w:tblStylePr>
    <w:tblStylePr w:type="band1Vert">
      <w:tblPr/>
      <w:tcPr>
        <w:shd w:val="clear" w:color="D5E5F4" w:fill="D5E5F4" w:themeFill="accent5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7">
    <w:name w:val="List Table 1 Light - Accent 6"/>
    <w:basedOn w:val="1185"/>
    <w:uiPriority w:val="99"/>
    <w:tblPr>
      <w:tblStyleRowBandSize w:val="1"/>
      <w:tblStyleColBandSize w:val="1"/>
    </w:tblPr>
    <w:tblStylePr w:type="band1Horz">
      <w:tblPr/>
      <w:tcPr>
        <w:shd w:val="clear" w:color="DAEBCF" w:fill="DAEBCF" w:themeFill="accent6" w:themeFillTint="40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404040"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48">
    <w:name w:val="List Table 2"/>
    <w:basedOn w:val="1185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49">
    <w:name w:val="List Table 2 - Accent 1"/>
    <w:basedOn w:val="1185"/>
    <w:uiPriority w:val="99"/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color w:val="404040"/>
        <w:sz w:val="22"/>
      </w:rPr>
      <w:tblPr/>
      <w:tcPr>
        <w:shd w:val="clear" w:color="CFDBF0" w:fill="CFDBF0" w:themeFill="accent1" w:themeFillTint="40"/>
      </w:tcPr>
    </w:tblStylePr>
    <w:tblStylePr w:type="band1Vert">
      <w:rPr>
        <w:color w:val="404040"/>
        <w:sz w:val="22"/>
      </w:rPr>
      <w:tblPr/>
      <w:tcPr>
        <w:shd w:val="clear" w:color="CFDBF0" w:fill="CFDBF0" w:themeFill="accent1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4472C4" w:themeColor="accent1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4472C4" w:themeColor="accent1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0">
    <w:name w:val="List Table 2 - Accent 2"/>
    <w:basedOn w:val="1185"/>
    <w:uiPriority w:val="99"/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Vert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1">
    <w:name w:val="List Table 2 - Accent 3"/>
    <w:basedOn w:val="1185"/>
    <w:uiPriority w:val="99"/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Vert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2">
    <w:name w:val="List Table 2 - Accent 4"/>
    <w:basedOn w:val="1185"/>
    <w:uiPriority w:val="99"/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Vert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3">
    <w:name w:val="List Table 2 - Accent 5"/>
    <w:basedOn w:val="1185"/>
    <w:uiPriority w:val="99"/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color w:val="404040"/>
        <w:sz w:val="22"/>
      </w:rPr>
      <w:tblPr/>
      <w:tcPr>
        <w:shd w:val="clear" w:color="D5E5F4" w:fill="D5E5F4" w:themeFill="accent5" w:themeFillTint="40"/>
      </w:tcPr>
    </w:tblStylePr>
    <w:tblStylePr w:type="band1Vert">
      <w:rPr>
        <w:color w:val="404040"/>
        <w:sz w:val="22"/>
      </w:rPr>
      <w:tblPr/>
      <w:tcPr>
        <w:shd w:val="clear" w:color="D5E5F4" w:fill="D5E5F4" w:themeFill="accent5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5B9BD5" w:themeColor="accent5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5B9BD5" w:themeColor="accent5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4">
    <w:name w:val="List Table 2 - Accent 6"/>
    <w:basedOn w:val="1185"/>
    <w:uiPriority w:val="99"/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Vert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  <w:sz w:val="22"/>
      </w:rPr>
      <w:tblPr/>
    </w:tblStylePr>
    <w:tblStylePr w:type="firstRow">
      <w:rPr>
        <w:b/>
        <w:color w:val="404040"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  <w:tblPr/>
    </w:tblStylePr>
    <w:tblStylePr w:type="lastRow">
      <w:rPr>
        <w:b/>
        <w:color w:val="404040"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55">
    <w:name w:val="List Table 3"/>
    <w:basedOn w:val="1185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6">
    <w:name w:val="List Table 3 - Accent 1"/>
    <w:basedOn w:val="1185"/>
    <w:uiPriority w:val="99"/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4472C4" w:fill="4472C4" w:themeFill="accent1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7">
    <w:name w:val="List Table 3 - Accent 2"/>
    <w:basedOn w:val="1185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ED7D31" w:themeColor="accent2" w:sz="4" w:space="0"/>
          <w:bottom w:val="single" w:color="ED7D31" w:themeColor="accent2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ED7D31" w:themeColor="accent2" w:sz="4" w:space="0"/>
          <w:right w:val="single" w:color="ED7D31" w:themeColor="accent2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8">
    <w:name w:val="List Table 3 - Accent 3"/>
    <w:basedOn w:val="1185"/>
    <w:uiPriority w:val="99"/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A5A5A5" w:themeColor="accent3" w:sz="4" w:space="0"/>
          <w:bottom w:val="single" w:color="A5A5A5" w:themeColor="accent3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A5A5A5" w:themeColor="accent3" w:sz="4" w:space="0"/>
          <w:right w:val="single" w:color="A5A5A5" w:themeColor="accent3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C9C9C9" w:fill="C9C9C9" w:themeFill="accent3" w:themeFillTint="98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59">
    <w:name w:val="List Table 3 - Accent 4"/>
    <w:basedOn w:val="1185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FFC000" w:themeColor="accent4" w:sz="4" w:space="0"/>
          <w:bottom w:val="single" w:color="FFC000" w:themeColor="accent4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FFC000" w:themeColor="accent4" w:sz="4" w:space="0"/>
          <w:right w:val="single" w:color="FFC000" w:themeColor="accent4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0">
    <w:name w:val="List Table 3 - Accent 5"/>
    <w:basedOn w:val="1185"/>
    <w:uiPriority w:val="99"/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5B9BD5" w:themeColor="accent5" w:sz="4" w:space="0"/>
          <w:bottom w:val="single" w:color="5B9BD5" w:themeColor="accent5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5B9BD5" w:themeColor="accent5" w:sz="4" w:space="0"/>
          <w:right w:val="single" w:color="5B9BD5" w:themeColor="accent5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9BC2E5" w:fill="9BC2E5" w:themeFill="accent5" w:themeFillTint="9a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1">
    <w:name w:val="List Table 3 - Accent 6"/>
    <w:basedOn w:val="1185"/>
    <w:uiPriority w:val="99"/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70AD47" w:themeColor="accent6" w:sz="4" w:space="0"/>
          <w:bottom w:val="single" w:color="70AD47" w:themeColor="accent6" w:sz="4" w:space="0"/>
        </w:tcBorders>
      </w:tcPr>
    </w:tblStylePr>
    <w:tblStylePr w:type="band1Vert">
      <w:rPr>
        <w:color w:val="404040"/>
        <w:sz w:val="22"/>
      </w:rPr>
      <w:tblPr/>
      <w:tcPr>
        <w:tcBorders>
          <w:left w:val="single" w:color="70AD47" w:themeColor="accent6" w:sz="4" w:space="0"/>
          <w:right w:val="single" w:color="70AD47" w:themeColor="accent6" w:sz="4" w:space="0"/>
        </w:tcBorders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A9D08E" w:fill="A9D08E" w:themeFill="accent6" w:themeFillTint="98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62">
    <w:name w:val="List Table 4"/>
    <w:basedOn w:val="1185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3">
    <w:name w:val="List Table 4 - Accent 1"/>
    <w:basedOn w:val="1185"/>
    <w:uiPriority w:val="99"/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color w:val="404040"/>
        <w:sz w:val="22"/>
      </w:rPr>
      <w:tblPr/>
      <w:tcPr>
        <w:shd w:val="clear" w:color="CFDBF0" w:fill="CFDBF0" w:themeFill="accent1" w:themeFillTint="40"/>
      </w:tcPr>
    </w:tblStylePr>
    <w:tblStylePr w:type="band1Vert">
      <w:rPr>
        <w:color w:val="404040"/>
        <w:sz w:val="22"/>
      </w:rPr>
      <w:tblPr/>
      <w:tcPr>
        <w:shd w:val="clear" w:color="CFDBF0" w:fill="CFDBF0" w:themeFill="accent1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4472C4" w:fill="4472C4" w:themeFill="accent1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4">
    <w:name w:val="List Table 4 - Accent 2"/>
    <w:basedOn w:val="1185"/>
    <w:uiPriority w:val="9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Vert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5">
    <w:name w:val="List Table 4 - Accent 3"/>
    <w:basedOn w:val="1185"/>
    <w:uiPriority w:val="9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Vert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6">
    <w:name w:val="List Table 4 - Accent 4"/>
    <w:basedOn w:val="1185"/>
    <w:uiPriority w:val="9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Vert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7">
    <w:name w:val="List Table 4 - Accent 5"/>
    <w:basedOn w:val="1185"/>
    <w:uiPriority w:val="99"/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color w:val="404040"/>
        <w:sz w:val="22"/>
      </w:rPr>
      <w:tblPr/>
      <w:tcPr>
        <w:shd w:val="clear" w:color="D5E5F4" w:fill="D5E5F4" w:themeFill="accent5" w:themeFillTint="40"/>
      </w:tcPr>
    </w:tblStylePr>
    <w:tblStylePr w:type="band1Vert">
      <w:rPr>
        <w:color w:val="404040"/>
        <w:sz w:val="22"/>
      </w:rPr>
      <w:tblPr/>
      <w:tcPr>
        <w:shd w:val="clear" w:color="D5E5F4" w:fill="D5E5F4" w:themeFill="accent5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5B9BD5" w:fill="5B9BD5" w:themeFill="accent5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68">
    <w:name w:val="List Table 4 - Accent 6"/>
    <w:basedOn w:val="1185"/>
    <w:uiPriority w:val="9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Vert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2Horz">
      <w:tblPr/>
    </w:tblStylePr>
    <w:tblStylePr w:type="band2Vert">
      <w:tblPr/>
    </w:tblStylePr>
    <w:tblStylePr w:type="firstCol">
      <w:rPr>
        <w:b/>
        <w:color w:val="404040"/>
      </w:rPr>
      <w:tblPr/>
    </w:tblStylePr>
    <w:tblStylePr w:type="firstRow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Col">
      <w:rPr>
        <w:b/>
        <w:color w:val="404040"/>
      </w:rPr>
      <w:tblPr/>
    </w:tblStylePr>
    <w:tblStylePr w:type="lastRow">
      <w:rPr>
        <w:b/>
        <w:color w:val="404040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69">
    <w:name w:val="List Table 5 Dark"/>
    <w:basedOn w:val="1185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fill="7F7F7F" w:themeFill="text1" w:themeFillTint="80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000000" w:themeColor="text1" w:sz="32" w:space="0"/>
          <w:bottom w:val="single" w:color="FFFFFF" w:themeColor="light1" w:sz="12" w:space="0"/>
        </w:tcBorders>
        <w:shd w:val="clear" w:color="7F7F7F" w:fill="7F7F7F" w:themeFill="text1" w:themeFillTint="80"/>
      </w:tcPr>
    </w:tblStylePr>
    <w:tblStylePr w:type="lastCol">
      <w:tblPr/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0">
    <w:name w:val="List Table 5 Dark - Accent 1"/>
    <w:basedOn w:val="1185"/>
    <w:uiPriority w:val="99"/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472C4" w:fill="4472C4" w:themeFill="accent1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4472C4" w:fill="4472C4" w:themeFill="accent1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472C4" w:fill="4472C4" w:themeFill="accent1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4472C4" w:themeColor="accent1" w:sz="32" w:space="0"/>
          <w:bottom w:val="single" w:color="FFFFFF" w:themeColor="light1" w:sz="12" w:space="0"/>
        </w:tcBorders>
        <w:shd w:val="clear" w:color="4472C4" w:fill="4472C4" w:themeFill="accent1"/>
      </w:tcPr>
    </w:tblStylePr>
    <w:tblStylePr w:type="lastCol">
      <w:tblPr/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1">
    <w:name w:val="List Table 5 Dark - Accent 2"/>
    <w:basedOn w:val="1185"/>
    <w:uiPriority w:val="99"/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4B184" w:fill="F4B184" w:themeFill="accent2" w:themeFillTint="97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4B184" w:fill="F4B184" w:themeFill="accent2" w:themeFillTint="97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4B184" w:fill="F4B184" w:themeFill="accent2" w:themeFillTint="97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ED7D31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ED7D31" w:themeColor="accent2" w:sz="32" w:space="0"/>
          <w:bottom w:val="single" w:color="FFFFFF" w:themeColor="light1" w:sz="12" w:space="0"/>
        </w:tcBorders>
        <w:shd w:val="clear" w:color="F4B184" w:fill="F4B184" w:themeFill="accent2" w:themeFillTint="97"/>
      </w:tcPr>
    </w:tblStylePr>
    <w:tblStylePr w:type="lastCol">
      <w:tblPr/>
      <w:tcPr>
        <w:tcBorders>
          <w:left w:val="single" w:color="FFFFFF" w:themeColor="light1" w:sz="4" w:space="0"/>
          <w:right w:val="single" w:color="ED7D31" w:themeColor="accent2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2">
    <w:name w:val="List Table 5 Dark - Accent 3"/>
    <w:basedOn w:val="1185"/>
    <w:uiPriority w:val="99"/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9C9C9" w:fill="C9C9C9" w:themeFill="accent3" w:themeFillTint="98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9C9C9" w:fill="C9C9C9" w:themeFill="accent3" w:themeFillTint="98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9C9C9" w:fill="C9C9C9" w:themeFill="accent3" w:themeFillTint="98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A5A5A5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A5A5A5" w:themeColor="accent3" w:sz="32" w:space="0"/>
          <w:bottom w:val="single" w:color="FFFFFF" w:themeColor="light1" w:sz="12" w:space="0"/>
        </w:tcBorders>
        <w:shd w:val="clear" w:color="C9C9C9" w:fill="C9C9C9" w:themeFill="accent3" w:themeFillTint="98"/>
      </w:tcPr>
    </w:tblStylePr>
    <w:tblStylePr w:type="lastCol">
      <w:tblPr/>
      <w:tcPr>
        <w:tcBorders>
          <w:left w:val="single" w:color="FFFFFF" w:themeColor="light1" w:sz="4" w:space="0"/>
          <w:right w:val="single" w:color="A5A5A5" w:themeColor="accent3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3">
    <w:name w:val="List Table 5 Dark - Accent 4"/>
    <w:basedOn w:val="1185"/>
    <w:uiPriority w:val="99"/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FD865" w:fill="FFD865" w:themeFill="accent4" w:themeFillTint="9a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FD865" w:fill="FFD865" w:themeFill="accent4" w:themeFillTint="9a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FD865" w:fill="FFD865" w:themeFill="accent4" w:themeFillTint="9a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FFC000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FFC000" w:themeColor="accent4" w:sz="32" w:space="0"/>
          <w:bottom w:val="single" w:color="FFFFFF" w:themeColor="light1" w:sz="12" w:space="0"/>
        </w:tcBorders>
        <w:shd w:val="clear" w:color="FFD865" w:fill="FFD865" w:themeFill="accent4" w:themeFillTint="9a"/>
      </w:tcPr>
    </w:tblStylePr>
    <w:tblStylePr w:type="lastCol">
      <w:tblPr/>
      <w:tcPr>
        <w:tcBorders>
          <w:left w:val="single" w:color="FFFFFF" w:themeColor="light1" w:sz="4" w:space="0"/>
          <w:right w:val="single" w:color="FFC000" w:themeColor="accent4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4">
    <w:name w:val="List Table 5 Dark - Accent 5"/>
    <w:basedOn w:val="1185"/>
    <w:uiPriority w:val="99"/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BC2E5" w:fill="9BC2E5" w:themeFill="accent5" w:themeFillTint="9a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9BC2E5" w:fill="9BC2E5" w:themeFill="accent5" w:themeFillTint="9a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BC2E5" w:fill="9BC2E5" w:themeFill="accent5" w:themeFillTint="9a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5B9BD5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5B9BD5" w:themeColor="accent5" w:sz="32" w:space="0"/>
          <w:bottom w:val="single" w:color="FFFFFF" w:themeColor="light1" w:sz="12" w:space="0"/>
        </w:tcBorders>
        <w:shd w:val="clear" w:color="9BC2E5" w:fill="9BC2E5" w:themeFill="accent5" w:themeFillTint="9a"/>
      </w:tcPr>
    </w:tblStylePr>
    <w:tblStylePr w:type="lastCol">
      <w:tblPr/>
      <w:tcPr>
        <w:tcBorders>
          <w:left w:val="single" w:color="FFFFFF" w:themeColor="light1" w:sz="4" w:space="0"/>
          <w:right w:val="single" w:color="5B9BD5" w:themeColor="accent5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5">
    <w:name w:val="List Table 5 Dark - Accent 6"/>
    <w:basedOn w:val="1185"/>
    <w:uiPriority w:val="99"/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</w:tbl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A9D08E" w:fill="A9D08E" w:themeFill="accent6" w:themeFillTint="98"/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A9D08E" w:fill="A9D08E" w:themeFill="accent6" w:themeFillTint="98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A9D08E" w:fill="A9D08E" w:themeFill="accent6" w:themeFillTint="98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blPr/>
      <w:tcPr>
        <w:tcBorders>
          <w:left w:val="single" w:color="70AD47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blPr/>
      <w:tcPr>
        <w:tcBorders>
          <w:top w:val="single" w:color="70AD47" w:themeColor="accent6" w:sz="32" w:space="0"/>
          <w:bottom w:val="single" w:color="FFFFFF" w:themeColor="light1" w:sz="12" w:space="0"/>
        </w:tcBorders>
        <w:shd w:val="clear" w:color="A9D08E" w:fill="A9D08E" w:themeFill="accent6" w:themeFillTint="98"/>
      </w:tcPr>
    </w:tblStylePr>
    <w:tblStylePr w:type="lastCol">
      <w:tblPr/>
      <w:tcPr>
        <w:tcBorders>
          <w:left w:val="single" w:color="FFFFFF" w:themeColor="light1" w:sz="4" w:space="0"/>
          <w:right w:val="single" w:color="70AD47" w:themeColor="accent6" w:sz="32" w:space="0"/>
        </w:tcBorders>
      </w:tcPr>
    </w:tblStylePr>
    <w:tblStylePr w:type="lastRow">
      <w:rPr>
        <w:b/>
        <w:color w:val="FFFFFF" w:themeColor="light1"/>
        <w:sz w:val="22"/>
      </w:rPr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76">
    <w:name w:val="List Table 6 Colorful"/>
    <w:basedOn w:val="1185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  <w:tblPr/>
    </w:tblStylePr>
    <w:tblStylePr w:type="band2Vert">
      <w:tblPr/>
    </w:tblStylePr>
    <w:tblStylePr w:type="firstCol">
      <w:rPr>
        <w:b/>
        <w:color w:val="000000" w:themeColor="text1"/>
      </w:rPr>
      <w:tblPr/>
    </w:tblStylePr>
    <w:tblStylePr w:type="firstRow">
      <w:rPr>
        <w:b/>
        <w:color w:val="000000" w:themeColor="text1"/>
      </w:rPr>
      <w:tblPr/>
      <w:tcPr>
        <w:tcBorders>
          <w:bottom w:val="single" w:color="000000" w:themeColor="text1" w:sz="4" w:space="0"/>
        </w:tcBorders>
      </w:tcPr>
    </w:tblStylePr>
    <w:tblStylePr w:type="lastCol">
      <w:rPr>
        <w:b/>
        <w:color w:val="000000" w:themeColor="text1"/>
      </w:rPr>
      <w:tblPr/>
    </w:tblStylePr>
    <w:tblStylePr w:type="lastRow">
      <w:rPr>
        <w:b/>
        <w:color w:val="000000" w:themeColor="text1"/>
      </w:rPr>
      <w:tblPr/>
      <w:tcPr>
        <w:tcBorders>
          <w:top w:val="single" w:color="000000" w:themeColor="text1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7">
    <w:name w:val="List Table 6 Colorful - Accent 1"/>
    <w:basedOn w:val="1185"/>
    <w:uiPriority w:val="99"/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blStylePr w:type="band1Horz">
      <w:rPr>
        <w:color w:val="254175" w:themeColor="accent1" w:themeShade="95"/>
        <w:sz w:val="22"/>
      </w:rPr>
      <w:tblPr/>
      <w:tcPr>
        <w:shd w:val="clear" w:color="CFDBF0" w:fill="CFDBF0" w:themeFill="accent1" w:themeFillTint="40"/>
      </w:tcPr>
    </w:tblStylePr>
    <w:tblStylePr w:type="band1Vert">
      <w:tblPr/>
      <w:tcPr>
        <w:shd w:val="clear" w:color="CFDBF0" w:fill="CFDBF0" w:themeFill="accent1" w:themeFillTint="40"/>
      </w:tcPr>
    </w:tblStylePr>
    <w:tblStylePr w:type="band2Horz">
      <w:rPr>
        <w:color w:val="254175" w:themeColor="accent1" w:themeShade="95"/>
        <w:sz w:val="22"/>
      </w:rPr>
      <w:tblPr/>
    </w:tblStylePr>
    <w:tblStylePr w:type="band2Vert">
      <w:tblPr/>
    </w:tblStylePr>
    <w:tblStylePr w:type="firstCol">
      <w:rPr>
        <w:b/>
        <w:color w:val="254175" w:themeColor="accent1" w:themeShade="95"/>
      </w:rPr>
      <w:tblPr/>
    </w:tblStylePr>
    <w:tblStylePr w:type="firstRow">
      <w:rPr>
        <w:b/>
        <w:color w:val="254175" w:themeColor="accent1" w:themeShade="95"/>
      </w:rPr>
      <w:tblPr/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  <w:tblPr/>
    </w:tblStylePr>
    <w:tblStylePr w:type="lastRow">
      <w:rPr>
        <w:b/>
        <w:color w:val="254175" w:themeColor="accent1" w:themeShade="95"/>
      </w:rPr>
      <w:tblPr/>
      <w:tcPr>
        <w:tcBorders>
          <w:top w:val="single" w:color="4472C4" w:themeColor="accent1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8">
    <w:name w:val="List Table 6 Colorful - Accent 2"/>
    <w:basedOn w:val="1185"/>
    <w:uiPriority w:val="99"/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  <w:tblPr/>
    </w:tblStylePr>
    <w:tblStylePr w:type="band2Vert">
      <w:tblPr/>
    </w:tblStylePr>
    <w:tblStylePr w:type="firstCol">
      <w:rPr>
        <w:b/>
        <w:color w:val="F4B184" w:themeColor="accent2" w:themeTint="97" w:themeShade="95"/>
      </w:rPr>
      <w:tblPr/>
    </w:tblStylePr>
    <w:tblStylePr w:type="firstRow">
      <w:rPr>
        <w:b/>
        <w:color w:val="F4B184" w:themeColor="accent2" w:themeTint="97" w:themeShade="95"/>
      </w:rPr>
      <w:tblPr/>
      <w:tcPr>
        <w:tcBorders>
          <w:bottom w:val="single" w:color="ED7D31" w:themeColor="accent2" w:sz="4" w:space="0"/>
        </w:tcBorders>
      </w:tcPr>
    </w:tblStylePr>
    <w:tblStylePr w:type="lastCol">
      <w:rPr>
        <w:b/>
        <w:color w:val="F4B184" w:themeColor="accent2" w:themeTint="97" w:themeShade="95"/>
      </w:rPr>
      <w:tblPr/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color="ED7D31" w:themeColor="accent2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79">
    <w:name w:val="List Table 6 Colorful - Accent 3"/>
    <w:basedOn w:val="1185"/>
    <w:uiPriority w:val="99"/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  <w:tblPr/>
    </w:tblStylePr>
    <w:tblStylePr w:type="band2Vert">
      <w:tblPr/>
    </w:tblStylePr>
    <w:tblStylePr w:type="firstCol">
      <w:rPr>
        <w:b/>
        <w:color w:val="C9C9C9" w:themeColor="accent3" w:themeTint="98" w:themeShade="95"/>
      </w:rPr>
      <w:tblPr/>
    </w:tblStylePr>
    <w:tblStylePr w:type="firstRow">
      <w:rPr>
        <w:b/>
        <w:color w:val="C9C9C9" w:themeColor="accent3" w:themeTint="98" w:themeShade="95"/>
      </w:rPr>
      <w:tblPr/>
      <w:tcPr>
        <w:tcBorders>
          <w:bottom w:val="single" w:color="A5A5A5" w:themeColor="accent3" w:sz="4" w:space="0"/>
        </w:tcBorders>
      </w:tcPr>
    </w:tblStylePr>
    <w:tblStylePr w:type="lastCol">
      <w:rPr>
        <w:b/>
        <w:color w:val="C9C9C9" w:themeColor="accent3" w:themeTint="98" w:themeShade="95"/>
      </w:rPr>
      <w:tblPr/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color="A5A5A5" w:themeColor="accent3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0">
    <w:name w:val="List Table 6 Colorful - Accent 4"/>
    <w:basedOn w:val="1185"/>
    <w:uiPriority w:val="99"/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  <w:tblPr/>
    </w:tblStylePr>
    <w:tblStylePr w:type="band2Vert">
      <w:tblPr/>
    </w:tblStylePr>
    <w:tblStylePr w:type="firstCol">
      <w:rPr>
        <w:b/>
        <w:color w:val="FFD865" w:themeColor="accent4" w:themeTint="9a" w:themeShade="95"/>
      </w:rPr>
      <w:tblPr/>
    </w:tblStylePr>
    <w:tblStylePr w:type="firstRow">
      <w:rPr>
        <w:b/>
        <w:color w:val="FFD865" w:themeColor="accent4" w:themeTint="9a" w:themeShade="95"/>
      </w:rPr>
      <w:tblPr/>
      <w:tcPr>
        <w:tcBorders>
          <w:bottom w:val="single" w:color="FFC000" w:themeColor="accent4" w:sz="4" w:space="0"/>
        </w:tcBorders>
      </w:tcPr>
    </w:tblStylePr>
    <w:tblStylePr w:type="lastCol">
      <w:rPr>
        <w:b/>
        <w:color w:val="FFD865" w:themeColor="accent4" w:themeTint="9a" w:themeShade="95"/>
      </w:rPr>
      <w:tblPr/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color="FFC000" w:themeColor="accent4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1">
    <w:name w:val="List Table 6 Colorful - Accent 5"/>
    <w:basedOn w:val="1185"/>
    <w:uiPriority w:val="99"/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blStylePr w:type="band1Horz">
      <w:rPr>
        <w:color w:val="9BC2E5" w:themeColor="accent5" w:themeTint="9a" w:themeShade="95"/>
        <w:sz w:val="22"/>
      </w:rPr>
      <w:tblPr/>
      <w:tcPr>
        <w:shd w:val="clear" w:color="D5E5F4" w:fill="D5E5F4" w:themeFill="accent5" w:themeFillTint="40"/>
      </w:tcPr>
    </w:tblStylePr>
    <w:tblStylePr w:type="band1Vert">
      <w:tblPr/>
      <w:tcPr>
        <w:shd w:val="clear" w:color="D5E5F4" w:fill="D5E5F4" w:themeFill="accent5" w:themeFillTint="40"/>
      </w:tcPr>
    </w:tblStylePr>
    <w:tblStylePr w:type="band2Horz">
      <w:rPr>
        <w:color w:val="9BC2E5" w:themeColor="accent5" w:themeTint="9a" w:themeShade="95"/>
        <w:sz w:val="22"/>
      </w:rPr>
      <w:tblPr/>
    </w:tblStylePr>
    <w:tblStylePr w:type="band2Vert">
      <w:tblPr/>
    </w:tblStylePr>
    <w:tblStylePr w:type="firstCol">
      <w:rPr>
        <w:b/>
        <w:color w:val="9BC2E5" w:themeColor="accent5" w:themeTint="9a" w:themeShade="95"/>
      </w:rPr>
      <w:tblPr/>
    </w:tblStylePr>
    <w:tblStylePr w:type="firstRow">
      <w:rPr>
        <w:b/>
        <w:color w:val="9BC2E5" w:themeColor="accent5" w:themeTint="9a" w:themeShade="95"/>
      </w:rPr>
      <w:tblPr/>
      <w:tcPr>
        <w:tcBorders>
          <w:bottom w:val="single" w:color="5B9BD5" w:themeColor="accent5" w:sz="4" w:space="0"/>
        </w:tcBorders>
      </w:tcPr>
    </w:tblStylePr>
    <w:tblStylePr w:type="lastCol">
      <w:rPr>
        <w:b/>
        <w:color w:val="9BC2E5" w:themeColor="accent5" w:themeTint="9a" w:themeShade="95"/>
      </w:rPr>
      <w:tblPr/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color="5B9BD5" w:themeColor="accent5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2">
    <w:name w:val="List Table 6 Colorful - Accent 6"/>
    <w:basedOn w:val="1185"/>
    <w:uiPriority w:val="99"/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  <w:tblPr/>
    </w:tblStylePr>
    <w:tblStylePr w:type="band2Vert">
      <w:tblPr/>
    </w:tblStylePr>
    <w:tblStylePr w:type="firstCol">
      <w:rPr>
        <w:b/>
        <w:color w:val="A9D08E" w:themeColor="accent6" w:themeTint="98" w:themeShade="95"/>
      </w:rPr>
      <w:tblPr/>
    </w:tblStylePr>
    <w:tblStylePr w:type="firstRow">
      <w:rPr>
        <w:b/>
        <w:color w:val="A9D08E" w:themeColor="accent6" w:themeTint="98" w:themeShade="95"/>
      </w:rPr>
      <w:tblPr/>
      <w:tcPr>
        <w:tcBorders>
          <w:bottom w:val="single" w:color="70AD47" w:themeColor="accent6" w:sz="4" w:space="0"/>
        </w:tcBorders>
      </w:tcPr>
    </w:tblStylePr>
    <w:tblStylePr w:type="lastCol">
      <w:rPr>
        <w:b/>
        <w:color w:val="A9D08E" w:themeColor="accent6" w:themeTint="98" w:themeShade="95"/>
      </w:rPr>
      <w:tblPr/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color="70AD47" w:themeColor="accent6" w:sz="4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283">
    <w:name w:val="List Table 7 Colorful"/>
    <w:basedOn w:val="1185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4" w:space="0"/>
        </w:tcBorders>
        <w:shd w:val="clear" w:color="FFFFFF" w:fill="auto"/>
      </w:tcPr>
    </w:tblStylePr>
    <w:tblStylePr w:type="firstRow"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color="000000" w:sz="4" w:space="0"/>
          <w:left w:val="single" w:color="000000" w:themeColor="tex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7F7F7F" w:themeColor="text1" w:themeTint="80" w:themeShade="95"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4">
    <w:name w:val="List Table 7 Colorful - Accent 1"/>
    <w:basedOn w:val="1185"/>
    <w:uiPriority w:val="99"/>
    <w:tblPr>
      <w:tblStyleRowBandSize w:val="1"/>
      <w:tblStyleColBandSize w:val="1"/>
      <w:tblBorders>
        <w:right w:val="single" w:color="4472C4" w:themeColor="accent1" w:sz="4" w:space="0"/>
      </w:tblBorders>
    </w:tblPr>
    <w:tblStylePr w:type="band1Horz">
      <w:rPr>
        <w:color w:val="254175" w:themeColor="accent1" w:themeShade="95"/>
        <w:sz w:val="22"/>
      </w:rPr>
      <w:tblPr/>
      <w:tcPr>
        <w:shd w:val="clear" w:color="CFDBF0" w:fill="CFDBF0" w:themeFill="accent1" w:themeFillTint="40"/>
      </w:tcPr>
    </w:tblStylePr>
    <w:tblStylePr w:type="band1Vert">
      <w:tblPr/>
      <w:tcPr>
        <w:shd w:val="clear" w:color="CFDBF0" w:fill="CFDBF0" w:themeFill="accent1" w:themeFillTint="40"/>
      </w:tcPr>
    </w:tblStylePr>
    <w:tblStylePr w:type="band2Horz">
      <w:rPr>
        <w:color w:val="254175" w:themeColor="accent1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254175" w:themeColor="accent1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1" w:sz="4" w:space="0"/>
        </w:tcBorders>
        <w:shd w:val="clear" w:color="FFFFFF" w:fill="auto"/>
      </w:tcPr>
    </w:tblStylePr>
    <w:tblStylePr w:type="firstRow">
      <w:rPr>
        <w:i/>
        <w:color w:val="254175" w:themeColor="accent1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254175" w:themeColor="accent1" w:themeShade="95"/>
        <w:sz w:val="22"/>
      </w:rPr>
      <w:tblPr/>
      <w:tcPr>
        <w:tcBorders>
          <w:top w:val="none" w:color="000000" w:sz="4" w:space="0"/>
          <w:left w:val="single" w:color="4472C4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254175" w:themeColor="accent1" w:themeShade="95"/>
        <w:sz w:val="22"/>
      </w:rPr>
      <w:tblPr/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5">
    <w:name w:val="List Table 7 Colorful - Accent 2"/>
    <w:basedOn w:val="1185"/>
    <w:uiPriority w:val="99"/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ED7D31" w:themeColor="accent2" w:sz="4" w:space="0"/>
        </w:tcBorders>
        <w:shd w:val="clear" w:color="FFFFFF" w:fill="auto"/>
      </w:tcPr>
    </w:tblStylePr>
    <w:tblStylePr w:type="firstRow">
      <w:rPr>
        <w:i/>
        <w:color w:val="F4B184"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color="000000" w:sz="4" w:space="0"/>
          <w:left w:val="single" w:color="ED7D31" w:themeColor="accent2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F4B184" w:themeColor="accent2" w:themeTint="97" w:themeShade="95"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6">
    <w:name w:val="List Table 7 Colorful - Accent 3"/>
    <w:basedOn w:val="1185"/>
    <w:uiPriority w:val="99"/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C9C9C9" w:themeColor="accent3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sz="4" w:space="0"/>
        </w:tcBorders>
        <w:shd w:val="clear" w:color="FFFFFF" w:fill="auto"/>
      </w:tcPr>
    </w:tblStylePr>
    <w:tblStylePr w:type="firstRow">
      <w:rPr>
        <w:i/>
        <w:color w:val="C9C9C9" w:themeColor="accent3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C9C9C9" w:themeColor="accent3" w:themeTint="98" w:themeShade="95"/>
        <w:sz w:val="22"/>
      </w:rPr>
      <w:tblPr/>
      <w:tcPr>
        <w:tcBorders>
          <w:top w:val="none" w:color="000000" w:sz="4" w:space="0"/>
          <w:left w:val="single" w:color="A5A5A5" w:themeColor="accent3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C9C9C9" w:themeColor="accent3" w:themeTint="98" w:themeShade="95"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7">
    <w:name w:val="List Table 7 Colorful - Accent 4"/>
    <w:basedOn w:val="1185"/>
    <w:uiPriority w:val="99"/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C000" w:themeColor="accent4" w:sz="4" w:space="0"/>
        </w:tcBorders>
        <w:shd w:val="clear" w:color="FFFFFF" w:fill="auto"/>
      </w:tcPr>
    </w:tblStylePr>
    <w:tblStylePr w:type="firstRow">
      <w:rPr>
        <w:i/>
        <w:color w:val="FFD865"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color="000000" w:sz="4" w:space="0"/>
          <w:left w:val="single" w:color="FFC000" w:themeColor="accent4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FFD865" w:themeColor="accent4" w:themeTint="9a" w:themeShade="95"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8">
    <w:name w:val="List Table 7 Colorful - Accent 5"/>
    <w:basedOn w:val="1185"/>
    <w:uiPriority w:val="99"/>
    <w:tblPr>
      <w:tblStyleRowBandSize w:val="1"/>
      <w:tblStyleColBandSize w:val="1"/>
      <w:tblBorders>
        <w:right w:val="single" w:color="9BC2E5" w:themeColor="accent5" w:themeTint="9a" w:sz="4" w:space="0"/>
      </w:tblBorders>
    </w:tblPr>
    <w:tblStylePr w:type="band1Horz">
      <w:rPr>
        <w:color w:val="9BC2E5" w:themeColor="accent5" w:themeTint="9a" w:themeShade="95"/>
        <w:sz w:val="22"/>
      </w:rPr>
      <w:tblPr/>
      <w:tcPr>
        <w:shd w:val="clear" w:color="D5E5F4" w:fill="D5E5F4" w:themeFill="accent5" w:themeFillTint="40"/>
      </w:tcPr>
    </w:tblStylePr>
    <w:tblStylePr w:type="band1Vert">
      <w:tblPr/>
      <w:tcPr>
        <w:shd w:val="clear" w:color="D5E5F4" w:fill="D5E5F4" w:themeFill="accent5" w:themeFillTint="40"/>
      </w:tcPr>
    </w:tblStylePr>
    <w:tblStylePr w:type="band2Horz">
      <w:rPr>
        <w:color w:val="9BC2E5" w:themeColor="accent5" w:themeTint="9a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9BC2E5" w:themeColor="accent5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5" w:sz="4" w:space="0"/>
        </w:tcBorders>
        <w:shd w:val="clear" w:color="FFFFFF" w:fill="auto"/>
      </w:tcPr>
    </w:tblStylePr>
    <w:tblStylePr w:type="firstRow">
      <w:rPr>
        <w:i/>
        <w:color w:val="9BC2E5" w:themeColor="accent5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9BC2E5" w:themeColor="accent5" w:themeTint="9a" w:themeShade="95"/>
        <w:sz w:val="22"/>
      </w:rPr>
      <w:tblPr/>
      <w:tcPr>
        <w:tcBorders>
          <w:top w:val="none" w:color="000000" w:sz="4" w:space="0"/>
          <w:left w:val="single" w:color="5B9BD5" w:themeColor="accent5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9BC2E5" w:themeColor="accent5" w:themeTint="9a" w:themeShade="95"/>
        <w:sz w:val="22"/>
      </w:rPr>
      <w:tblPr/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89">
    <w:name w:val="List Table 7 Colorful - Accent 6"/>
    <w:basedOn w:val="1185"/>
    <w:uiPriority w:val="99"/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  <w:tblPr/>
    </w:tblStylePr>
    <w:tblStylePr w:type="band2Vert">
      <w:tblPr/>
    </w:tblStylePr>
    <w:tblStylePr w:type="firstCol">
      <w:pPr>
        <w:jc w:val="right"/>
      </w:pPr>
      <w:rPr>
        <w:i/>
        <w:color w:val="A9D08E" w:themeColor="accent6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0AD47" w:themeColor="accent6" w:sz="4" w:space="0"/>
        </w:tcBorders>
        <w:shd w:val="clear" w:color="FFFFFF" w:fill="auto"/>
      </w:tcPr>
    </w:tblStylePr>
    <w:tblStylePr w:type="firstRow">
      <w:rPr>
        <w:i/>
        <w:color w:val="A9D08E" w:themeColor="accent6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  <w:shd w:val="clear" w:color="FFFFFF" w:fill="FFFFFF" w:themeFill="light1"/>
      </w:tcPr>
    </w:tblStylePr>
    <w:tblStylePr w:type="lastCol">
      <w:rPr>
        <w:i/>
        <w:color w:val="A9D08E" w:themeColor="accent6" w:themeTint="98" w:themeShade="95"/>
        <w:sz w:val="22"/>
      </w:rPr>
      <w:tblPr/>
      <w:tcPr>
        <w:tcBorders>
          <w:top w:val="none" w:color="000000" w:sz="4" w:space="0"/>
          <w:left w:val="single" w:color="70AD47" w:themeColor="accent6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A9D08E" w:themeColor="accent6" w:themeTint="98" w:themeShade="95"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0">
    <w:name w:val="Lined - Accent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1">
    <w:name w:val="Lined - Accent 1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C4D2EC" w:fill="C4D2EC" w:themeFill="accent1" w:themeFillTint="50"/>
      </w:tcPr>
    </w:tblStylePr>
    <w:tblStylePr w:type="band2Vert">
      <w:rPr>
        <w:color w:val="404040"/>
        <w:sz w:val="22"/>
      </w:rPr>
      <w:tblPr/>
      <w:tcPr>
        <w:shd w:val="clear" w:color="C4D2EC" w:fill="C4D2EC" w:themeFill="accent1" w:themeFillTint="50"/>
      </w:tcPr>
    </w:tblStylePr>
    <w:tblStylePr w:type="firstCol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firstRow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2">
    <w:name w:val="Lined - Accent 2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2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fir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3">
    <w:name w:val="Lined - Accent 3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2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fir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4">
    <w:name w:val="Lined - Accent 4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2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fir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5">
    <w:name w:val="Lined - Accent 5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2Vert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firstCol">
      <w:rPr>
        <w:color w:val="F2F2F2"/>
        <w:sz w:val="22"/>
      </w:rPr>
      <w:tblPr/>
      <w:tcPr>
        <w:shd w:val="clear" w:color="5B9BD5" w:fill="5B9BD5" w:themeFill="accent5"/>
      </w:tcPr>
    </w:tblStylePr>
    <w:tblStylePr w:type="firstRow">
      <w:rPr>
        <w:color w:val="F2F2F2"/>
        <w:sz w:val="22"/>
      </w:rPr>
      <w:tblPr/>
      <w:tcPr>
        <w:shd w:val="clear" w:color="5B9BD5" w:fill="5B9BD5" w:themeFill="accent5"/>
      </w:tcPr>
    </w:tblStylePr>
    <w:tblStylePr w:type="lastCol">
      <w:rPr>
        <w:color w:val="F2F2F2"/>
        <w:sz w:val="22"/>
      </w:rPr>
      <w:tblPr/>
      <w:tcPr>
        <w:shd w:val="clear" w:color="5B9BD5" w:fill="5B9BD5" w:themeFill="accent5"/>
      </w:tcPr>
    </w:tblStylePr>
    <w:tblStylePr w:type="lastRow">
      <w:rPr>
        <w:color w:val="F2F2F2"/>
        <w:sz w:val="22"/>
      </w:rPr>
      <w:tblPr/>
      <w:tcPr>
        <w:shd w:val="clear" w:color="5B9BD5" w:fill="5B9BD5" w:themeFill="accent5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6">
    <w:name w:val="Lined - Accent 6"/>
    <w:basedOn w:val="1185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2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firstCol">
      <w:rPr>
        <w:color w:val="F2F2F2"/>
        <w:sz w:val="22"/>
      </w:rPr>
      <w:tblPr/>
      <w:tcPr>
        <w:shd w:val="clear" w:color="70AD47" w:fill="70AD47" w:themeFill="accent6"/>
      </w:tcPr>
    </w:tblStylePr>
    <w:tblStylePr w:type="firstRow">
      <w:rPr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color w:val="F2F2F2"/>
        <w:sz w:val="22"/>
      </w:rPr>
      <w:tblPr/>
      <w:tcPr>
        <w:shd w:val="clear" w:color="70AD47" w:fill="70AD47" w:themeFill="accent6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7">
    <w:name w:val="Bordered &amp; Lined - Accent"/>
    <w:basedOn w:val="1185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8">
    <w:name w:val="Bordered &amp; Lined - Accent 1"/>
    <w:basedOn w:val="1185"/>
    <w:uiPriority w:val="99"/>
    <w:rPr>
      <w:color w:val="404040"/>
    </w:r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  <w:insideH w:val="single" w:color="4472C4" w:themeColor="accent1" w:sz="4" w:space="0"/>
        <w:insideV w:val="single" w:color="4472C4" w:themeColor="accent1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C4D2EC" w:fill="C4D2EC" w:themeFill="accent1" w:themeFillTint="50"/>
      </w:tcPr>
    </w:tblStylePr>
    <w:tblStylePr w:type="band2Vert">
      <w:rPr>
        <w:color w:val="404040"/>
        <w:sz w:val="22"/>
      </w:rPr>
      <w:tblPr/>
      <w:tcPr>
        <w:shd w:val="clear" w:color="C4D2EC" w:fill="C4D2EC" w:themeFill="accent1" w:themeFillTint="50"/>
      </w:tcPr>
    </w:tblStylePr>
    <w:tblStylePr w:type="firstCol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firstRow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37DC8" w:fill="537DC8" w:themeFill="accent1" w:themeFillTint="ea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299">
    <w:name w:val="Bordered &amp; Lined - Accent 2"/>
    <w:basedOn w:val="1185"/>
    <w:uiPriority w:val="99"/>
    <w:rPr>
      <w:color w:val="404040"/>
    </w:rPr>
    <w:tblPr>
      <w:tblStyleRowBandSize w:val="1"/>
      <w:tblStyleColBandSize w:val="1"/>
      <w:tblBorders>
        <w:top w:val="single" w:color="ED7D31" w:themeColor="accent2" w:sz="4" w:space="0"/>
        <w:left w:val="single" w:color="ED7D31" w:themeColor="accent2" w:sz="4" w:space="0"/>
        <w:bottom w:val="single" w:color="ED7D31" w:themeColor="accent2" w:sz="4" w:space="0"/>
        <w:right w:val="single" w:color="ED7D31" w:themeColor="accent2" w:sz="4" w:space="0"/>
        <w:insideH w:val="single" w:color="ED7D31" w:themeColor="accent2" w:sz="4" w:space="0"/>
        <w:insideV w:val="single" w:color="ED7D31" w:themeColor="accent2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2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fir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0">
    <w:name w:val="Bordered &amp; Lined - Accent 3"/>
    <w:basedOn w:val="1185"/>
    <w:uiPriority w:val="99"/>
    <w:rPr>
      <w:color w:val="404040"/>
    </w:rPr>
    <w:tblPr>
      <w:tblStyleRowBandSize w:val="1"/>
      <w:tblStyleColBandSize w:val="1"/>
      <w:tblBorders>
        <w:top w:val="single" w:color="A5A5A5" w:themeColor="accent3" w:sz="4" w:space="0"/>
        <w:left w:val="single" w:color="A5A5A5" w:themeColor="accent3" w:sz="4" w:space="0"/>
        <w:bottom w:val="single" w:color="A5A5A5" w:themeColor="accent3" w:sz="4" w:space="0"/>
        <w:right w:val="single" w:color="A5A5A5" w:themeColor="accent3" w:sz="4" w:space="0"/>
        <w:insideH w:val="single" w:color="A5A5A5" w:themeColor="accent3" w:sz="4" w:space="0"/>
        <w:insideV w:val="single" w:color="A5A5A5" w:themeColor="accent3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2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fir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1">
    <w:name w:val="Bordered &amp; Lined - Accent 4"/>
    <w:basedOn w:val="1185"/>
    <w:uiPriority w:val="99"/>
    <w:rPr>
      <w:color w:val="404040"/>
    </w:rPr>
    <w:tblPr>
      <w:tblStyleRowBandSize w:val="1"/>
      <w:tblStyleColBandSize w:val="1"/>
      <w:tblBorders>
        <w:top w:val="single" w:color="FFC000" w:themeColor="accent4" w:sz="4" w:space="0"/>
        <w:left w:val="single" w:color="FFC000" w:themeColor="accent4" w:sz="4" w:space="0"/>
        <w:bottom w:val="single" w:color="FFC000" w:themeColor="accent4" w:sz="4" w:space="0"/>
        <w:right w:val="single" w:color="FFC000" w:themeColor="accent4" w:sz="4" w:space="0"/>
        <w:insideH w:val="single" w:color="FFC000" w:themeColor="accent4" w:sz="4" w:space="0"/>
        <w:insideV w:val="single" w:color="FFC000" w:themeColor="accent4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2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fir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2">
    <w:name w:val="Bordered &amp; Lined - Accent 5"/>
    <w:basedOn w:val="1185"/>
    <w:uiPriority w:val="99"/>
    <w:rPr>
      <w:color w:val="404040"/>
    </w:r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band2Vert">
      <w:rPr>
        <w:color w:val="404040"/>
        <w:sz w:val="22"/>
      </w:rPr>
      <w:tblPr/>
      <w:tcPr>
        <w:shd w:val="clear" w:color="DDEAF6" w:fill="DDEAF6" w:themeFill="accent5" w:themeFillTint="34"/>
      </w:tcPr>
    </w:tblStylePr>
    <w:tblStylePr w:type="firstCol">
      <w:rPr>
        <w:color w:val="F2F2F2"/>
        <w:sz w:val="22"/>
      </w:rPr>
      <w:tblPr/>
      <w:tcPr>
        <w:shd w:val="clear" w:color="5B9BD5" w:fill="5B9BD5" w:themeFill="accent5"/>
      </w:tcPr>
    </w:tblStylePr>
    <w:tblStylePr w:type="firstRow">
      <w:rPr>
        <w:color w:val="F2F2F2"/>
        <w:sz w:val="22"/>
      </w:rPr>
      <w:tblPr/>
      <w:tcPr>
        <w:shd w:val="clear" w:color="5B9BD5" w:fill="5B9BD5" w:themeFill="accent5"/>
      </w:tcPr>
    </w:tblStylePr>
    <w:tblStylePr w:type="lastCol">
      <w:rPr>
        <w:color w:val="F2F2F2"/>
        <w:sz w:val="22"/>
      </w:rPr>
      <w:tblPr/>
      <w:tcPr>
        <w:shd w:val="clear" w:color="5B9BD5" w:fill="5B9BD5" w:themeFill="accent5"/>
      </w:tcPr>
    </w:tblStylePr>
    <w:tblStylePr w:type="lastRow">
      <w:rPr>
        <w:color w:val="F2F2F2"/>
        <w:sz w:val="22"/>
      </w:rPr>
      <w:tblPr/>
      <w:tcPr>
        <w:shd w:val="clear" w:color="5B9BD5" w:fill="5B9BD5" w:themeFill="accent5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3">
    <w:name w:val="Bordered &amp; Lined - Accent 6"/>
    <w:basedOn w:val="1185"/>
    <w:uiPriority w:val="99"/>
    <w:rPr>
      <w:color w:val="404040"/>
    </w:r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color w:val="404040"/>
        <w:sz w:val="22"/>
      </w:rPr>
      <w:tblPr/>
    </w:tblStylePr>
    <w:tblStylePr w:type="band1Vert">
      <w:rPr>
        <w:color w:val="404040"/>
        <w:sz w:val="22"/>
      </w:rPr>
      <w:tblPr/>
    </w:tblStylePr>
    <w:tblStylePr w:type="band2Horz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2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firstCol">
      <w:rPr>
        <w:color w:val="F2F2F2"/>
        <w:sz w:val="22"/>
      </w:rPr>
      <w:tblPr/>
      <w:tcPr>
        <w:shd w:val="clear" w:color="70AD47" w:fill="70AD47" w:themeFill="accent6"/>
      </w:tcPr>
    </w:tblStylePr>
    <w:tblStylePr w:type="firstRow">
      <w:rPr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color w:val="F2F2F2"/>
        <w:sz w:val="22"/>
      </w:rPr>
      <w:tblPr/>
      <w:tcPr>
        <w:shd w:val="clear" w:color="70AD47" w:fill="70AD47" w:themeFill="accent6"/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4">
    <w:name w:val="Bordered"/>
    <w:basedOn w:val="1185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000000" w:themeColor="text1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000000" w:themeColor="text1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000000" w:themeColor="text1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5">
    <w:name w:val="Bordered - Accent 1"/>
    <w:basedOn w:val="1185"/>
    <w:uiPriority w:val="99"/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4472C4" w:themeColor="accent1" w:sz="4" w:space="0"/>
          <w:left w:val="single" w:color="4472C4" w:themeColor="accent1" w:sz="4" w:space="0"/>
          <w:bottom w:val="single" w:color="4472C4" w:themeColor="accent1" w:sz="4" w:space="0"/>
          <w:right w:val="single" w:color="4472C4" w:themeColor="accent1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4472C4" w:themeColor="accent1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4472C4" w:themeColor="accent1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4472C4" w:themeColor="accent1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6">
    <w:name w:val="Bordered - Accent 2"/>
    <w:basedOn w:val="1185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ED7D31" w:themeColor="accent2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ED7D31" w:themeColor="accent2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ED7D31" w:themeColor="accent2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7">
    <w:name w:val="Bordered - Accent 3"/>
    <w:basedOn w:val="1185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A5A5A5" w:themeColor="accent3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A5A5A5" w:themeColor="accent3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A5A5A5" w:themeColor="accent3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8">
    <w:name w:val="Bordered - Accent 4"/>
    <w:basedOn w:val="1185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FFC000" w:themeColor="accent4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FFC000" w:themeColor="accent4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FFC000" w:themeColor="accent4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09">
    <w:name w:val="Bordered - Accent 5"/>
    <w:basedOn w:val="1185"/>
    <w:uiPriority w:val="99"/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5B9BD5" w:themeColor="accent5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5B9BD5" w:themeColor="accent5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5B9BD5" w:themeColor="accent5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10">
    <w:name w:val="Bordered - Accent 6"/>
    <w:basedOn w:val="1185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color w:val="404040"/>
        <w:sz w:val="22"/>
      </w:rPr>
      <w:tblPr/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rPr>
        <w:color w:val="404040"/>
        <w:sz w:val="22"/>
      </w:rPr>
      <w:tblPr/>
    </w:tblStylePr>
    <w:tblStylePr w:type="firstRow">
      <w:rPr>
        <w:color w:val="404040"/>
        <w:sz w:val="22"/>
      </w:rPr>
      <w:tblPr/>
      <w:tcPr>
        <w:tcBorders>
          <w:bottom w:val="single" w:color="70AD47" w:themeColor="accent6" w:sz="12" w:space="0"/>
        </w:tcBorders>
      </w:tcPr>
    </w:tblStylePr>
    <w:tblStylePr w:type="lastCol">
      <w:rPr>
        <w:color w:val="404040"/>
        <w:sz w:val="22"/>
      </w:rPr>
      <w:tblPr/>
      <w:tcPr>
        <w:tcBorders>
          <w:left w:val="single" w:color="70AD47" w:themeColor="accent6" w:sz="12" w:space="0"/>
        </w:tcBorders>
      </w:tcPr>
    </w:tblStylePr>
    <w:tblStylePr w:type="lastRow">
      <w:rPr>
        <w:color w:val="404040"/>
        <w:sz w:val="22"/>
      </w:rPr>
      <w:tblPr/>
      <w:tcPr>
        <w:tcBorders>
          <w:top w:val="single" w:color="70AD47" w:themeColor="accent6" w:sz="12" w:space="0"/>
        </w:tcBorders>
      </w:tcPr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styleId="1311">
    <w:name w:val="Table Grid"/>
    <w:basedOn w:val="1185"/>
    <w:uiPriority w:val="3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blStylePr w:type="band1Horz">
      <w:tblPr/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tblPr/>
    </w:tblStylePr>
    <w:tblStylePr w:type="firstRow">
      <w:tblPr/>
    </w:tblStylePr>
    <w:tblStylePr w:type="lastCol">
      <w:tblPr/>
    </w:tblStylePr>
    <w:tblStylePr w:type="lastRow"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  <w:style w:type="table" w:customStyle="1" w:styleId="1312">
    <w:name w:val="Сетка таблицы1"/>
    <w:basedOn w:val="1185"/>
    <w:uiPriority w:val="39"/>
    <w:rPr>
      <w:rFonts w:asciiTheme="minorHAnsi" w:hAnsiTheme="minorHAnsi" w:eastAsiaTheme="minorHAnsi" w:cstheme="minorBidi"/>
      <w:lang w:eastAsia="en-US"/>
      <w:sz w:val="24"/>
      <w:szCs w:val="24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blStylePr w:type="band1Horz">
      <w:tblPr/>
    </w:tblStylePr>
    <w:tblStylePr w:type="band1Vert">
      <w:tblPr/>
    </w:tblStylePr>
    <w:tblStylePr w:type="band2Horz">
      <w:tblPr/>
    </w:tblStylePr>
    <w:tblStylePr w:type="band2Vert">
      <w:tblPr/>
    </w:tblStylePr>
    <w:tblStylePr w:type="firstCol">
      <w:tblPr/>
    </w:tblStylePr>
    <w:tblStylePr w:type="firstRow">
      <w:tblPr/>
    </w:tblStylePr>
    <w:tblStylePr w:type="lastCol">
      <w:tblPr/>
    </w:tblStylePr>
    <w:tblStylePr w:type="lastRow">
      <w:tblPr/>
    </w:tblStylePr>
    <w:tblStylePr w:type="nwCell">
      <w:tblPr/>
    </w:tblStylePr>
    <w:tblStylePr w:type="neCell">
      <w:tblPr/>
    </w:tblStylePr>
    <w:tblStylePr w:type="swCell">
      <w:tblPr/>
    </w:tblStylePr>
    <w:tblStylePr w:type="seCell">
      <w:tblPr/>
    </w:tblStylePr>
    <w:tblStylePr w:type="wholeTable">
      <w:tblPr/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header" Target="header4.xml"/><Relationship Id="rId6" Type="http://schemas.openxmlformats.org/officeDocument/2006/relationships/header" Target="header5.xml"/><Relationship Id="rId7" Type="http://schemas.openxmlformats.org/officeDocument/2006/relationships/header" Target="header6.xml"/><Relationship Id="rId8" Type="http://schemas.openxmlformats.org/officeDocument/2006/relationships/header" Target="header7.xml"/><Relationship Id="rId9" Type="http://schemas.openxmlformats.org/officeDocument/2006/relationships/image" Target="media/image1.jpeg"/><Relationship Id="rId10" Type="http://schemas.openxmlformats.org/officeDocument/2006/relationships/header" Target="header8.xml"/><Relationship Id="rId11" Type="http://schemas.openxmlformats.org/officeDocument/2006/relationships/header" Target="header9.xml"/><Relationship Id="rId12" Type="http://schemas.openxmlformats.org/officeDocument/2006/relationships/image" Target="media/image2.jpeg"/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image" Target="media/image5.jpeg"/><Relationship Id="rId16" Type="http://schemas.openxmlformats.org/officeDocument/2006/relationships/image" Target="media/image6.jpeg"/><Relationship Id="rId17" Type="http://schemas.openxmlformats.org/officeDocument/2006/relationships/header" Target="header10.xml"/><Relationship Id="rId18" Type="http://schemas.openxmlformats.org/officeDocument/2006/relationships/header" Target="header11.xml"/><Relationship Id="rId19" Type="http://schemas.openxmlformats.org/officeDocument/2006/relationships/header" Target="header12.xml"/><Relationship Id="rId20" Type="http://schemas.openxmlformats.org/officeDocument/2006/relationships/image" Target="media/image7.jpeg"/><Relationship Id="rId21" Type="http://schemas.openxmlformats.org/officeDocument/2006/relationships/image" Target="media/image8.jpeg"/><Relationship Id="rId22" Type="http://schemas.openxmlformats.org/officeDocument/2006/relationships/image" Target="media/image9.jpeg"/><Relationship Id="rId23" Type="http://schemas.openxmlformats.org/officeDocument/2006/relationships/image" Target="media/image10.jpeg"/><Relationship Id="rId24" Type="http://schemas.openxmlformats.org/officeDocument/2006/relationships/image" Target="media/image5.jpeg"/><Relationship Id="rId25" Type="http://schemas.openxmlformats.org/officeDocument/2006/relationships/image" Target="media/image6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9.jpeg"/><Relationship Id="rId29" Type="http://schemas.openxmlformats.org/officeDocument/2006/relationships/image" Target="media/image10.jpeg"/><Relationship Id="rId30" Type="http://schemas.openxmlformats.org/officeDocument/2006/relationships/image" Target="media/image5.jpeg"/><Relationship Id="rId31" Type="http://schemas.openxmlformats.org/officeDocument/2006/relationships/image" Target="media/image6.jpeg"/><Relationship Id="rId32" Type="http://schemas.openxmlformats.org/officeDocument/2006/relationships/image" Target="media/image13.jpeg"/><Relationship Id="rId33" Type="http://schemas.openxmlformats.org/officeDocument/2006/relationships/image" Target="media/image14.jpeg"/><Relationship Id="rId34" Type="http://schemas.openxmlformats.org/officeDocument/2006/relationships/image" Target="media/image14.jpeg"/><Relationship Id="rId35" Type="http://schemas.openxmlformats.org/officeDocument/2006/relationships/image" Target="media/image15.jpeg"/><Relationship Id="rId36" Type="http://schemas.openxmlformats.org/officeDocument/2006/relationships/image" Target="media/image16.jpeg"/><Relationship Id="rId37" Type="http://schemas.openxmlformats.org/officeDocument/2006/relationships/image" Target="media/image17.jpeg"/><Relationship Id="rId38" Type="http://schemas.openxmlformats.org/officeDocument/2006/relationships/image" Target="media/image18.jpeg"/><Relationship Id="rId39" Type="http://schemas.openxmlformats.org/officeDocument/2006/relationships/image" Target="media/image19.jpeg"/><Relationship Id="rId40" Type="http://schemas.openxmlformats.org/officeDocument/2006/relationships/image" Target="media/image20.jpeg"/><Relationship Id="rId41" Type="http://schemas.openxmlformats.org/officeDocument/2006/relationships/image" Target="media/image21.jpeg"/><Relationship Id="rId42" Type="http://schemas.openxmlformats.org/officeDocument/2006/relationships/image" Target="media/image22.jpeg"/><Relationship Id="rId43" Type="http://schemas.openxmlformats.org/officeDocument/2006/relationships/image" Target="media/image23.jpeg"/><Relationship Id="rId44" Type="http://schemas.openxmlformats.org/officeDocument/2006/relationships/image" Target="media/image24.jpeg"/><Relationship Id="rId45" Type="http://schemas.openxmlformats.org/officeDocument/2006/relationships/image" Target="media/image25.jpeg"/><Relationship Id="rId46" Type="http://schemas.openxmlformats.org/officeDocument/2006/relationships/image" Target="media/image26.jpeg"/><Relationship Id="rId47" Type="http://schemas.openxmlformats.org/officeDocument/2006/relationships/image" Target="media/image21.jpeg"/><Relationship Id="rId48" Type="http://schemas.openxmlformats.org/officeDocument/2006/relationships/image" Target="media/image22.jpeg"/><Relationship Id="rId49" Type="http://schemas.openxmlformats.org/officeDocument/2006/relationships/image" Target="media/image23.jpeg"/><Relationship Id="rId50" Type="http://schemas.openxmlformats.org/officeDocument/2006/relationships/image" Target="media/image24.jpeg"/><Relationship Id="rId51" Type="http://schemas.openxmlformats.org/officeDocument/2006/relationships/image" Target="media/image27.jpeg"/><Relationship Id="rId52" Type="http://schemas.openxmlformats.org/officeDocument/2006/relationships/image" Target="media/image28.jpeg"/><Relationship Id="rId53" Type="http://schemas.openxmlformats.org/officeDocument/2006/relationships/image" Target="media/image29.jpeg"/><Relationship Id="rId54" Type="http://schemas.openxmlformats.org/officeDocument/2006/relationships/image" Target="media/image30.jpeg"/><Relationship Id="rId55" Type="http://schemas.openxmlformats.org/officeDocument/2006/relationships/image" Target="media/image31.jpeg"/><Relationship Id="rId56" Type="http://schemas.openxmlformats.org/officeDocument/2006/relationships/image" Target="media/image32.jpeg"/><Relationship Id="rId57" Type="http://schemas.openxmlformats.org/officeDocument/2006/relationships/image" Target="media/image33.jpeg"/><Relationship Id="rId58" Type="http://schemas.openxmlformats.org/officeDocument/2006/relationships/image" Target="media/image34.jpeg"/><Relationship Id="rId59" Type="http://schemas.openxmlformats.org/officeDocument/2006/relationships/image" Target="media/image35.jpeg"/><Relationship Id="rId60" Type="http://schemas.openxmlformats.org/officeDocument/2006/relationships/image" Target="media/image36.jpeg"/><Relationship Id="rId61" Type="http://schemas.openxmlformats.org/officeDocument/2006/relationships/image" Target="media/image37.jpeg"/><Relationship Id="rId62" Type="http://schemas.openxmlformats.org/officeDocument/2006/relationships/image" Target="media/image38.jpeg"/><Relationship Id="rId63" Type="http://schemas.openxmlformats.org/officeDocument/2006/relationships/image" Target="media/image39.png"/><Relationship Id="rId64" Type="http://schemas.openxmlformats.org/officeDocument/2006/relationships/image" Target="media/image40.png"/><Relationship Id="rId65" Type="http://schemas.openxmlformats.org/officeDocument/2006/relationships/image" Target="media/image41.png"/><Relationship Id="rId66" Type="http://schemas.openxmlformats.org/officeDocument/2006/relationships/image" Target="media/image42.png"/><Relationship Id="rId67" Type="http://schemas.openxmlformats.org/officeDocument/2006/relationships/image" Target="media/image43.png"/><Relationship Id="rId68" Type="http://schemas.openxmlformats.org/officeDocument/2006/relationships/image" Target="media/image44.png"/><Relationship Id="rId69" Type="http://schemas.openxmlformats.org/officeDocument/2006/relationships/image" Target="media/image45.jpeg"/><Relationship Id="rId70" Type="http://schemas.openxmlformats.org/officeDocument/2006/relationships/image" Target="media/image46.jpeg"/><Relationship Id="rId71" Type="http://schemas.openxmlformats.org/officeDocument/2006/relationships/image" Target="media/image47.jpeg"/><Relationship Id="rId72" Type="http://schemas.openxmlformats.org/officeDocument/2006/relationships/image" Target="media/image48.jpeg"/><Relationship Id="rId73" Type="http://schemas.openxmlformats.org/officeDocument/2006/relationships/image" Target="media/image49.jpeg"/><Relationship Id="rId74" Type="http://schemas.openxmlformats.org/officeDocument/2006/relationships/image" Target="media/image47.jpeg"/><Relationship Id="rId75" Type="http://schemas.openxmlformats.org/officeDocument/2006/relationships/image" Target="media/image50.jpeg"/><Relationship Id="rId76" Type="http://schemas.openxmlformats.org/officeDocument/2006/relationships/image" Target="media/image51.jpeg"/><Relationship Id="rId77" Type="http://schemas.openxmlformats.org/officeDocument/2006/relationships/image" Target="media/image47.jpeg"/><Relationship Id="rId78" Type="http://schemas.openxmlformats.org/officeDocument/2006/relationships/image" Target="media/image52.jpeg"/><Relationship Id="rId79" Type="http://schemas.openxmlformats.org/officeDocument/2006/relationships/image" Target="media/image53.jpeg"/><Relationship Id="rId80" Type="http://schemas.openxmlformats.org/officeDocument/2006/relationships/image" Target="media/image54.jpeg"/><Relationship Id="rId81" Type="http://schemas.openxmlformats.org/officeDocument/2006/relationships/header" Target="header13.xml"/><Relationship Id="rId82" Type="http://schemas.openxmlformats.org/officeDocument/2006/relationships/header" Target="header14.xml"/><Relationship Id="rId83" Type="http://schemas.openxmlformats.org/officeDocument/2006/relationships/numbering" Target="numbering.xml"/><Relationship Id="rId84" Type="http://schemas.openxmlformats.org/officeDocument/2006/relationships/fontTable" Target="fontTable.xml"/><Relationship Id="rId85" Type="http://schemas.openxmlformats.org/officeDocument/2006/relationships/settings" Target="settings.xml"/><Relationship Id="rId86" Type="http://schemas.openxmlformats.org/officeDocument/2006/relationships/theme" Target="theme/theme1.xml"/><Relationship Id="rId8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FE02F4-D1E1-4833-A14A-3876DEEFA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Application>AlterOffice/3.4.0.8$Linux_X86_64 LibreOffice_project/8f3f3c847f0b8d6fea24e251d3d8ed4f23cbe23c</Application>
  <AppVersion>15.0000</AppVersion>
  <Pages>188</Pages>
  <Words>45757</Words>
  <Characters>303175</Characters>
  <CharactersWithSpaces>339109</CharactersWithSpaces>
  <Paragraphs>10663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2025-09-23T05:31:00Z</dcterms:created>
  <dc:creator>Быстров Олег Геннадьевич</dc:creator>
  <dc:description/>
  <dc:language>ru-RU</dc:language>
  <cp:lastModifiedBy>zakharovav@sed.local</cp:lastModifiedBy>
  <dcterms:modified xsi:type="dcterms:W3CDTF">2026-05-14T16:55:47Z</dcterms:modified>
  <cp:revision>22</cp:revision>
  <dc:subject/>
  <dc:title>Российское открытое акционерное общество энергетики и электрификации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