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252" w:type="dxa"/>
        <w:jc w:val="start"/>
        <w:tblInd w:w="3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24"/>
        <w:gridCol w:w="2264"/>
        <w:gridCol w:w="581"/>
        <w:gridCol w:w="1276"/>
        <w:gridCol w:w="1275"/>
        <w:gridCol w:w="9331"/>
      </w:tblGrid>
      <w:tr>
        <w:trPr>
          <w:trHeight w:val="2063" w:hRule="atLeast"/>
        </w:trPr>
        <w:tc>
          <w:tcPr>
            <w:tcW w:w="15251" w:type="dxa"/>
            <w:gridSpan w:val="6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ind w:end="4614"/>
              <w:jc w:val="center"/>
              <w:rPr>
                <w:rFonts w:ascii="Times New Roman" w:hAnsi="Times New Roman"/>
                <w:b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Техническое задание</w:t>
            </w:r>
          </w:p>
          <w:p>
            <w:pPr>
              <w:pStyle w:val="Normal"/>
              <w:spacing w:lineRule="auto" w:line="230"/>
              <w:jc w:val="center"/>
              <w:rPr>
                <w:rFonts w:ascii="Times New Roman" w:hAnsi="Times New Roman"/>
                <w:b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</w:r>
          </w:p>
          <w:p>
            <w:pPr>
              <w:pStyle w:val="Normal"/>
              <w:spacing w:lineRule="auto" w:line="230"/>
              <w:ind w:end="4614"/>
              <w:jc w:val="center"/>
              <w:rPr>
                <w:rFonts w:ascii="Times New Roman" w:hAnsi="Times New Roman"/>
                <w:b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на оказание услуг по технической поддержке и сопровождению специального программного обеспечения государственной информационной системы - системы обеспечения вызова экстренных оперативных служб по единому номеру «112» на территории Республики Алтай</w:t>
            </w:r>
          </w:p>
          <w:p>
            <w:pPr>
              <w:pStyle w:val="Normal"/>
              <w:spacing w:lineRule="auto" w:line="230"/>
              <w:jc w:val="center"/>
              <w:rPr>
                <w:rFonts w:ascii="Times New Roman" w:hAnsi="Times New Roman"/>
                <w:b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</w:r>
          </w:p>
        </w:tc>
      </w:tr>
      <w:tr>
        <w:trPr>
          <w:trHeight w:val="545" w:hRule="atLeast"/>
        </w:trPr>
        <w:tc>
          <w:tcPr>
            <w:tcW w:w="524" w:type="dxa"/>
            <w:tcBorders>
              <w:top w:val="single" w:sz="4" w:space="0" w:color="000000"/>
              <w:bottom w:val="single" w:sz="4" w:space="0" w:color="000000"/>
            </w:tcBorders>
            <w:tcMar>
              <w:top w:w="29" w:type="dxa"/>
            </w:tcMar>
          </w:tcPr>
          <w:p>
            <w:pPr>
              <w:pStyle w:val="Normal"/>
              <w:spacing w:lineRule="auto" w:line="230"/>
              <w:jc w:val="center"/>
              <w:rPr>
                <w:rFonts w:ascii="Times New Roman" w:hAnsi="Times New Roman"/>
                <w:b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№</w:t>
            </w:r>
          </w:p>
        </w:tc>
        <w:tc>
          <w:tcPr>
            <w:tcW w:w="2264" w:type="dxa"/>
            <w:tcBorders>
              <w:top w:val="single" w:sz="4" w:space="0" w:color="000000"/>
              <w:bottom w:val="single" w:sz="4" w:space="0" w:color="000000"/>
            </w:tcBorders>
            <w:tcMar>
              <w:top w:w="29" w:type="dxa"/>
            </w:tcMar>
          </w:tcPr>
          <w:p>
            <w:pPr>
              <w:pStyle w:val="Normal"/>
              <w:spacing w:lineRule="auto" w:line="230"/>
              <w:rPr>
                <w:rFonts w:ascii="Times New Roman" w:hAnsi="Times New Roman"/>
                <w:b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Наименование</w:t>
            </w: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  <w:tcMar>
              <w:top w:w="29" w:type="dxa"/>
            </w:tcMar>
          </w:tcPr>
          <w:p>
            <w:pPr>
              <w:pStyle w:val="Normal"/>
              <w:spacing w:lineRule="auto" w:line="230"/>
              <w:rPr>
                <w:rFonts w:ascii="Times New Roman" w:hAnsi="Times New Roman"/>
                <w:b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29" w:type="dxa"/>
            </w:tcMar>
          </w:tcPr>
          <w:p>
            <w:pPr>
              <w:pStyle w:val="Normal"/>
              <w:spacing w:lineRule="auto" w:line="230"/>
              <w:rPr>
                <w:rFonts w:ascii="Times New Roman" w:hAnsi="Times New Roman"/>
                <w:b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29" w:type="dxa"/>
            </w:tcMar>
          </w:tcPr>
          <w:p>
            <w:pPr>
              <w:pStyle w:val="Normal"/>
              <w:spacing w:lineRule="auto" w:line="230"/>
              <w:rPr>
                <w:rFonts w:ascii="Times New Roman" w:hAnsi="Times New Roman"/>
                <w:b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Количество</w:t>
            </w:r>
          </w:p>
        </w:tc>
        <w:tc>
          <w:tcPr>
            <w:tcW w:w="9331" w:type="dxa"/>
            <w:tcBorders>
              <w:top w:val="single" w:sz="4" w:space="0" w:color="000000"/>
              <w:bottom w:val="single" w:sz="4" w:space="0" w:color="000000"/>
            </w:tcBorders>
            <w:tcMar>
              <w:top w:w="29" w:type="dxa"/>
            </w:tcMar>
          </w:tcPr>
          <w:p>
            <w:pPr>
              <w:pStyle w:val="Normal"/>
              <w:spacing w:lineRule="auto" w:line="230"/>
              <w:ind w:end="4472"/>
              <w:rPr>
                <w:rFonts w:ascii="Times New Roman" w:hAnsi="Times New Roman"/>
                <w:b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Наименование, значение, единица измерения характеристики</w:t>
            </w:r>
          </w:p>
        </w:tc>
      </w:tr>
      <w:tr>
        <w:trPr>
          <w:trHeight w:val="2794" w:hRule="atLeast"/>
        </w:trPr>
        <w:tc>
          <w:tcPr>
            <w:tcW w:w="5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Оказание услуг по технической поддержке и сопровождению специального программного обеспечения государственной информационной системы - системы обеспечения вызова экстренных оперативных служб по единому номеру «112» на территории Республики Алтай (далее – Услуги)</w:t>
            </w: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Условная единица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8</w:t>
            </w:r>
          </w:p>
        </w:tc>
        <w:tc>
          <w:tcPr>
            <w:tcW w:w="93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ind w:end="4472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Действия при возникновении проблем критичности critical или important</w:t>
            </w:r>
          </w:p>
          <w:p>
            <w:pPr>
              <w:pStyle w:val="Normal"/>
              <w:spacing w:lineRule="auto" w:line="230"/>
              <w:ind w:end="4614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Требуется продублировать информацию о проблеме по телефону круглосуточной технической поддержки. При необходимости после создания обращения, в него могут быть добавлены дополнительные файлы (подробное описание, логи, скриншот и т. д.). Желательно использовать файлы небольшого размера (&lt;5 Мбайт, либо предоставлять ссылку на внешний ресурс, откуда может быть извлечён требуемый файл), а также не использовать в названии файла русских символов. Информация об изменениях в статусе обращения, новых комментариев и дублируется системой СУИ на согласованные адреса электронной почты. Предусмотрены следующие статусы работы по обращениям: New – обращение создаётся сотрудниками Гос Заказчика или Заказчика (или Исполнителя, если информация о проблеме передана др. способом); Open – обращение открывается сотрудниками Исполнителя для анализа и исправления; Active - причины Обращения установлены, Обращение передано на реализацию; Done – обращение закрывается сотрудниками Исполнителя после исправления; Verified – исправление проблемы подтверждается сотрудниками Гос Заказчика (если проблема не исправлена, то сотрудники Гос Заказчика или Заказчика должны сообщить доп. информацию по проблеме и изменить статус обращения на Open); Customer test – Заказчик осуществляет проверку/тестирование предоставленного решения по кейсу </w:t>
            </w:r>
          </w:p>
          <w:p>
            <w:pPr>
              <w:pStyle w:val="Normal"/>
              <w:rPr>
                <w:rFonts w:ascii="Calibri" w:hAnsi="Calibri"/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66" w:hRule="atLeast"/>
        </w:trPr>
        <w:tc>
          <w:tcPr>
            <w:tcW w:w="5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2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93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ind w:end="4756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Задачи, выполнение которых обеспечивает Исполнитель в рамках оказания услуги</w:t>
            </w:r>
          </w:p>
          <w:p>
            <w:pPr>
              <w:pStyle w:val="Normal"/>
              <w:spacing w:lineRule="auto" w:line="230"/>
              <w:ind w:end="4472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- техническую поддержку УСПО-112 и СПО Республики Алтай путём регистрации и обработки сообщений Гос Заказчика или Заказчика; - развитие функционала СПО под требования текущего (действующего) законодательства; - устранение выявленных уязвимостей программного обеспечения серверной и клиентской части УСПО-112 и СПО; - техническую поддержку модулей сопряжения Системы-112 с внешними информационными системами в составе: • программный комплекс автоматизации диспетчерской службы станций скорой медицинской помощи ПК «КИС», являющийся неотъемлемой составной частью ИС РФ ЕГИСЗ; • ведомственная сеть МВД России, посредством защищенного межсетевого взаимодействия; • ТСМН и ТСКС операторов подвижной радиотелефонной связи на основании согласованных технических условий: • ПАО «Мобильные телесистемы»; • ПАО «Вымпелком»; • ПАО «Мегафон»; • ПАО «Теле2»; • возможность получения ТСМН и ТСКС не менее чем от 1 оператора местной телефонной связи. • системой экстренного вызова ГАИС «ЭРА-ГЛОНАСС». - техническую поддержку аппаратной части Системы-112 Республики Алтай, а именно: • АТС «Протей-ImSwitch5 (2 шт.); • медиашлюзы Tiger. MS.60/2000 (4 шт.); • медиашлюзы Tiger. MSC.60/2000 (11 шт.). − предоставление плановых модифицированных версий УСПО-112 и СПО, предназначенных для совершенствования функциональности Системы-112 и повышения удобства работы с ней. Под данным видом услуги понимается предоставление Гос Заказчику модифицированной версии УСПО-112 и СПО Системы 112, включающей реализованные Исполнителем по его инициативе дополнения/совершенствования функциональности Системы-112 </w:t>
            </w:r>
          </w:p>
        </w:tc>
      </w:tr>
      <w:tr>
        <w:trPr>
          <w:trHeight w:val="2866" w:hRule="atLeast"/>
        </w:trPr>
        <w:tc>
          <w:tcPr>
            <w:tcW w:w="5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2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93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ind w:end="4756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Требования к порядку взаимодействия сторон при оказании услуги</w:t>
            </w:r>
          </w:p>
          <w:p>
            <w:pPr>
              <w:pStyle w:val="Normal"/>
              <w:spacing w:lineRule="auto" w:line="230"/>
              <w:ind w:end="4614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Взаимодействие со службой технической поддержки должно быть осуществлено с помощью аварийных телефонных номеров службы технической поддержки, электронной почты и СУИ. Техническое сопровождение должно быть оказано удалённо посредством предоставленной Гос Заказчиком возможности удалённого доступа к Системе-112. Услуги в соответствии с условиями настоящего Договора являются не тарифицируемыми. Исполнитель обязан иметь: - круглосуточную службу технической поддержки, доступную для Гос Заказчика не менее чем по трем вышеуказанным в настоящему разделе каналам связи; Для оказания услуг Исполнителем применяется программно-технический комплекс удаленного доступа (далее - ПТК УД). Взаимодействие ПТК УД и системой-112 должно осуществляться через сеть Интернет с применением средств криптографической защиты информации как со стороны ПТК УД, так и со стороны систем.  ПТК УД должен включать сертифицированные средства защиты от НСД, исключающие возможность изменения конфигурации ПТК УД без санкции системного администратора и администратора информационной безопасности системы удаленного доступа </w:t>
            </w:r>
          </w:p>
          <w:p>
            <w:pPr>
              <w:pStyle w:val="Normal"/>
              <w:rPr>
                <w:rFonts w:ascii="Calibri" w:hAnsi="Calibri"/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250" w:hRule="atLeast"/>
        </w:trPr>
        <w:tc>
          <w:tcPr>
            <w:tcW w:w="52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226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93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Требования к оказанию услуг</w:t>
            </w:r>
          </w:p>
          <w:p>
            <w:pPr>
              <w:pStyle w:val="Normal"/>
              <w:spacing w:lineRule="auto" w:line="230"/>
              <w:ind w:end="4472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Оказываемая услуга не должна повлиять на функции, выполняемые Системой-112 Республики Алтай в целом. С использованием услуги в интересах Республики Алтай должно быть обеспечено выполнение функций Системы-112 в соответствии с Техническим проектом построения Системы-112 в Республики Алтай, в том числе:  приём и обработка вызовов, поступающих на единый номер «112» от населения через операторов связи, расположенных на территории Республики Алтай;  передача в дежурно-диспетчерские службы экстренных оперативных служб сообщений о вызовах с возможностью подключения их диспетчеров к разговорам с позвонившим лицом;  координация действий ДДС при реагировании на вызовы; В рамках оказываемых услуг по настоящему ТЗ не допускается замена УСПО-112 и(или) СПО в целом, а также любых ее модулей. Вносимые Исполнителем изменения, в том числе модифицированные версии УСПО-112 и(или) СПО не должны приводить к перерывам в работе системы-112. Исполнитель гарантирует сохранность всех данных в системе-112, в том числе истории поступивших в систему-112 ранее вызовов </w:t>
            </w:r>
          </w:p>
          <w:p>
            <w:pPr>
              <w:pStyle w:val="Normal"/>
              <w:rPr>
                <w:rFonts w:ascii="Calibri" w:hAnsi="Calibri"/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619" w:hRule="atLeast"/>
        </w:trPr>
        <w:tc>
          <w:tcPr>
            <w:tcW w:w="52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1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331" w:type="dxa"/>
            <w:tcBorders>
              <w:top w:val="single" w:sz="4" w:space="0" w:color="000000"/>
              <w:bottom w:val="single" w:sz="4" w:space="0" w:color="000000"/>
            </w:tcBorders>
            <w:tcMar>
              <w:top w:w="29" w:type="dxa"/>
            </w:tcMar>
          </w:tcPr>
          <w:p>
            <w:pPr>
              <w:pStyle w:val="Normal"/>
              <w:spacing w:lineRule="auto" w:line="230"/>
              <w:ind w:end="43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Требования к времени обработки Обращений и уровням приоритетности</w:t>
            </w:r>
          </w:p>
          <w:p>
            <w:pPr>
              <w:pStyle w:val="Normal"/>
              <w:spacing w:lineRule="auto" w:line="230"/>
              <w:ind w:end="4472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Нормативное время обработки Обращения определяется срочностью возникшей проблемы и указано в Таблице№ 1 (Приложение № 1 к ТЗ). Перечень ситуаций по уровням приоритетности определяется согласно Таблицы № 2 (Приложение № 1 к ТЗ) </w:t>
            </w:r>
          </w:p>
          <w:p>
            <w:pPr>
              <w:pStyle w:val="Normal"/>
              <w:rPr>
                <w:rFonts w:ascii="Calibri" w:hAnsi="Calibri"/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920" w:hRule="atLeast"/>
        </w:trPr>
        <w:tc>
          <w:tcPr>
            <w:tcW w:w="52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1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3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ind w:end="4472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Требования к версии УСПО-112 и СПО Системы-112</w:t>
            </w:r>
          </w:p>
          <w:p>
            <w:pPr>
              <w:pStyle w:val="Normal"/>
              <w:spacing w:lineRule="auto" w:line="230"/>
              <w:ind w:end="4614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модифицированные, разработанные с целью совершенствования функциональности Системы-112 и повышения удобства работы с ним, по факту их выпуска, но не реже двух раз в течение календарного года. Исполнитель производит установку обновления УСПО-112 и СПО на серверах и АРМ Гос Заказчика, также Исполнитель может выдать дистрибутив и инструкции для обновления УСПО-112 и СПО АРМ силами и средствами Гос Заказчика. Гос Заказчик предоставляет доступ к серверам для установки обновлений СПО-112. Доступ обеспечивается с использованием криптографических средств защиты информации. Исполнитель обязан предоставлять пакет обновленной эксплуатационной документации в составе модифицированной версии. Исполнитель обязан уведомлять пользователей услуги о выпуске модифицированной версии по предусмотренным Договором каналам связи </w:t>
            </w:r>
          </w:p>
          <w:p>
            <w:pPr>
              <w:pStyle w:val="Normal"/>
              <w:rPr>
                <w:rFonts w:ascii="Calibri" w:hAnsi="Calibri"/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204" w:hRule="atLeast"/>
        </w:trPr>
        <w:tc>
          <w:tcPr>
            <w:tcW w:w="52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226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93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Сроки предоставления доступа к СУИ</w:t>
            </w:r>
          </w:p>
          <w:p>
            <w:pPr>
              <w:pStyle w:val="Normal"/>
              <w:spacing w:lineRule="auto" w:line="230"/>
              <w:ind w:end="4472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в течение 1 (одного) рабочего дня с момента подписания Договора и поддерживаться Исполнителем в течение всего срока оказания услуг </w:t>
            </w:r>
          </w:p>
          <w:p>
            <w:pPr>
              <w:pStyle w:val="Normal"/>
              <w:rPr>
                <w:rFonts w:ascii="Calibri" w:hAnsi="Calibri"/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619" w:hRule="atLeast"/>
        </w:trPr>
        <w:tc>
          <w:tcPr>
            <w:tcW w:w="52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1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331" w:type="dxa"/>
            <w:tcBorders>
              <w:top w:val="single" w:sz="4" w:space="0" w:color="000000"/>
              <w:bottom w:val="single" w:sz="4" w:space="0" w:color="000000"/>
            </w:tcBorders>
            <w:tcMar>
              <w:top w:w="29" w:type="dxa"/>
            </w:tcMar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Целевые показатели функционирования системы</w:t>
            </w:r>
          </w:p>
          <w:p>
            <w:pPr>
              <w:pStyle w:val="Normal"/>
              <w:spacing w:lineRule="auto" w:line="230"/>
              <w:ind w:end="43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Система-112 функционирует в режиме 24/7/365 (24 часа в сутки, 7 дней в неделю, круглый год) и находится в постоянной готовности к обеспечению экстренного реагирования на вызовы от населения и сообщения о происшествиях, возникающих на территориях муниципальных образований и Республики Алтай в целом </w:t>
            </w:r>
          </w:p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</w:tr>
      <w:tr>
        <w:trPr>
          <w:trHeight w:val="759" w:hRule="atLeast"/>
        </w:trPr>
        <w:tc>
          <w:tcPr>
            <w:tcW w:w="52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1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331" w:type="dxa"/>
            <w:tcBorders>
              <w:top w:val="single" w:sz="4" w:space="0" w:color="000000"/>
              <w:bottom w:val="single" w:sz="4" w:space="0" w:color="000000"/>
            </w:tcBorders>
            <w:tcMar>
              <w:top w:w="29" w:type="dxa"/>
            </w:tcMar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Сведения об УСПО-112 и СПО </w:t>
            </w:r>
          </w:p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определены в Приложении № 4 к ТЗ</w:t>
            </w:r>
          </w:p>
          <w:p>
            <w:pPr>
              <w:pStyle w:val="Normal"/>
              <w:rPr>
                <w:rFonts w:ascii="Calibri" w:hAnsi="Calibri"/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705" w:hRule="atLeast"/>
        </w:trPr>
        <w:tc>
          <w:tcPr>
            <w:tcW w:w="52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1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3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Реагирование на ошибки</w:t>
            </w:r>
          </w:p>
          <w:p>
            <w:pPr>
              <w:pStyle w:val="Normal"/>
              <w:spacing w:lineRule="auto" w:line="230"/>
              <w:ind w:end="43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Сторона, которой стало известно о наличии ошибки в функционировании серверной группировки Системы-112, обязана сообщить об этом другой Стороне в течение 6 (шести) часов путём размещения соответствующего сообщения в системе СУИ, или другими альтернативными каналами связи, предусмотренными таблицей. Если Заказчик или Гос Заказчик самостоятельно устранил ошибку или причину возникновения ошибки, то он обязан в течение 1 (одного) рабочего дня сообщить Исполнителю о способе, которым ошибка была устранена, и предоставить в распоряжение Исполнителя все материалы, относящиеся к данному способу. Исполнитель вправе использовать данные материалы по собственному усмотрению без всяких обязательств перед Заказчиком и Гос Заказчиком. В случае отсутствия письменного подтверждения правильности самостоятельных действий Заказчика или Гос  Заказчика по устранению ошибки, Исполнитель не несёт ответственность за такие действия и/или их результат; Заказчик или Гос  Заказчик осуществляет эти действия на свой риск </w:t>
            </w:r>
          </w:p>
        </w:tc>
      </w:tr>
      <w:tr>
        <w:trPr>
          <w:trHeight w:val="2865" w:hRule="atLeast"/>
        </w:trPr>
        <w:tc>
          <w:tcPr>
            <w:tcW w:w="5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2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93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ind w:end="43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Предоставление внеплановых модифицированных версий УСПО-112 и СПО</w:t>
            </w:r>
          </w:p>
          <w:p>
            <w:pPr>
              <w:pStyle w:val="Normal"/>
              <w:spacing w:lineRule="auto" w:line="230"/>
              <w:ind w:end="43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Под данным видом услуги понимается предоставление Гос Заказчику модифицированной версии УСПО-112 и СПО Системы-112, включающей исправления дефектов (в том числе «скрытых» ошибок) функциональности Системы-112 и/или реализованные Исполнителем по его инициативе дополнения/совершенствования функциональности Системы-112. Исполнитель обязан предоставлять модифицированные версии УСПО-112 и СПО Системы-112, включающие исправления дефектов функциональности Системы-112 и/или реализованные Исполнителем по его инициативе дополнения/совершенствования функциональности УСПО-112 и СПО Системы-112, по факту их выпуска (по мере определения необходимости выпуска). Исполнитель производит установку обновления УСПО-112 и СПО на серверах и АРМ Гос Заказчика. Гос Заказчик предоставляет доступ к серверам для установки обновлений УСПО-112 и СПО. Доступ обеспечивается с использованием криптографических средств защиты информации. Исполнитель обязан предоставлять пакет обновленной эксплуатационной документации в составе модифицированной версии, при её наличии. Исполнитель обязан уведомлять пользователей услуги о выпуске модифицированной версии по предусмотренным Договором каналам связи. Настоящим ТЗ не предусматриваются задачи по ремонту оборудования. Обслуживание остального оборудования Системы-112, сети передачи данных и каналов связи находятся вне зоны ответственности Исполнителя. Предметом настоящего ТЗ не является приобретение и/или расширение объема неисключительных прав использования УСПО-112 и СПО, имеющегося у Гос Заказчика. Загрузка обновленных версий УСПО-112 и СПО не влечет за собой создания отдельного производного программного средства и не требует передачи Заказчику и Гос Заказчику неисключительных прав на производный программный продукт. </w:t>
            </w:r>
          </w:p>
          <w:p>
            <w:pPr>
              <w:pStyle w:val="Normal"/>
              <w:rPr>
                <w:rFonts w:ascii="Calibri" w:hAnsi="Calibri"/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64" w:hRule="atLeast"/>
        </w:trPr>
        <w:tc>
          <w:tcPr>
            <w:tcW w:w="52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226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93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Порядок создания обращения</w:t>
            </w:r>
          </w:p>
          <w:p>
            <w:pPr>
              <w:pStyle w:val="Normal"/>
              <w:spacing w:lineRule="auto" w:line="230"/>
              <w:ind w:end="43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При создании обращения Заказчик или Гос Заказчик  кратко описывает суть проблемы в поле «Описание», добавляя дополнительную информацию добавить в поле «Комментарий» и прикладывая при необходимости соответствующие лог-файлы или данные трассировок. На основании предварительной диагностики и правил классификации проблем Заказчик или Гос Заказчик указывает степень критичности проблемы в соответствующем поле формы создания обращения: - Сritical – проблемы наивысшего приоритета, связанные с полной потерей трафика, остановкой системы, соответствуют проблемам Степени приоритета 1 Таблицы №2 (приложения № 1 к ТЗ); - Important – срочные аварийные проблемы, при которых наблюдается частичная потеря трафика или невозможность администрирования платформы; соответствуют проблемам Степени приоритета 2 Таблицы №2 (приложение № 1 к ТЗ); - Basic – другие проблемы, не требующие срочного решения, соответствуют проблемам Степени приоритета 3 Таблицы № 2 (приложение № 1 к ТЗ); - Cosmetic – несрочные проблемы по различным видам ошибок, не оказывающим влияния на работоспособность системы, соответствуют проблемам Степени приоритета 4 Таблицы №2 (приложение № 1 к ТЗ) </w:t>
            </w:r>
          </w:p>
          <w:p>
            <w:pPr>
              <w:pStyle w:val="Normal"/>
              <w:rPr>
                <w:rFonts w:ascii="Calibri" w:hAnsi="Calibri"/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993" w:hRule="atLeast"/>
        </w:trPr>
        <w:tc>
          <w:tcPr>
            <w:tcW w:w="52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1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331" w:type="dxa"/>
            <w:tcBorders>
              <w:top w:val="single" w:sz="4" w:space="0" w:color="000000"/>
              <w:bottom w:val="single" w:sz="4" w:space="0" w:color="000000"/>
            </w:tcBorders>
            <w:tcMar>
              <w:top w:w="29" w:type="dxa"/>
            </w:tcMar>
          </w:tcPr>
          <w:p>
            <w:pPr>
              <w:pStyle w:val="Normal"/>
              <w:spacing w:lineRule="auto" w:line="230"/>
              <w:ind w:end="4399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Обновление/модификация версии УСПО и/или СПО Системы 112</w:t>
            </w:r>
          </w:p>
          <w:p>
            <w:pPr>
              <w:pStyle w:val="Normal"/>
              <w:spacing w:lineRule="auto" w:line="230"/>
              <w:ind w:end="43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Перед установкой модифицированной версии СПО на продуктивную среду Системы-112 Гос Заказчика Исполнитель обязан провести для Заказчика и Гос Заказчика демонстрацию работоспособности вносимых изменений </w:t>
            </w:r>
          </w:p>
          <w:p>
            <w:pPr>
              <w:pStyle w:val="Normal"/>
              <w:rPr>
                <w:rFonts w:ascii="Calibri" w:hAnsi="Calibri"/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66" w:hRule="atLeast"/>
        </w:trPr>
        <w:tc>
          <w:tcPr>
            <w:tcW w:w="5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22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93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ind w:end="43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Назначение услуги</w:t>
            </w:r>
          </w:p>
          <w:p>
            <w:pPr>
              <w:pStyle w:val="Normal"/>
              <w:spacing w:lineRule="auto" w:line="230"/>
              <w:ind w:end="43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для решения следующих основных задач: - приёма по номеру «112» вызовов (сообщений о происшествиях и чрезвычайных ситуациях); - получение от оператора связи сведений о местонахождении лица, обратившегося по номеру «112», и (или) абонентского устройства, с которого был осуществлён вызов, а также иных данных, необходимых для обеспечения реагирования по вызову; - анализ поступающей информации о происшествиях; - направление информации о происшествиях, в том числе вызовов, в дежурно-диспетчерские службы экстренных оперативных служб в соответствии с их компетенцией для организации экстренного реагирования; - обеспечение дистанционной психологической поддержки лицу, обратившемуся по номеру «112»; - автоматизированное восстановление соединения с пользовательским (оконечным) оборудованием лица, обратившегося по номеру «112», в случае внезапного прерывания соединения; - регистрация всех входящих и исходящих вызовов по номеру «112»; - ведение базы данных об основных характеристиках происшествий, о начале, завершении и об основных результатах экстренного реагирования на полученные вызовы; - функционал УСПО-112 и СПО государственной информационной системы - системы обеспечения вызова экстренных оперативных служб по единому номеру «112» должен соответствовать текущему (действующему) законодательству. Услуги оказываются для Системы-112 как единого объекта информатизации. Одновременное оказание услуг вышеуказанных услуг обусловлено сложностью процессов, автоматизируемых в системе и условий ее функционирования при сохранении непрерывного режима работы и достижения целевых показателей функционирования Системы, установленных в соответствии с Постановлением Правительства РФ от 12.11.2021 № 1931 «Об утверждении обязательных требований к организации и функционированию системы обеспечения вызова экстренных оперативных служб по единому номеру «112», в том числе порядка и сроков осуществления приема, обработки и передачи вызовов по единому номеру «112» диспетчерскими службам» </w:t>
            </w:r>
          </w:p>
        </w:tc>
      </w:tr>
      <w:tr>
        <w:trPr>
          <w:trHeight w:val="1805" w:hRule="atLeast"/>
        </w:trPr>
        <w:tc>
          <w:tcPr>
            <w:tcW w:w="52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226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</w:tc>
        <w:tc>
          <w:tcPr>
            <w:tcW w:w="93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/>
              <w:ind w:end="43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Функционал СУИ</w:t>
            </w:r>
          </w:p>
          <w:p>
            <w:pPr>
              <w:pStyle w:val="Normal"/>
              <w:spacing w:lineRule="auto" w:line="230"/>
              <w:ind w:end="433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- аутентификация пользователей Заказчика и Гос Заказчика, реализованная путём ввода логина и пароля; - возможность выставления Заказчиком и  Гос Заказчиком критичности обращения; - возможность указания в созданном обращении почтовых адресов Заказчика и Гос Заказчика для поступления на них уведомлений о смене статуса и критичности обращения, а также при появлении новых комментариев; - поступление уведомления о смене статуса обращения и новых комментариев к нему на указанный Заказчиком и Гос Заказчиком адрес электронной почты; - возможность ответа на комментарии в созданном обращении напрямую из письма-уведомления на электронной почте; - каждому обращению должен присваиваться уникальный номер; - при организации доступа к электронной системе учета обращений через сеть Интернет должен использоваться протокол HTTPs; - корректная работа через мобильный браузер </w:t>
            </w:r>
          </w:p>
        </w:tc>
      </w:tr>
      <w:tr>
        <w:trPr>
          <w:trHeight w:val="475" w:hRule="atLeast"/>
        </w:trPr>
        <w:tc>
          <w:tcPr>
            <w:tcW w:w="52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1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331" w:type="dxa"/>
            <w:tcBorders>
              <w:top w:val="single" w:sz="4" w:space="0" w:color="000000"/>
              <w:bottom w:val="single" w:sz="4" w:space="0" w:color="000000"/>
            </w:tcBorders>
            <w:tcMar>
              <w:top w:w="29" w:type="dxa"/>
            </w:tcMar>
          </w:tcPr>
          <w:p>
            <w:pPr>
              <w:pStyle w:val="Normal"/>
              <w:spacing w:lineRule="auto" w:line="230"/>
              <w:ind w:end="4472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Результат предоставленной услуги</w:t>
            </w:r>
          </w:p>
          <w:p>
            <w:pPr>
              <w:pStyle w:val="Normal"/>
              <w:spacing w:lineRule="auto" w:line="230"/>
              <w:ind w:end="4472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полноценное функционирование Системы-112 на территории Республики Алтай </w:t>
            </w:r>
          </w:p>
          <w:p>
            <w:pPr>
              <w:pStyle w:val="Normal"/>
              <w:ind w:end="4472"/>
              <w:rPr>
                <w:rFonts w:ascii="Calibri" w:hAnsi="Calibri"/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724" w:hRule="atLeast"/>
        </w:trPr>
        <w:tc>
          <w:tcPr>
            <w:tcW w:w="52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6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1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331" w:type="dxa"/>
            <w:tcBorders>
              <w:top w:val="single" w:sz="4" w:space="0" w:color="000000"/>
              <w:bottom w:val="single" w:sz="4" w:space="0" w:color="000000"/>
            </w:tcBorders>
            <w:tcMar>
              <w:top w:w="29" w:type="dxa"/>
            </w:tcMar>
          </w:tcPr>
          <w:p>
            <w:pPr>
              <w:pStyle w:val="Normal"/>
              <w:spacing w:lineRule="auto" w:line="230"/>
              <w:ind w:end="4472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Цели оказания услуги</w:t>
            </w:r>
          </w:p>
          <w:p>
            <w:pPr>
              <w:pStyle w:val="Normal"/>
              <w:spacing w:lineRule="auto" w:line="230"/>
              <w:ind w:end="4472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Основной целью оказания услуги на территории Республики Алтай является обеспечение бесперебойной работы УСПО-112 и СПО Системы-112 </w:t>
            </w:r>
          </w:p>
          <w:p>
            <w:pPr>
              <w:pStyle w:val="Normal"/>
              <w:spacing w:lineRule="auto" w:line="230"/>
              <w:ind w:end="4472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</w:r>
          </w:p>
          <w:p>
            <w:pPr>
              <w:pStyle w:val="Normal"/>
              <w:spacing w:lineRule="auto" w:line="230"/>
              <w:ind w:end="4472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Сроки оказания услуги</w:t>
            </w:r>
          </w:p>
          <w:p>
            <w:pPr>
              <w:pStyle w:val="Normal"/>
              <w:spacing w:lineRule="auto" w:line="230"/>
              <w:ind w:end="4472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С даты заключения Договора по 31.12.2026</w:t>
            </w:r>
          </w:p>
          <w:p>
            <w:pPr>
              <w:pStyle w:val="Normal"/>
              <w:spacing w:lineRule="auto" w:line="230"/>
              <w:ind w:end="4472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Отчетный период – 1 (один) календарный месяц</w:t>
            </w:r>
          </w:p>
        </w:tc>
      </w:tr>
    </w:tbl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bookmarkStart w:id="0" w:name="_GoBack"/>
      <w:bookmarkStart w:id="1" w:name="_GoBack"/>
      <w:bookmarkEnd w:id="1"/>
      <w:r>
        <w:br w:type="page"/>
      </w:r>
    </w:p>
    <w:p>
      <w:pPr>
        <w:pStyle w:val="Normal"/>
        <w:spacing w:lineRule="auto" w:line="257" w:before="0" w:after="0"/>
        <w:jc w:val="end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Приложение № 1</w:t>
      </w:r>
    </w:p>
    <w:p>
      <w:pPr>
        <w:pStyle w:val="Normal"/>
        <w:spacing w:lineRule="auto" w:line="257"/>
        <w:jc w:val="end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к </w:t>
      </w:r>
      <w:r>
        <w:rPr>
          <w:rFonts w:ascii="Times New Roman" w:hAnsi="Times New Roman"/>
          <w:b/>
          <w:color w:val="00000A"/>
          <w:sz w:val="20"/>
        </w:rPr>
        <w:t>Техническому заданию</w:t>
      </w:r>
    </w:p>
    <w:p>
      <w:pPr>
        <w:pStyle w:val="Normal"/>
        <w:spacing w:lineRule="auto" w:line="257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Normal"/>
        <w:spacing w:lineRule="auto" w:line="257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Normal"/>
        <w:spacing w:lineRule="auto" w:line="257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Требования к срокам оказания услуг и уровням приоритетности</w:t>
      </w:r>
    </w:p>
    <w:p>
      <w:pPr>
        <w:pStyle w:val="Normal"/>
        <w:spacing w:lineRule="auto" w:line="257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Normal"/>
        <w:spacing w:before="0" w:after="120"/>
        <w:ind w:firstLine="70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Таблица 1. Сроки</w:t>
      </w:r>
    </w:p>
    <w:tbl>
      <w:tblPr>
        <w:tblW w:w="10809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6109"/>
        <w:gridCol w:w="4699"/>
      </w:tblGrid>
      <w:tr>
        <w:trPr>
          <w:trHeight w:val="212" w:hRule="atLeast"/>
        </w:trPr>
        <w:tc>
          <w:tcPr>
            <w:tcW w:w="61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65" w:leader="none"/>
              </w:tabs>
              <w:ind w:firstLine="56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Характеристика</w:t>
            </w:r>
          </w:p>
        </w:tc>
        <w:tc>
          <w:tcPr>
            <w:tcW w:w="46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firstLine="567" w:end="218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Нормативное значение</w:t>
            </w:r>
          </w:p>
        </w:tc>
      </w:tr>
      <w:tr>
        <w:trPr>
          <w:trHeight w:val="212" w:hRule="atLeast"/>
        </w:trPr>
        <w:tc>
          <w:tcPr>
            <w:tcW w:w="61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65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Доступность услуги</w:t>
            </w:r>
          </w:p>
        </w:tc>
        <w:tc>
          <w:tcPr>
            <w:tcW w:w="46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end="21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 часа в сутки, 7 дней в неделю</w:t>
            </w:r>
          </w:p>
        </w:tc>
      </w:tr>
      <w:tr>
        <w:trPr>
          <w:trHeight w:val="202" w:hRule="atLeast"/>
        </w:trPr>
        <w:tc>
          <w:tcPr>
            <w:tcW w:w="61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65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График разрешения обращений с критичным приоритетом</w:t>
            </w:r>
          </w:p>
        </w:tc>
        <w:tc>
          <w:tcPr>
            <w:tcW w:w="46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end="21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Не более 1 дня </w:t>
            </w:r>
          </w:p>
        </w:tc>
      </w:tr>
      <w:tr>
        <w:trPr>
          <w:trHeight w:val="212" w:hRule="atLeast"/>
        </w:trPr>
        <w:tc>
          <w:tcPr>
            <w:tcW w:w="61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65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График разрешения обращений с высоким приоритетом</w:t>
            </w:r>
          </w:p>
        </w:tc>
        <w:tc>
          <w:tcPr>
            <w:tcW w:w="46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end="21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более 72 часов</w:t>
            </w:r>
          </w:p>
        </w:tc>
      </w:tr>
      <w:tr>
        <w:trPr>
          <w:trHeight w:val="212" w:hRule="atLeast"/>
        </w:trPr>
        <w:tc>
          <w:tcPr>
            <w:tcW w:w="61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65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График разрешения обращений с обычным приоритетом</w:t>
            </w:r>
          </w:p>
        </w:tc>
        <w:tc>
          <w:tcPr>
            <w:tcW w:w="46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end="21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более 60 рабочих дней</w:t>
            </w:r>
          </w:p>
        </w:tc>
      </w:tr>
      <w:tr>
        <w:trPr>
          <w:trHeight w:val="638" w:hRule="atLeast"/>
        </w:trPr>
        <w:tc>
          <w:tcPr>
            <w:tcW w:w="61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65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График решения прочих обращений</w:t>
            </w:r>
          </w:p>
        </w:tc>
        <w:tc>
          <w:tcPr>
            <w:tcW w:w="46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end="21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согласованию с Генеральным Заказчиком и Заказчиком, но не более 3 месяцев</w:t>
            </w:r>
          </w:p>
        </w:tc>
      </w:tr>
      <w:tr>
        <w:trPr>
          <w:trHeight w:val="212" w:hRule="atLeast"/>
        </w:trPr>
        <w:tc>
          <w:tcPr>
            <w:tcW w:w="61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65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Минимальное время уведомления о регламентных работах</w:t>
            </w:r>
          </w:p>
        </w:tc>
        <w:tc>
          <w:tcPr>
            <w:tcW w:w="46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end="21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рабочий день</w:t>
            </w:r>
          </w:p>
        </w:tc>
      </w:tr>
      <w:tr>
        <w:trPr>
          <w:trHeight w:val="425" w:hRule="atLeast"/>
        </w:trPr>
        <w:tc>
          <w:tcPr>
            <w:tcW w:w="61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65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Минимальное время уведомления о неотложных аварийно-восстановительных работах</w:t>
            </w:r>
          </w:p>
        </w:tc>
        <w:tc>
          <w:tcPr>
            <w:tcW w:w="46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end="21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не менее 15 минут </w:t>
            </w:r>
          </w:p>
        </w:tc>
      </w:tr>
      <w:tr>
        <w:trPr>
          <w:trHeight w:val="627" w:hRule="atLeast"/>
        </w:trPr>
        <w:tc>
          <w:tcPr>
            <w:tcW w:w="61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65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Временной режим регистрации обращений</w:t>
            </w:r>
          </w:p>
        </w:tc>
        <w:tc>
          <w:tcPr>
            <w:tcW w:w="46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end="21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 часа в сутки, 7 дней в неделю для инцидентов с критичным и высоким приоритетом</w:t>
            </w:r>
          </w:p>
        </w:tc>
      </w:tr>
    </w:tbl>
    <w:p>
      <w:pPr>
        <w:pStyle w:val="Normal"/>
        <w:spacing w:before="0" w:after="120"/>
        <w:ind w:firstLine="70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before="0" w:after="120"/>
        <w:ind w:firstLine="70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Таблица 2. Перечень ситуаций по уровням приоритетности </w:t>
      </w:r>
    </w:p>
    <w:tbl>
      <w:tblPr>
        <w:tblW w:w="15703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335"/>
        <w:gridCol w:w="11367"/>
      </w:tblGrid>
      <w:tr>
        <w:trPr/>
        <w:tc>
          <w:tcPr>
            <w:tcW w:w="43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firstLine="2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Критичный </w:t>
            </w:r>
            <w:r>
              <w:rPr>
                <w:rFonts w:ascii="Times New Roman" w:hAnsi="Times New Roman"/>
                <w:sz w:val="20"/>
              </w:rPr>
              <w:t>(степень приоритета 1)</w:t>
            </w:r>
          </w:p>
        </w:tc>
        <w:tc>
          <w:tcPr>
            <w:tcW w:w="113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firstLine="22" w:end="479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Запросы, связанные с остановкой работы УСПО-112</w:t>
            </w:r>
            <w:r>
              <w:rPr>
                <w:rStyle w:val="FootnoteReference"/>
                <w:rFonts w:ascii="Times New Roman" w:hAnsi="Times New Roman"/>
                <w:sz w:val="20"/>
              </w:rPr>
              <w:footnoteReference w:id="2"/>
            </w:r>
            <w:r>
              <w:rPr>
                <w:rFonts w:ascii="Times New Roman" w:hAnsi="Times New Roman"/>
                <w:sz w:val="20"/>
              </w:rPr>
              <w:t xml:space="preserve"> и(или) СПО</w:t>
            </w:r>
            <w:r>
              <w:rPr>
                <w:rStyle w:val="FootnoteReference"/>
                <w:rFonts w:ascii="Times New Roman" w:hAnsi="Times New Roman"/>
                <w:sz w:val="20"/>
              </w:rPr>
              <w:footnoteReference w:id="3"/>
            </w:r>
            <w:r>
              <w:rPr>
                <w:rFonts w:ascii="Times New Roman" w:hAnsi="Times New Roman"/>
                <w:sz w:val="20"/>
              </w:rPr>
              <w:t>;</w:t>
            </w:r>
          </w:p>
          <w:p>
            <w:pPr>
              <w:pStyle w:val="Normal"/>
              <w:numPr>
                <w:ilvl w:val="0"/>
                <w:numId w:val="1"/>
              </w:numPr>
              <w:ind w:firstLine="22" w:end="479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Запросы, связанные с нарушениями в обслуживании голосовых вызовов;</w:t>
            </w:r>
          </w:p>
          <w:p>
            <w:pPr>
              <w:pStyle w:val="Normal"/>
              <w:numPr>
                <w:ilvl w:val="0"/>
                <w:numId w:val="1"/>
              </w:numPr>
              <w:ind w:firstLine="22" w:end="479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Некорректная работа интеграционных механизмов со смежными системами, препятствующая передаче информации;</w:t>
            </w:r>
          </w:p>
          <w:p>
            <w:pPr>
              <w:pStyle w:val="Normal"/>
              <w:numPr>
                <w:ilvl w:val="0"/>
                <w:numId w:val="1"/>
              </w:numPr>
              <w:ind w:firstLine="22" w:end="479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Некорректная передача вызовов.</w:t>
            </w:r>
          </w:p>
        </w:tc>
      </w:tr>
      <w:tr>
        <w:trPr/>
        <w:tc>
          <w:tcPr>
            <w:tcW w:w="43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firstLine="2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Высокий </w:t>
            </w:r>
            <w:r>
              <w:rPr>
                <w:rFonts w:ascii="Times New Roman" w:hAnsi="Times New Roman"/>
                <w:sz w:val="20"/>
              </w:rPr>
              <w:t>(степень приоритета 2)</w:t>
            </w:r>
            <w:r>
              <w:rPr>
                <w:rFonts w:ascii="Times New Roman" w:hAnsi="Times New Roman"/>
                <w:sz w:val="20"/>
              </w:rPr>
              <w:br w:type="textWrapping" w:clear="all"/>
            </w:r>
          </w:p>
        </w:tc>
        <w:tc>
          <w:tcPr>
            <w:tcW w:w="113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firstLine="22" w:end="479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Запросы и проблемы, которые не приводят к остановке УСПО-112 и(или) СПО, но могут привести к некорректной работе УСПО-112 и(или) СПО в будущем;</w:t>
            </w:r>
          </w:p>
          <w:p>
            <w:pPr>
              <w:pStyle w:val="Normal"/>
              <w:numPr>
                <w:ilvl w:val="0"/>
                <w:numId w:val="1"/>
              </w:numPr>
              <w:ind w:firstLine="22" w:end="479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Проблемы, препятствующие проведению выгрузки/загрузки информации в модули интеграции с другими системами;</w:t>
            </w:r>
          </w:p>
          <w:p>
            <w:pPr>
              <w:pStyle w:val="Normal"/>
              <w:numPr>
                <w:ilvl w:val="0"/>
                <w:numId w:val="1"/>
              </w:numPr>
              <w:ind w:firstLine="22" w:end="479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Проблемы, препятствующие выполнению в УСПО-112 и(или) СПО действий, связанных с поддержкой принятия решений и автоматизированного контроля реагирования.</w:t>
            </w:r>
          </w:p>
        </w:tc>
      </w:tr>
      <w:tr>
        <w:trPr/>
        <w:tc>
          <w:tcPr>
            <w:tcW w:w="43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firstLine="2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Обычный</w:t>
            </w:r>
          </w:p>
          <w:p>
            <w:pPr>
              <w:pStyle w:val="Normal"/>
              <w:ind w:firstLine="2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(степень приоритета 3)</w:t>
            </w:r>
          </w:p>
        </w:tc>
        <w:tc>
          <w:tcPr>
            <w:tcW w:w="113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firstLine="22" w:end="479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Проблемы, связанные с формированием утверждённых форм статистических отчётов о работе объекта автоматизации;</w:t>
            </w:r>
          </w:p>
          <w:p>
            <w:pPr>
              <w:pStyle w:val="Normal"/>
              <w:numPr>
                <w:ilvl w:val="0"/>
                <w:numId w:val="1"/>
              </w:numPr>
              <w:ind w:firstLine="22" w:end="479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Проблемы, связанные с некорректной работой окружения оборудования;</w:t>
            </w:r>
          </w:p>
          <w:p>
            <w:pPr>
              <w:pStyle w:val="Normal"/>
              <w:numPr>
                <w:ilvl w:val="0"/>
                <w:numId w:val="1"/>
              </w:numPr>
              <w:ind w:firstLine="22" w:end="479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Вопросы по настройке оборудования;</w:t>
            </w:r>
          </w:p>
          <w:p>
            <w:pPr>
              <w:pStyle w:val="Normal"/>
              <w:numPr>
                <w:ilvl w:val="0"/>
                <w:numId w:val="1"/>
              </w:numPr>
              <w:ind w:firstLine="22" w:end="479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Различные виды внутренних ошибок, не оказывающих влияния на работу оборудования;</w:t>
            </w:r>
          </w:p>
          <w:p>
            <w:pPr>
              <w:pStyle w:val="Normal"/>
              <w:numPr>
                <w:ilvl w:val="0"/>
                <w:numId w:val="1"/>
              </w:numPr>
              <w:ind w:firstLine="22" w:end="479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Незначительные проблемы при выполнении администрирования и техобслуживания УСПО-112 и(или) СПО.</w:t>
            </w:r>
          </w:p>
        </w:tc>
      </w:tr>
      <w:tr>
        <w:trPr/>
        <w:tc>
          <w:tcPr>
            <w:tcW w:w="43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firstLine="2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Прочие</w:t>
            </w:r>
          </w:p>
          <w:p>
            <w:pPr>
              <w:pStyle w:val="Normal"/>
              <w:ind w:firstLine="2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(степень приоритета 4)</w:t>
            </w:r>
          </w:p>
        </w:tc>
        <w:tc>
          <w:tcPr>
            <w:tcW w:w="113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firstLine="22" w:end="479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Незначительные проблемы при выполнении администрирования и техобслуживания;</w:t>
            </w:r>
          </w:p>
          <w:p>
            <w:pPr>
              <w:pStyle w:val="Normal"/>
              <w:numPr>
                <w:ilvl w:val="0"/>
                <w:numId w:val="1"/>
              </w:numPr>
              <w:ind w:firstLine="22" w:end="479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Различные виды внутренних ошибок, не оказывающих влияния на работу оборудования/программного обеспечения;</w:t>
            </w:r>
          </w:p>
          <w:p>
            <w:pPr>
              <w:pStyle w:val="Normal"/>
              <w:numPr>
                <w:ilvl w:val="0"/>
                <w:numId w:val="1"/>
              </w:numPr>
              <w:ind w:firstLine="22" w:end="479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Запросы на документацию, получение информации о работе систем, запросы на изменение и жалобы;</w:t>
            </w:r>
          </w:p>
          <w:p>
            <w:pPr>
              <w:pStyle w:val="Normal"/>
              <w:numPr>
                <w:ilvl w:val="0"/>
                <w:numId w:val="1"/>
              </w:numPr>
              <w:ind w:firstLine="22" w:end="479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Некорректная работа функций, не оговорённых в документации на оборудование/ УСПО-112 и(или) СПО.</w:t>
            </w:r>
          </w:p>
        </w:tc>
      </w:tr>
    </w:tbl>
    <w:p>
      <w:pPr>
        <w:pStyle w:val="Normal"/>
        <w:spacing w:lineRule="auto" w:line="257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Normal"/>
        <w:spacing w:lineRule="auto" w:line="257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  <w:bookmarkStart w:id="2" w:name="_Hlk152340267"/>
      <w:bookmarkStart w:id="3" w:name="_Hlk152340267"/>
      <w:bookmarkEnd w:id="3"/>
      <w:r>
        <w:br w:type="page"/>
      </w:r>
    </w:p>
    <w:p>
      <w:pPr>
        <w:pStyle w:val="Normal"/>
        <w:spacing w:lineRule="auto" w:line="257" w:before="0" w:after="0"/>
        <w:jc w:val="end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Приложение № 2</w:t>
      </w:r>
    </w:p>
    <w:p>
      <w:pPr>
        <w:pStyle w:val="Normal"/>
        <w:spacing w:lineRule="auto" w:line="257"/>
        <w:jc w:val="end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к </w:t>
      </w:r>
      <w:r>
        <w:rPr>
          <w:rFonts w:ascii="Times New Roman" w:hAnsi="Times New Roman"/>
          <w:b/>
          <w:color w:val="00000A"/>
          <w:sz w:val="20"/>
        </w:rPr>
        <w:t>Техническому заданию</w:t>
      </w:r>
    </w:p>
    <w:p>
      <w:pPr>
        <w:pStyle w:val="Normal"/>
        <w:spacing w:lineRule="auto" w:line="257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Normal"/>
        <w:spacing w:lineRule="auto" w:line="257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  <w:bookmarkStart w:id="4" w:name="_Hlk152340218"/>
      <w:bookmarkStart w:id="5" w:name="_Hlk152340218"/>
      <w:bookmarkEnd w:id="5"/>
    </w:p>
    <w:p>
      <w:pPr>
        <w:pStyle w:val="Normal"/>
        <w:spacing w:before="0" w:after="120"/>
        <w:ind w:firstLine="70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Список объектов (ЦОВ-АЦ, ЕДДС и ДДС), участвующих в информационном обмене в рамках предоставления услуги</w:t>
      </w:r>
    </w:p>
    <w:p>
      <w:pPr>
        <w:pStyle w:val="Normal"/>
        <w:numPr>
          <w:ilvl w:val="0"/>
          <w:numId w:val="36"/>
        </w:numPr>
        <w:tabs>
          <w:tab w:val="clear" w:pos="708"/>
          <w:tab w:val="left" w:pos="1134" w:leader="none"/>
        </w:tabs>
        <w:spacing w:lineRule="auto" w:line="276" w:before="0" w:after="16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Центры системы – 112 на территории Республики Алтай </w:t>
      </w:r>
    </w:p>
    <w:tbl>
      <w:tblPr>
        <w:tblW w:w="9924" w:type="dxa"/>
        <w:jc w:val="start"/>
        <w:tblInd w:w="-3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64"/>
        <w:gridCol w:w="3120"/>
        <w:gridCol w:w="6240"/>
      </w:tblGrid>
      <w:tr>
        <w:trPr/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31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 </w:t>
            </w:r>
          </w:p>
        </w:tc>
        <w:tc>
          <w:tcPr>
            <w:tcW w:w="62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Адрес размещения</w:t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37"/>
              </w:numPr>
              <w:spacing w:lineRule="auto" w:line="257" w:before="0" w:after="16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1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ЦОВ</w:t>
            </w:r>
          </w:p>
        </w:tc>
        <w:tc>
          <w:tcPr>
            <w:tcW w:w="62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Алтай, Майминский район, территория ИП «Жемчужина Алтая», строение № 4</w:t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38"/>
              </w:numPr>
              <w:spacing w:lineRule="auto" w:line="257" w:before="0" w:after="16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1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РЦОВ</w:t>
            </w:r>
          </w:p>
        </w:tc>
        <w:tc>
          <w:tcPr>
            <w:tcW w:w="62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Алтай, Майминский район, территория ИП «Жемчужина Алтая», строение № 3</w:t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39"/>
              </w:numPr>
              <w:spacing w:lineRule="auto" w:line="257" w:before="0" w:after="16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1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ЦУКС</w:t>
            </w:r>
          </w:p>
        </w:tc>
        <w:tc>
          <w:tcPr>
            <w:tcW w:w="62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Горно-Алтайск, пр. Коммунистический, 115/1</w:t>
            </w:r>
          </w:p>
        </w:tc>
      </w:tr>
    </w:tbl>
    <w:p>
      <w:pPr>
        <w:pStyle w:val="Normal"/>
        <w:spacing w:lineRule="auto" w:line="257" w:before="0" w:after="16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numPr>
          <w:ilvl w:val="0"/>
          <w:numId w:val="40"/>
        </w:numPr>
        <w:tabs>
          <w:tab w:val="clear" w:pos="708"/>
          <w:tab w:val="left" w:pos="1134" w:leader="none"/>
        </w:tabs>
        <w:spacing w:lineRule="auto" w:line="257" w:before="0" w:after="16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Перечень и адреса размещения ЕДДС Республики Алтай</w:t>
      </w:r>
    </w:p>
    <w:tbl>
      <w:tblPr>
        <w:tblW w:w="9930" w:type="dxa"/>
        <w:jc w:val="start"/>
        <w:tblInd w:w="-3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67"/>
        <w:gridCol w:w="2004"/>
        <w:gridCol w:w="2883"/>
        <w:gridCol w:w="2915"/>
        <w:gridCol w:w="1561"/>
      </w:tblGrid>
      <w:tr>
        <w:trPr/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20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Название муниципального района</w:t>
            </w: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ЕДДС</w:t>
            </w: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Адрес размещения ЕДДС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Телефон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1"/>
              </w:numPr>
              <w:spacing w:lineRule="auto" w:line="257" w:before="0" w:after="160"/>
              <w:ind w:hang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0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Горно-Алтайск</w:t>
            </w: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МКУ «По делам ГОЧС и единая дежурно-диспетчерская служба МО «Город Горно-Алтайск»</w:t>
            </w: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Горно-Алтайск проспект Коммунистический, 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д.18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(388-22)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2-24-35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2"/>
              </w:numPr>
              <w:spacing w:lineRule="auto" w:line="257" w:before="0" w:after="160"/>
              <w:ind w:hanging="18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0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Майминский район</w:t>
            </w: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МКУ «по делам ГОЧС и единая дежурно-диспетчерская служба муниципального образования «Майминский район»</w:t>
            </w: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с. Майма, 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улица Ленина, д.22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(388-44)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22-6-22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3"/>
              </w:numPr>
              <w:spacing w:lineRule="auto" w:line="257" w:before="0" w:after="160"/>
              <w:ind w:hang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0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Чойский  район</w:t>
            </w: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МАУ «Чойские ЖКУ»</w:t>
            </w: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с. Чоя, 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улица Ленина,  д.27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(388-40)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22-0-06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4"/>
              </w:numPr>
              <w:spacing w:lineRule="auto" w:line="257" w:before="0" w:after="160"/>
              <w:ind w:hang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0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Турочакский  район</w:t>
            </w: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МКУ «Управление по делам ГОЧС и ЕДДС»</w:t>
            </w: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с. Турочак, 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улица Советская, д.77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(388-43)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22-1-33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5"/>
              </w:numPr>
              <w:spacing w:lineRule="auto" w:line="257" w:before="0" w:after="160"/>
              <w:ind w:hang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0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Чемальский район</w:t>
            </w: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МКУ «Единая диспетчерско-хозяйственная служба»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с. Чемал, 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улица Пчелкина, д.89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(388-41) 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22-9-11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6"/>
              </w:numPr>
              <w:spacing w:lineRule="auto" w:line="257" w:before="0" w:after="160"/>
              <w:ind w:hang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0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Шебалинский район</w:t>
            </w: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МКУ «По делам ГОЧС и ЕДДС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 «Шебалинский район»</w:t>
            </w: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село Шебалино, 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улица Советская, д.19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(388-49)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22-8-68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7"/>
              </w:numPr>
              <w:spacing w:lineRule="auto" w:line="257" w:before="0" w:after="160"/>
              <w:ind w:hang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0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Онгудайский  район</w:t>
            </w: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МКУ «По делам ГОЧС и ЕДДС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 «Онгудайский район»</w:t>
            </w: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с. Онгудай, 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улица Советская,д.78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(388-45)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22-5-71</w:t>
            </w:r>
          </w:p>
        </w:tc>
      </w:tr>
      <w:tr>
        <w:trPr>
          <w:trHeight w:val="501" w:hRule="atLeast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8"/>
              </w:numPr>
              <w:spacing w:lineRule="auto" w:line="257" w:before="0" w:after="160"/>
              <w:ind w:hang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0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Улаганский район</w:t>
            </w: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МКУ «По делам ГОЧС и ЕДДС МО «Улаганский район»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с.Улаган, 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улица Санаа, д.8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(388-46)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22-9-11</w:t>
            </w:r>
          </w:p>
        </w:tc>
      </w:tr>
      <w:tr>
        <w:trPr>
          <w:trHeight w:val="274" w:hRule="atLeast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9"/>
              </w:numPr>
              <w:spacing w:lineRule="auto" w:line="257" w:before="0" w:after="160"/>
              <w:ind w:hang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0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Усть-Канский район</w:t>
            </w: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МКУ «По делам ГОЧС и ЕДДС»</w:t>
            </w: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с.Усть-Кан,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улица Первомайская, д. 2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(388-47)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23-1-13</w:t>
            </w:r>
          </w:p>
        </w:tc>
      </w:tr>
      <w:tr>
        <w:trPr>
          <w:trHeight w:val="274" w:hRule="atLeast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50"/>
              </w:numPr>
              <w:spacing w:lineRule="auto" w:line="257" w:before="0" w:after="160"/>
              <w:ind w:firstLine="3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0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Усть-Коксинский район</w:t>
            </w: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  муниципального образования «Усть-Коксинский район»</w:t>
            </w: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с. Усть-Кокса, 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пер. Школьный, д.6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(388-48)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23-2-12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51"/>
              </w:numPr>
              <w:spacing w:lineRule="auto" w:line="257" w:before="0" w:after="160"/>
              <w:ind w:hanging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0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Кош-Агачский район</w:t>
            </w:r>
          </w:p>
        </w:tc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МКУ «По делам ГО,ЧС  и вопросам ЕДДС»</w:t>
            </w:r>
          </w:p>
        </w:tc>
        <w:tc>
          <w:tcPr>
            <w:tcW w:w="2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Кош-Агач,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улица Советская д. 65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(388-42) 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22-0-50</w:t>
            </w:r>
          </w:p>
        </w:tc>
      </w:tr>
    </w:tbl>
    <w:p>
      <w:pPr>
        <w:pStyle w:val="Normal"/>
        <w:spacing w:lineRule="auto" w:line="257" w:before="0" w:after="16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numPr>
          <w:ilvl w:val="0"/>
          <w:numId w:val="52"/>
        </w:numPr>
        <w:tabs>
          <w:tab w:val="clear" w:pos="708"/>
          <w:tab w:val="left" w:pos="426" w:leader="none"/>
        </w:tabs>
        <w:spacing w:lineRule="auto" w:line="257" w:before="0" w:after="160"/>
        <w:ind w:hanging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Перечень и адреса размещения ДДС Республики Алтай</w:t>
      </w:r>
    </w:p>
    <w:tbl>
      <w:tblPr>
        <w:tblW w:w="9899" w:type="dxa"/>
        <w:jc w:val="start"/>
        <w:tblInd w:w="-3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982"/>
        <w:gridCol w:w="1705"/>
        <w:gridCol w:w="1899"/>
        <w:gridCol w:w="1762"/>
        <w:gridCol w:w="1416"/>
        <w:gridCol w:w="1134"/>
      </w:tblGrid>
      <w:tr>
        <w:trPr/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Название муниципального района/городского округа/района/</w:t>
            </w:r>
          </w:p>
          <w:p>
            <w:pPr>
              <w:pStyle w:val="Normal"/>
              <w:spacing w:lineRule="auto" w:line="2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поселения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Взаимодействующая ЕДДС</w:t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Принадлежность к ЭОС 01(101)/02(102)</w:t>
            </w:r>
          </w:p>
          <w:p>
            <w:pPr>
              <w:pStyle w:val="Normal"/>
              <w:spacing w:lineRule="auto" w:line="2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/03(103)/04(104)</w:t>
            </w:r>
          </w:p>
          <w:p>
            <w:pPr>
              <w:pStyle w:val="Normal"/>
              <w:spacing w:lineRule="auto" w:line="2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Антитеррор/Служба реагирования в ЧС/остальные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ДДС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Адрес размещения ДДС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Телефон</w:t>
            </w:r>
          </w:p>
        </w:tc>
      </w:tr>
      <w:tr>
        <w:trPr/>
        <w:tc>
          <w:tcPr>
            <w:tcW w:w="198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г.Горно-Алтайск 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(388-22)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МКУ «По делам ГОЧС и единая дежурно-диспетчерская служба МО «Город Горно-Алтайск»</w:t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01(101)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ЦППС 1 ОФПС 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пр-т. Коммунистический, 115/1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01, 101, 40-3-59</w:t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02(102)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ДЧ МВД по РА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пр-т.  Коммунистический, 40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02, 102, 22935, 92502</w:t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03(103)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Диспетчер БСМП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пр-т. Коммунистический, 13/1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03, 103, </w:t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04(104)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Диспетчер ОАО «Алтай газ»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Ленина, 245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04, 104, 2-43-55</w:t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Антитеррор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ДЧ УФСБ РФ по РА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пр-т. Коммунистический, 94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4-80-00</w:t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Служба реагирования в ЧС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Алтайский ПСО МЧС России (филиал ФГКУ «СРПСО МЧС России»)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Красноармейская, 52/2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5-11-06, 5-11-07</w:t>
            </w:r>
          </w:p>
        </w:tc>
      </w:tr>
      <w:tr>
        <w:trPr/>
        <w:tc>
          <w:tcPr>
            <w:tcW w:w="198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Майминский район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(388-44)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МКУ «по делам ГОЧС и единая дежурно-диспетчерская служба муниципального образования «Майминский район»</w:t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01(101)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ПСЧ №3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с.Майма 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Катунская, д.1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01, 101, 21-9-46</w:t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02(102)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Межмуниципальный отдел МВД РФ «Майминский»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Ленина, д.2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02, 102, 21-8-43</w:t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03(103)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Диспетчер БСМП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Строителей, д.9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03, 103,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22-0-71 </w:t>
            </w:r>
          </w:p>
        </w:tc>
      </w:tr>
      <w:tr>
        <w:trPr/>
        <w:tc>
          <w:tcPr>
            <w:tcW w:w="198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Чойский район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(388-40)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МАУ «Чойские ЖКУ»</w:t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01(101)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ПСЧ №4 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с.Чоя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Зеленая, д.5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01, 101, 22-4-36</w:t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02(102)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 полиции №5 (с. Чоя) Межмуниципальный отдел МВД РФ «Турочакский»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Калинина, 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02, 102, 22-4-33, 22-3-33</w:t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03(103)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ЦРБ с.Чоя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Советская,5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03, 103,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22-0-20</w:t>
            </w:r>
          </w:p>
        </w:tc>
      </w:tr>
      <w:tr>
        <w:trPr/>
        <w:tc>
          <w:tcPr>
            <w:tcW w:w="198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Турочакский район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(388-43)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МКУ 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«Управление по делам ГОЧС и ЕДДС»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01(101)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ПСЧ №6 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Турочак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Тельмана, д.19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01,101, 22-0-01</w:t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02(102)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Межмуниципальный отдел МВД РФ «Турочакский»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Осипова, д.1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02, 102, 22-9-66, 22-3-33</w:t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03(103)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ЦРБ с. Турочак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Набережная,д.1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03,103, 22-1-41</w:t>
            </w:r>
          </w:p>
        </w:tc>
      </w:tr>
      <w:tr>
        <w:trPr/>
        <w:tc>
          <w:tcPr>
            <w:tcW w:w="198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Чемальский район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(388-41)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МКУ «Единая диспетчерско-хозяйственная служба»</w:t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01(101)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ПСЧ №5 с.Чемал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Пчелкина, д.76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01, 101, 22-8-42</w:t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02(102)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 полиции №1 (с. Чемал) Межмуниципальный отдел МВД РФ «Майминский»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ул. Алтайская, д.2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02,102,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22-0-02</w:t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03(103)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ЦРБ с. Чемал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ул.Алтайская,д.9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03,103, 24-3-34</w:t>
            </w:r>
          </w:p>
        </w:tc>
      </w:tr>
      <w:tr>
        <w:trPr/>
        <w:tc>
          <w:tcPr>
            <w:tcW w:w="198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Шебалинский район 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(388-49)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МКУ «По делам ГОЧС и ЕДДС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 «Шебалинский район»</w:t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01(101)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ПСЧ №7 с.Шебалино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Советская, д.45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01,101, 22-0-45</w:t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02(102)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Отделение полиции №3 (с. Шебалино) Межмуниципальный отдел МВД РФ «Онгудайский»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Советская, д.45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02, 102, 22-9-02,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22-3-33</w:t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03(103)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ЦРБ с. Шебалино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ул.Федорова,д.20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03,103,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22-1-87</w:t>
            </w:r>
          </w:p>
        </w:tc>
      </w:tr>
      <w:tr>
        <w:trPr/>
        <w:tc>
          <w:tcPr>
            <w:tcW w:w="198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Онгудайский район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(388-45)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МКУ «По делам ГОЧС и ЕДДС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 «Онгудайский район»</w:t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01(101)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ПСЧ №8 с.Онгудай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Советская, д.70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01,101, 22-9-54</w:t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02(102)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Межмуниципальный отдел МВД РФ «Онгудайский»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Ленина, д.14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02, 102, 22-0-41</w:t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03(103)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ЦРБ с. Онгудай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ул.Космонавтов,д.14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03,103, 22-1-87</w:t>
            </w:r>
          </w:p>
        </w:tc>
      </w:tr>
      <w:tr>
        <w:trPr/>
        <w:tc>
          <w:tcPr>
            <w:tcW w:w="198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Усть-Канский район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(388-47)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МКУ «По делам ГОЧС и ЕДДС»</w:t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01(101)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ПСЧ №9 с.Усть-Кан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ул. Октябрьская,д.7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01,101, 22-6-01</w:t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02(102)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Межмуниципальный отдел МВД РФ «Усть-Канский»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Октябрьская,д.7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02, 102, 22-5-43,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22-3-33</w:t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03(103)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ЦРБ с. Усть-Кан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ул.Юбилейная,д.1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03,103,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22-1-87</w:t>
            </w:r>
          </w:p>
        </w:tc>
      </w:tr>
      <w:tr>
        <w:trPr/>
        <w:tc>
          <w:tcPr>
            <w:tcW w:w="198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Усть-Коксинский район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(388-48)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  муниципального образования «Усть-Коксинский район»</w:t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01(101)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ПСЧ №10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с.Усть-Кокса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Набережная, д.71/2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01,101, 22-5-05</w:t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02(102)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Отделение полиции №2 (с. Усть-Кокса) Межмуниципальный отдел МВД РФ «Усть-Канский»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Набережная, д.71/1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02, 102, 22-5-88,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22-3-33</w:t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03(103)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ЦРБ с. Усть-Кокса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пер.Школьный,д.6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03,103,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22-1-87</w:t>
            </w:r>
          </w:p>
        </w:tc>
      </w:tr>
      <w:tr>
        <w:trPr/>
        <w:tc>
          <w:tcPr>
            <w:tcW w:w="198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Улаганский район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(388-46)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МКУ «По делам ГОЧС и ЕДДС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 «Улаганский район»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01(101)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ПСЧ №11 с.Улаган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Санаа, д.21/1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01,101, 22-1-41</w:t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02(102)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Отделение полиции №4 (с. Улаган) Межмуниципальный отдел МВД РФ «Кош-Агачский»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Санаа, д.21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02, 102, 22-5-71,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22-3-33</w:t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03(103)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ЦРБ с. Улаган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ул.Больничная,д.30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03,103,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22-1-21</w:t>
            </w:r>
          </w:p>
        </w:tc>
      </w:tr>
      <w:tr>
        <w:trPr/>
        <w:tc>
          <w:tcPr>
            <w:tcW w:w="198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Кош-Агачский район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(388-42)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МКУ «По делам ГО, ЧС и вопросам ЕДДС»</w:t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01(101)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ПСЧ №12 с.Кош-Агач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Пограничная, д.17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01,101, 22-1-00</w:t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02(102)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Межмуниципальный отдел МВД РФ «Кош-Агачский»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Советская, д.8А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02, 102, 22-1-44</w:t>
            </w:r>
          </w:p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/>
        <w:tc>
          <w:tcPr>
            <w:tcW w:w="1982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03(103)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ЦРБ с. Кош-Агач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ул. Медицинская, д.3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03,103, 22-4-21</w:t>
            </w:r>
          </w:p>
        </w:tc>
      </w:tr>
    </w:tbl>
    <w:p>
      <w:pPr>
        <w:pStyle w:val="Normal"/>
        <w:spacing w:lineRule="auto" w:line="257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Normal"/>
        <w:spacing w:lineRule="auto" w:line="257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Normal"/>
        <w:spacing w:lineRule="auto" w:line="257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  <w:r>
        <w:br w:type="page"/>
      </w:r>
    </w:p>
    <w:p>
      <w:pPr>
        <w:pStyle w:val="Normal"/>
        <w:spacing w:lineRule="auto" w:line="257" w:before="0" w:after="0"/>
        <w:jc w:val="end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Приложение № 3</w:t>
      </w:r>
    </w:p>
    <w:p>
      <w:pPr>
        <w:pStyle w:val="Normal"/>
        <w:spacing w:lineRule="auto" w:line="257"/>
        <w:jc w:val="end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к </w:t>
      </w:r>
      <w:r>
        <w:rPr>
          <w:rFonts w:ascii="Times New Roman" w:hAnsi="Times New Roman"/>
          <w:b/>
          <w:color w:val="00000A"/>
          <w:sz w:val="20"/>
        </w:rPr>
        <w:t>Техническому заданию</w:t>
      </w:r>
    </w:p>
    <w:p>
      <w:pPr>
        <w:pStyle w:val="Normal"/>
        <w:spacing w:lineRule="auto" w:line="257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Normal"/>
        <w:spacing w:lineRule="auto" w:line="257"/>
        <w:jc w:val="center"/>
        <w:rPr>
          <w:rFonts w:ascii="Times New Roman" w:hAnsi="Times New Roman"/>
          <w:sz w:val="20"/>
        </w:rPr>
      </w:pPr>
      <w:bookmarkStart w:id="6" w:name="_Hlk152340712"/>
      <w:bookmarkEnd w:id="6"/>
      <w:r>
        <w:rPr>
          <w:rFonts w:ascii="Times New Roman" w:hAnsi="Times New Roman"/>
          <w:b/>
          <w:sz w:val="20"/>
        </w:rPr>
        <w:t>Характеристика объектов автоматизации</w:t>
      </w:r>
    </w:p>
    <w:p>
      <w:pPr>
        <w:pStyle w:val="Normal"/>
        <w:keepNext w:val="true"/>
        <w:keepLines/>
        <w:numPr>
          <w:ilvl w:val="0"/>
          <w:numId w:val="2"/>
        </w:numPr>
        <w:spacing w:lineRule="auto" w:line="259" w:before="240" w:after="240"/>
        <w:ind w:hanging="0"/>
        <w:contextualSpacing/>
        <w:outlineLvl w:val="1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Термины, определения, сокращения, аббревиатуры</w:t>
      </w:r>
    </w:p>
    <w:tbl>
      <w:tblPr>
        <w:tblW w:w="10849" w:type="dxa"/>
        <w:jc w:val="start"/>
        <w:tblInd w:w="-10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948"/>
        <w:gridCol w:w="8900"/>
      </w:tblGrid>
      <w:tr>
        <w:trPr>
          <w:trHeight w:val="454" w:hRule="atLeast"/>
        </w:trPr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112</w:t>
            </w:r>
          </w:p>
        </w:tc>
        <w:tc>
          <w:tcPr>
            <w:tcW w:w="8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Единый номер вызова экстренных оперативных служб на территории Российской Федерации</w:t>
            </w:r>
          </w:p>
        </w:tc>
      </w:tr>
      <w:tr>
        <w:trPr>
          <w:trHeight w:val="454" w:hRule="atLeast"/>
        </w:trPr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АРМ</w:t>
            </w:r>
          </w:p>
        </w:tc>
        <w:tc>
          <w:tcPr>
            <w:tcW w:w="8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Автоматизированное рабочее место</w:t>
            </w:r>
          </w:p>
        </w:tc>
      </w:tr>
      <w:tr>
        <w:trPr>
          <w:trHeight w:val="454" w:hRule="atLeast"/>
        </w:trPr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АТС</w:t>
            </w:r>
          </w:p>
        </w:tc>
        <w:tc>
          <w:tcPr>
            <w:tcW w:w="8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Автоматическая телефонная станция</w:t>
            </w:r>
          </w:p>
        </w:tc>
      </w:tr>
      <w:tr>
        <w:trPr>
          <w:trHeight w:val="454" w:hRule="atLeast"/>
        </w:trPr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ГИС</w:t>
            </w:r>
          </w:p>
        </w:tc>
        <w:tc>
          <w:tcPr>
            <w:tcW w:w="8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Геоинформационная система</w:t>
            </w:r>
          </w:p>
        </w:tc>
      </w:tr>
      <w:tr>
        <w:trPr>
          <w:trHeight w:val="454" w:hRule="atLeast"/>
        </w:trPr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ЧС</w:t>
            </w:r>
          </w:p>
        </w:tc>
        <w:tc>
          <w:tcPr>
            <w:tcW w:w="8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Чрезвычайные ситуации</w:t>
            </w:r>
          </w:p>
        </w:tc>
      </w:tr>
      <w:tr>
        <w:trPr>
          <w:trHeight w:val="454" w:hRule="atLeast"/>
        </w:trPr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</w:t>
            </w:r>
          </w:p>
        </w:tc>
        <w:tc>
          <w:tcPr>
            <w:tcW w:w="8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Дежурно-диспетчерская служба, в настоящем Приложении означает весь перечень экстренных оперативных служб, оперативных служб и организаций, интегрируемых в систему-112</w:t>
            </w:r>
          </w:p>
        </w:tc>
      </w:tr>
      <w:tr>
        <w:trPr>
          <w:trHeight w:val="454" w:hRule="atLeast"/>
        </w:trPr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Диспетчер</w:t>
            </w:r>
          </w:p>
        </w:tc>
        <w:tc>
          <w:tcPr>
            <w:tcW w:w="8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Сотрудник ДДС или ЕДДС, осуществляющий приём вызовов или управление подразделениями в рамках компетенции своей службы</w:t>
            </w:r>
          </w:p>
        </w:tc>
      </w:tr>
      <w:tr>
        <w:trPr>
          <w:trHeight w:val="454" w:hRule="atLeast"/>
        </w:trPr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8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Единая дежурно-диспетчерская служба</w:t>
            </w:r>
          </w:p>
        </w:tc>
      </w:tr>
      <w:tr>
        <w:trPr>
          <w:trHeight w:val="454" w:hRule="atLeast"/>
        </w:trPr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КТС</w:t>
            </w:r>
          </w:p>
        </w:tc>
        <w:tc>
          <w:tcPr>
            <w:tcW w:w="8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 технических средств</w:t>
            </w:r>
          </w:p>
        </w:tc>
      </w:tr>
      <w:tr>
        <w:trPr>
          <w:trHeight w:val="669" w:hRule="atLeast"/>
        </w:trPr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Гос Заказчик</w:t>
            </w:r>
          </w:p>
        </w:tc>
        <w:tc>
          <w:tcPr>
            <w:tcW w:w="8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Казенное учреждение Республики Алтай «Управление по обеспечению мероприятий в области  гражданской обороны, чрезвычайных ситуаций и пожарной безопасности в Республике Алтай»</w:t>
            </w:r>
          </w:p>
        </w:tc>
      </w:tr>
      <w:tr>
        <w:trPr>
          <w:trHeight w:val="454" w:hRule="atLeast"/>
        </w:trPr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МЧС России</w:t>
            </w:r>
          </w:p>
        </w:tc>
        <w:tc>
          <w:tcPr>
            <w:tcW w:w="8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</w:tr>
      <w:tr>
        <w:trPr>
          <w:trHeight w:val="454" w:hRule="atLeast"/>
        </w:trPr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Оператор</w:t>
            </w:r>
          </w:p>
        </w:tc>
        <w:tc>
          <w:tcPr>
            <w:tcW w:w="8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Сотрудник ЦОВ, РЦОВ, осуществляющий приём и обработку вызовов по номеру 112</w:t>
            </w:r>
          </w:p>
        </w:tc>
      </w:tr>
      <w:tr>
        <w:trPr>
          <w:trHeight w:val="454" w:hRule="atLeast"/>
        </w:trPr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</w:t>
            </w:r>
          </w:p>
        </w:tc>
        <w:tc>
          <w:tcPr>
            <w:tcW w:w="8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Операционная система</w:t>
            </w:r>
          </w:p>
        </w:tc>
      </w:tr>
      <w:tr>
        <w:trPr>
          <w:trHeight w:val="454" w:hRule="atLeast"/>
        </w:trPr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</w:t>
            </w:r>
          </w:p>
        </w:tc>
        <w:tc>
          <w:tcPr>
            <w:tcW w:w="8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Программное обеспечение</w:t>
            </w:r>
          </w:p>
        </w:tc>
      </w:tr>
      <w:tr>
        <w:trPr>
          <w:trHeight w:val="454" w:hRule="atLeast"/>
        </w:trPr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ПТК</w:t>
            </w:r>
          </w:p>
        </w:tc>
        <w:tc>
          <w:tcPr>
            <w:tcW w:w="8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Программно-технический комплекс</w:t>
            </w:r>
          </w:p>
        </w:tc>
      </w:tr>
      <w:tr>
        <w:trPr>
          <w:trHeight w:val="454" w:hRule="atLeast"/>
        </w:trPr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Система-112</w:t>
            </w:r>
          </w:p>
        </w:tc>
        <w:tc>
          <w:tcPr>
            <w:tcW w:w="8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Система обеспечения вызова экстренных оперативных служб по единому номеру «112» на территории Республики Алтай</w:t>
            </w:r>
          </w:p>
        </w:tc>
      </w:tr>
      <w:tr>
        <w:trPr>
          <w:trHeight w:val="454" w:hRule="atLeast"/>
        </w:trPr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СПО</w:t>
            </w:r>
          </w:p>
        </w:tc>
        <w:tc>
          <w:tcPr>
            <w:tcW w:w="8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Специальное программное обеспечение, используемое Государственным заказчиком для обеспечения полноценного функционирования системы-112, описанное в Приложении 4 к Договору</w:t>
            </w:r>
          </w:p>
        </w:tc>
      </w:tr>
      <w:tr>
        <w:trPr>
          <w:trHeight w:val="454" w:hRule="atLeast"/>
        </w:trPr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ТСКС-112</w:t>
            </w:r>
          </w:p>
        </w:tc>
        <w:tc>
          <w:tcPr>
            <w:tcW w:w="8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Технические средства коротких текстовых сообщений</w:t>
              <w:tab/>
              <w:t>.</w:t>
            </w:r>
          </w:p>
        </w:tc>
      </w:tr>
      <w:tr>
        <w:trPr>
          <w:trHeight w:val="454" w:hRule="atLeast"/>
        </w:trPr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ТСМН-112</w:t>
            </w:r>
          </w:p>
        </w:tc>
        <w:tc>
          <w:tcPr>
            <w:tcW w:w="8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Технические средства обработки информации о месте нахождения пользовательского оборудования и иной информации, необходимой для обеспечения реагирования</w:t>
            </w:r>
          </w:p>
        </w:tc>
      </w:tr>
      <w:tr>
        <w:trPr>
          <w:trHeight w:val="454" w:hRule="atLeast"/>
        </w:trPr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УСПО-112</w:t>
            </w:r>
          </w:p>
        </w:tc>
        <w:tc>
          <w:tcPr>
            <w:tcW w:w="8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Унифицированное (универсальное) специальное программное обеспечение «112»</w:t>
            </w:r>
          </w:p>
        </w:tc>
      </w:tr>
      <w:tr>
        <w:trPr>
          <w:trHeight w:val="454" w:hRule="atLeast"/>
        </w:trPr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ЦОВ-АЦ</w:t>
            </w:r>
          </w:p>
        </w:tc>
        <w:tc>
          <w:tcPr>
            <w:tcW w:w="8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Центр обработки вызовов системы-112, развёртываемый в административном центре субъекта Российской Федерации</w:t>
            </w:r>
          </w:p>
        </w:tc>
      </w:tr>
      <w:tr>
        <w:trPr>
          <w:trHeight w:val="454" w:hRule="atLeast"/>
        </w:trPr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ЦОВ-ЕДДС</w:t>
            </w:r>
          </w:p>
        </w:tc>
        <w:tc>
          <w:tcPr>
            <w:tcW w:w="8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Центр обработки вызовов системы-112 на базе единой дежурно-диспетчерской службы муниципального образования субъекта Российской Федерации</w:t>
            </w:r>
          </w:p>
        </w:tc>
      </w:tr>
      <w:tr>
        <w:trPr>
          <w:trHeight w:val="454" w:hRule="atLeast"/>
        </w:trPr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ЦУКС</w:t>
            </w:r>
          </w:p>
        </w:tc>
        <w:tc>
          <w:tcPr>
            <w:tcW w:w="8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Центр управления в кризисных ситуациях</w:t>
            </w:r>
          </w:p>
        </w:tc>
      </w:tr>
      <w:tr>
        <w:trPr>
          <w:trHeight w:val="454" w:hRule="atLeast"/>
        </w:trPr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ЭОС</w:t>
            </w:r>
          </w:p>
        </w:tc>
        <w:tc>
          <w:tcPr>
            <w:tcW w:w="89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Экстренная оперативная служба</w:t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Normal"/>
        <w:spacing w:lineRule="auto" w:line="257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2.1.</w:t>
        <w:tab/>
        <w:t>Общие сведения об объектах автоматизации</w:t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 соответствии с Положением о единой государственной системе предупреждения и ликвидации чрезвычайных ситуаций, утверждённым постановлением Правительства Российской Федерации от 30 декабря 2003г. № 794, в территориальных органах МЧС России были организованы центры управления в кризисных ситуациях, предназначенные для координации действия по предупреждению и ликвидации чрезвычайных ситуаций. </w:t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Органы повседневного управления единой государственной системы предупреждения и ликвидации чрезвычайных ситуаций региона включают в себя единые дежурно-диспетчерские службы муниципальных образований и дежурно-диспетчерские службы экстренных оперативных служб. ЕДДС являются органами повседневного управления местной (городской) подсистемы единой государственной системы предупреждения и ликвидации чрезвычайных ситуаций. ЕДДС предназначены для координации действий ЭОС одного или нескольких муниципальных образований Республики Алтай. На базе ЕДДС созданы центры обработки вызовов Системы-112, обеспечивающие приём и обработку вызовов (сообщений о происшествиях) от населения и организаций в зоне ответственности ЕДДС.</w:t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ЕДДС и ДДС Республики Алтай входят в соответствующие организационно-штатные структуры территориальных органов федеральных органов исполнительной власти, органов исполнительной власти Республики Алтай и органов местного самоуправления муниципальных районов, специально уполномоченных на решение задач гражданской обороны, предупреждения и ликвидации чрезвычайных ситуаций, безопасности государства, обеспечения правопорядка, безопасности жизни и здоровья граждан.</w:t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Для обеспечения координации взаимодействия при реагировании на вызовы (сообщения о происшествиях) вышеперечисленные объекты обеспечены единой транспортной инфраструктурой (каналами связи) и ПТК (АРМ).</w:t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Решение задач Системы-112 обеспечивают развёрнутые на функциональных объектах подсистемы (телекоммуникационная, информационно-коммуникационная, консультативного обслуживания населения, геоинформационная, мониторинга, обеспечения информационной безопасности).</w:t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2.2.</w:t>
        <w:tab/>
        <w:t>Структура системы</w:t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 состав Системы-112 Республики Алтай входят следующие функциональные подсистемы:</w:t>
      </w:r>
    </w:p>
    <w:p>
      <w:pPr>
        <w:pStyle w:val="Normal"/>
        <w:numPr>
          <w:ilvl w:val="0"/>
          <w:numId w:val="3"/>
        </w:numPr>
        <w:spacing w:lineRule="auto" w:line="25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информационно-коммуникационная подсистема;</w:t>
      </w:r>
    </w:p>
    <w:p>
      <w:pPr>
        <w:pStyle w:val="Normal"/>
        <w:numPr>
          <w:ilvl w:val="0"/>
          <w:numId w:val="3"/>
        </w:numPr>
        <w:spacing w:lineRule="auto" w:line="25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телекоммуникационная подсистема;</w:t>
      </w:r>
    </w:p>
    <w:p>
      <w:pPr>
        <w:pStyle w:val="Normal"/>
        <w:numPr>
          <w:ilvl w:val="0"/>
          <w:numId w:val="3"/>
        </w:numPr>
        <w:spacing w:lineRule="auto" w:line="25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геоинформационная подсистема;</w:t>
      </w:r>
    </w:p>
    <w:p>
      <w:pPr>
        <w:pStyle w:val="Normal"/>
        <w:numPr>
          <w:ilvl w:val="0"/>
          <w:numId w:val="3"/>
        </w:numPr>
        <w:spacing w:lineRule="auto" w:line="25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подсистема мониторинга;</w:t>
      </w:r>
    </w:p>
    <w:p>
      <w:pPr>
        <w:pStyle w:val="Normal"/>
        <w:numPr>
          <w:ilvl w:val="0"/>
          <w:numId w:val="3"/>
        </w:numPr>
        <w:spacing w:lineRule="auto" w:line="25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подсистема консультационного обслуживания;</w:t>
      </w:r>
    </w:p>
    <w:p>
      <w:pPr>
        <w:pStyle w:val="Normal"/>
        <w:numPr>
          <w:ilvl w:val="0"/>
          <w:numId w:val="3"/>
        </w:numPr>
        <w:spacing w:lineRule="auto" w:line="25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подсистема обеспечения информационной безопасности.</w:t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Информационно-коммуникационная подсистема</w:t>
      </w:r>
      <w:r>
        <w:rPr>
          <w:rFonts w:ascii="Times New Roman" w:hAnsi="Times New Roman"/>
          <w:sz w:val="20"/>
        </w:rPr>
        <w:t xml:space="preserve"> обеспечивает приём и обработку вызовов (сообщений о происшествиях) по единому номеру «112», передачу во взаимодействующие экстренные оперативные службы сообщений о вызовах с возможностью их подключения к разговорам. Осуществляется централизованное ведение и хранение базы данных об основных характеристиках происшествий, о начале, завершении и об основных результатах экстренного реагирования, централизованная регистрацию всех действий персонала Системы-112 по приёму и обработке вызовов.</w:t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Телекоммуникационная подсистема</w:t>
      </w:r>
      <w:r>
        <w:rPr>
          <w:rFonts w:ascii="Times New Roman" w:hAnsi="Times New Roman"/>
          <w:sz w:val="20"/>
        </w:rPr>
        <w:t xml:space="preserve"> предназначена для обеспечения прохождения вызовов (сообщений о происшествиях), включая телефонные вызовы, короткие текстовые сообщения (SMS), от пользователей (абонентов) сетей фиксированной или подвижной связи в Систему-112 и взаимодействия объектов в рамках Системы-112.</w:t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Геоинформационная подсистема</w:t>
      </w:r>
      <w:r>
        <w:rPr>
          <w:rFonts w:ascii="Times New Roman" w:hAnsi="Times New Roman"/>
          <w:sz w:val="20"/>
        </w:rPr>
        <w:t xml:space="preserve"> обеспечивает отображение на основе цифровых карт Республики Алтай:</w:t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природно-географических, социально-демографических, экономических и других характеристик территории;</w:t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местонахождение лица, обратившегося по номеру «112», и (или) абонентского устройства, с которого осуществлён вызов (сообщение о происшествии), место происшествия.</w:t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Подсистема мониторинга</w:t>
      </w:r>
      <w:r>
        <w:rPr>
          <w:rFonts w:ascii="Times New Roman" w:hAnsi="Times New Roman"/>
          <w:sz w:val="20"/>
        </w:rPr>
        <w:t xml:space="preserve"> обеспечивает приём и обработку информации и сигналов, поступающих от автомобильных терминалов системы экстренного реагирования при авариях «ЭРА-ГЛОНАСС».</w:t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Подсистема консультативного обслуживания</w:t>
      </w:r>
      <w:r>
        <w:rPr>
          <w:rFonts w:ascii="Times New Roman" w:hAnsi="Times New Roman"/>
          <w:sz w:val="20"/>
        </w:rPr>
        <w:t xml:space="preserve"> обеспечивает оказание информационно-справочной помощи лицам, обратившимся по номеру «112» с территории Республики Алтай, по вопросам обеспечения безопасности жизнедеятельности.</w:t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Подсистема обеспечения информационной безопасности </w:t>
      </w:r>
      <w:r>
        <w:rPr>
          <w:rFonts w:ascii="Times New Roman" w:hAnsi="Times New Roman"/>
          <w:sz w:val="20"/>
        </w:rPr>
        <w:t>обеспечивает защиту информации и средств её обработки в Системе-112 Республики Алтай.</w:t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2.3.</w:t>
        <w:tab/>
        <w:t>Единая дежурно-диспетчерская служба</w:t>
      </w:r>
    </w:p>
    <w:p>
      <w:pPr>
        <w:pStyle w:val="Normal"/>
        <w:tabs>
          <w:tab w:val="clear" w:pos="708"/>
          <w:tab w:val="left" w:pos="851" w:leader="none"/>
        </w:tabs>
        <w:spacing w:lineRule="auto" w:line="257"/>
        <w:ind w:firstLine="426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ЕДДС является подразделением муниципального образования Республики Алтай, предназначена для приёма и передачи сигналов оповещения ГО от вышестоящих органов управления, сигналов на изменение режимов функционирования муниципальных звеньев территориальной подсистемы РСЧС, приёма сообщений о ЧС (происшествиях) от населения и организаций, оперативного доведения данной информации до соответствующих ЭОС и организаций (объектов), координации совместных действий ЭОС и организаций, оперативного управления силами и средствами соответствующего звена территориальной подсистемы РСЧС, оповещения руководящего состава муниципального звена и населения об угрозе возникновения или возникновении ЧС (происшествий).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Общее руководство ЕДДС муниципального образования осуществляет руководитель органа местного самоуправления, непосредственное - руководитель ЕДДС муниципального образования. 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Основные задачи ЕДДС: </w:t>
      </w:r>
    </w:p>
    <w:p>
      <w:pPr>
        <w:pStyle w:val="basictext1"/>
        <w:numPr>
          <w:ilvl w:val="0"/>
          <w:numId w:val="4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приём от населения и организаций сообщений о любых чрезвычайных происшествиях, несущих информацию об угрозе или факте возникновения ЧС;</w:t>
      </w:r>
    </w:p>
    <w:p>
      <w:pPr>
        <w:pStyle w:val="basictext1"/>
        <w:numPr>
          <w:ilvl w:val="0"/>
          <w:numId w:val="4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анализ и оценка достоверности поступившей информации, доведение её до ДДС, в компетенцию которых входит реагирование на принятое сообщение;</w:t>
      </w:r>
    </w:p>
    <w:p>
      <w:pPr>
        <w:pStyle w:val="basictext1"/>
        <w:numPr>
          <w:ilvl w:val="0"/>
          <w:numId w:val="4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сбор от ДДС, служб контроля и наблюдения за окружающей средой и распространение между ДДС города полученной информации об угрозе или факте возникновения ЧС (происшествий), сложившейся обстановке и действиях сил и средств по ликвидации ЧС;</w:t>
      </w:r>
    </w:p>
    <w:p>
      <w:pPr>
        <w:pStyle w:val="basictext1"/>
        <w:numPr>
          <w:ilvl w:val="0"/>
          <w:numId w:val="4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обработка и анализ данных о ЧС, определение её масштаба и уточнение состава ДДС, привлекаемых для реагирования на ЧС, их оповещение о переводе в высшие режимы функционирования;</w:t>
      </w:r>
    </w:p>
    <w:p>
      <w:pPr>
        <w:pStyle w:val="basictext1"/>
        <w:numPr>
          <w:ilvl w:val="0"/>
          <w:numId w:val="4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обобщение, оценка и контроль данных обстановки, принятых мер по ликвидации чрезвычайной ситуации, подготовка и коррекция заранее разработанных и согласованных с городскими службами вариантов управленческих решений по ликвидации ЧС, принятие необходимых решений (в пределах установленных вышестоящими органами полномочий);</w:t>
      </w:r>
    </w:p>
    <w:p>
      <w:pPr>
        <w:pStyle w:val="basictext1"/>
        <w:numPr>
          <w:ilvl w:val="0"/>
          <w:numId w:val="4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информирование ДДС, привлекаемых к ликвидации ЧС, подчинённых сил постоянной готовности об обстановке, принятых и рекомендуемых мерах;</w:t>
      </w:r>
    </w:p>
    <w:p>
      <w:pPr>
        <w:pStyle w:val="basictext1"/>
        <w:numPr>
          <w:ilvl w:val="0"/>
          <w:numId w:val="4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представление докладов (донесений) об угрозе или возникновении ЧС, сложившейся обстановке, возможных вариантах решений и действиях по ликвидации ЧС (на основе ранее подготовленных и согласованных планов) вышестоящим органам управления по подчинённости;</w:t>
      </w:r>
    </w:p>
    <w:p>
      <w:pPr>
        <w:pStyle w:val="basictext1"/>
        <w:numPr>
          <w:ilvl w:val="0"/>
          <w:numId w:val="4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доведение задач, поставленных вышестоящими органами РСЧС, до ДДС и подчинённых сил постоянной готовности, контроль их выполнения и организация взаимодействия;</w:t>
      </w:r>
    </w:p>
    <w:p>
      <w:pPr>
        <w:pStyle w:val="basictext1"/>
        <w:numPr>
          <w:ilvl w:val="0"/>
          <w:numId w:val="4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обобщение информации о произошедших ЧС (за сутки дежурства), ходе работ по их ликвидации и представление соответствующих докладов по подчинённости.</w:t>
      </w:r>
    </w:p>
    <w:p>
      <w:pPr>
        <w:pStyle w:val="Normal"/>
        <w:tabs>
          <w:tab w:val="clear" w:pos="708"/>
          <w:tab w:val="left" w:pos="851" w:leader="none"/>
        </w:tabs>
        <w:spacing w:lineRule="auto" w:line="257"/>
        <w:ind w:firstLine="426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2.4. Центр обработки вызовов административного центра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ЦОВ создан на базе центра обработки вызовов Республики Алтай и предназначен для централизованного приёма и обработки вызовов от населения, проживающего в Республике Алтай, а также для взаимодействия с ЕДДС, ДДС, взаимодействия с региональным ЦУКС МЧС России (в рамках Системы-112).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ЦОВ функционирует в круглосуточном режиме.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Оборудование ЦОВ включает:</w:t>
      </w:r>
    </w:p>
    <w:p>
      <w:pPr>
        <w:pStyle w:val="basictext1"/>
        <w:numPr>
          <w:ilvl w:val="0"/>
          <w:numId w:val="5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автоматизированные рабочие места операторов дежурной смены;</w:t>
      </w:r>
    </w:p>
    <w:p>
      <w:pPr>
        <w:pStyle w:val="basictext1"/>
        <w:numPr>
          <w:ilvl w:val="0"/>
          <w:numId w:val="5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активное оборудование локальной вычислительной сети;</w:t>
      </w:r>
    </w:p>
    <w:p>
      <w:pPr>
        <w:pStyle w:val="basictext1"/>
        <w:numPr>
          <w:ilvl w:val="0"/>
          <w:numId w:val="5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серверное оборудование;</w:t>
      </w:r>
    </w:p>
    <w:p>
      <w:pPr>
        <w:pStyle w:val="basictext1"/>
        <w:numPr>
          <w:ilvl w:val="0"/>
          <w:numId w:val="5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системы хранения данных;</w:t>
      </w:r>
    </w:p>
    <w:p>
      <w:pPr>
        <w:pStyle w:val="basictext1"/>
        <w:numPr>
          <w:ilvl w:val="0"/>
          <w:numId w:val="5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структурированную кабельную сеть;</w:t>
      </w:r>
    </w:p>
    <w:p>
      <w:pPr>
        <w:pStyle w:val="basictext1"/>
        <w:numPr>
          <w:ilvl w:val="0"/>
          <w:numId w:val="5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средства связи;</w:t>
      </w:r>
    </w:p>
    <w:p>
      <w:pPr>
        <w:pStyle w:val="basictext1"/>
        <w:numPr>
          <w:ilvl w:val="0"/>
          <w:numId w:val="5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источники гарантированного электропитания.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 ЦОВ возложены следующие основные задачи:</w:t>
      </w:r>
    </w:p>
    <w:p>
      <w:pPr>
        <w:pStyle w:val="basictext1"/>
        <w:numPr>
          <w:ilvl w:val="0"/>
          <w:numId w:val="6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приём, регистрация, документирование вызовов (сообщений), переадресация вызовов, поступивших по номеру «112»;</w:t>
      </w:r>
    </w:p>
    <w:p>
      <w:pPr>
        <w:pStyle w:val="basictext1"/>
        <w:numPr>
          <w:ilvl w:val="0"/>
          <w:numId w:val="6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автоматизированное восстановление соединения с пользовательским (оконечным) оборудованием лица, обратившегося по номеру «112», в случае внезапного прерывания соединения;</w:t>
      </w:r>
    </w:p>
    <w:p>
      <w:pPr>
        <w:pStyle w:val="basictext1"/>
        <w:numPr>
          <w:ilvl w:val="0"/>
          <w:numId w:val="6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обеспечение консультативной поддержки населению при обращении по вопросам обеспечения безопасности жизнедеятельности;</w:t>
      </w:r>
    </w:p>
    <w:p>
      <w:pPr>
        <w:pStyle w:val="basictext1"/>
        <w:numPr>
          <w:ilvl w:val="0"/>
          <w:numId w:val="6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 необходимости подключение к разговору с абонентом психолога или переводчика.</w:t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2.5. Служба полиции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ДДС полиции является территориальным подразделением МВД России, подчиняется начальнику органа внутренних дел, непосредственно подчинена начальнику дежурной части органа внутренних дел. 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На ДДС полиции возлагаются следующие основные задачи: </w:t>
      </w:r>
    </w:p>
    <w:p>
      <w:pPr>
        <w:pStyle w:val="basictext1"/>
        <w:numPr>
          <w:ilvl w:val="0"/>
          <w:numId w:val="7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принимать и регистрировать (в том числе в электронной форме) заявления и сообщения о преступлениях, об административных правонарушениях, о происшествиях;</w:t>
      </w:r>
    </w:p>
    <w:p>
      <w:pPr>
        <w:pStyle w:val="basictext1"/>
        <w:numPr>
          <w:ilvl w:val="0"/>
          <w:numId w:val="7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передавать (направлять) заявления и сообщения о преступлениях, об административных правонарушениях, о происшествиях в государственные и муниципальные органы, организации или должностному лицу, к компетенции которых относится решение соответствующих вопросов, с уведомлением об этом в течение 24 часов заявителя; </w:t>
      </w:r>
    </w:p>
    <w:p>
      <w:pPr>
        <w:pStyle w:val="basictext1"/>
        <w:numPr>
          <w:ilvl w:val="0"/>
          <w:numId w:val="7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информировать соответствующие государственные и муниципальные органы, организации и должностных лиц этих органов и организаций о ставших известными полиции фактах, требующих их оперативного реагирования; </w:t>
      </w:r>
    </w:p>
    <w:p>
      <w:pPr>
        <w:pStyle w:val="basictext1"/>
        <w:numPr>
          <w:ilvl w:val="0"/>
          <w:numId w:val="7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организовывать незамедлительное прибытие должностных лиц на место совершения преступления, административного правонарушения, место происшествия для пресечения противоправных деяний, устранения угроз безопасности граждан и общественной безопасности, документирования обстоятельства совершения преступления, административного правонарушения, обстоятельства происшествия, обеспечения сохранности следов преступления, административного правонарушения, происшествия;</w:t>
      </w:r>
    </w:p>
    <w:p>
      <w:pPr>
        <w:pStyle w:val="basictext1"/>
        <w:numPr>
          <w:ilvl w:val="0"/>
          <w:numId w:val="7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организовывать оказание первой помощи лицам, пострадавшим от преступлений, административных правонарушений и несчастных случаев, а также лицам, находящимся в беспомощном состоянии либо в состоянии, опасном для их жизни и здоровья, если специализированная помощь не может быть получена ими своевременно или отсутствует;</w:t>
      </w:r>
    </w:p>
    <w:p>
      <w:pPr>
        <w:pStyle w:val="basictext1"/>
        <w:numPr>
          <w:ilvl w:val="0"/>
          <w:numId w:val="7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принимать при чрезвычайных ситуациях неотложные меры по спасению граждан, охране имущества, оставшегося без присмотра, содействовать в этих условиях бесперебойной работе спасательных служб; обеспечивать общественный порядок при проведении карантинных мероприятий во время эпидемий и эпизоотий;</w:t>
      </w:r>
    </w:p>
    <w:p>
      <w:pPr>
        <w:pStyle w:val="basictext1"/>
        <w:numPr>
          <w:ilvl w:val="0"/>
          <w:numId w:val="7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участвовать в мероприятиях по противодействию терроризму и в обеспечении правового режима контртеррористической операции, а также в обеспечении защиты потенциальных объектов террористических посягательств и мест массового пребывания граждан, в проведении экспертной оценки состояния антитеррористической защищенности и безопасности объектов.</w:t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2.6. Служба пожарной охраны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ДДС пожарной охраны является подразделением территориальной службы пожарной охраны, располагается, в одной из частей гарнизона пожарной охраны, в оперативном отношении подчиняется оперативному дежурному и начальнику гарнизона.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 ДДС пожарной охраны возложены следующие основные задачи:</w:t>
      </w:r>
    </w:p>
    <w:p>
      <w:pPr>
        <w:pStyle w:val="basictext1"/>
        <w:numPr>
          <w:ilvl w:val="0"/>
          <w:numId w:val="8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принимать сообщения о вызовах подразделений пожарной охраны по телефонным линиям связи с номером "01";</w:t>
      </w:r>
    </w:p>
    <w:p>
      <w:pPr>
        <w:pStyle w:val="basictext1"/>
        <w:numPr>
          <w:ilvl w:val="0"/>
          <w:numId w:val="8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направлять к месту вызова силы и средства подразделений пожарной охраны в соответствии с расписанием выезда (планом привлечения сил и средств),</w:t>
      </w:r>
    </w:p>
    <w:p>
      <w:pPr>
        <w:pStyle w:val="basictext1"/>
        <w:numPr>
          <w:ilvl w:val="0"/>
          <w:numId w:val="8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обеспечивать в установленном порядке передислокацию дежурных смен, пожарных и аварийно-спасательных расчётов подразделений;</w:t>
      </w:r>
    </w:p>
    <w:p>
      <w:pPr>
        <w:pStyle w:val="basictext1"/>
        <w:numPr>
          <w:ilvl w:val="0"/>
          <w:numId w:val="8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обобщать сведения о наличии сил и средств в подразделениях;</w:t>
      </w:r>
    </w:p>
    <w:p>
      <w:pPr>
        <w:pStyle w:val="basictext1"/>
        <w:numPr>
          <w:ilvl w:val="0"/>
          <w:numId w:val="8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проверять наличие связи с подразделениями и службами жизнеобеспечения;</w:t>
      </w:r>
    </w:p>
    <w:p>
      <w:pPr>
        <w:pStyle w:val="basictext1"/>
        <w:numPr>
          <w:ilvl w:val="0"/>
          <w:numId w:val="8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информировать должностных лиц об изменениях оперативной обстановки, выезде подразделений;</w:t>
      </w:r>
    </w:p>
    <w:p>
      <w:pPr>
        <w:pStyle w:val="basictext1"/>
        <w:numPr>
          <w:ilvl w:val="0"/>
          <w:numId w:val="8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знать оперативную обстановку в районе (подрайоне) выезда подразделения, перечень объектов, на которые составлены планы и карточки тушения пожаров и при пожаре высылаются силы и средства подразделения по повышенному номеру (рангу) пожара, места расположения важных, взрывопожароопасных объектов, противопожарное водоснабжение, безводные участки, проезды, тактико-технические характеристики пожарной и аварийно-спасательной техники, пожарного инструмента и аварийно-спасательного оборудования, имеющегося на вооружении подразделения;</w:t>
      </w:r>
    </w:p>
    <w:p>
      <w:pPr>
        <w:pStyle w:val="basictext1"/>
        <w:numPr>
          <w:ilvl w:val="0"/>
          <w:numId w:val="8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обеспечивать подразделения информацией об оперативно-тактических особенностях объекта, уровне загазованности, радиационной обстановке на месте вызова;</w:t>
      </w:r>
    </w:p>
    <w:p>
      <w:pPr>
        <w:pStyle w:val="basictext1"/>
        <w:numPr>
          <w:ilvl w:val="0"/>
          <w:numId w:val="8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 необходимости в установленном порядке организовывать (обеспечивать) оповещение и сбор личного состава органов управления и подразделений к месту вызова.</w:t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2.7. Служба скорой медицинской помощи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ДДС скорой медицинской помощи является подразделением территориального уровня Министерства здравоохранения Российской Федерации, располагается, на территории обслуживаемого муниципального образования, непосредственно подчиняется начальнику станции скорой помощи, подчинена руководителю ЕДДС муниципального образования.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 ДДС скорой медицинской помощи возлагаются следующие основные задачи:</w:t>
      </w:r>
    </w:p>
    <w:p>
      <w:pPr>
        <w:pStyle w:val="basictext1"/>
        <w:numPr>
          <w:ilvl w:val="0"/>
          <w:numId w:val="9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 режиме повседневной работы - организация и оказание скорой медицинской помощи заболевшим и пострадавшим на месте происшествия и во время их транспортировки в стационары.</w:t>
      </w:r>
    </w:p>
    <w:p>
      <w:pPr>
        <w:pStyle w:val="basictext1"/>
        <w:numPr>
          <w:ilvl w:val="0"/>
          <w:numId w:val="9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 режиме чрезвычайной ситуации - по указанию окружного Территориального центра медицины катастроф направляет в зону чрезвычайной ситуации выездные бригады скорой медицинской помощи согласно плану работы по ликвидации медико-санитарных последствий чрезвычайный ситуаций.</w:t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2.8.</w:t>
        <w:tab/>
        <w:t>Аварийная служба газовой сети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ДДС аварийной службы газовой сети является территориальным подразделением эксплуатационного управления Республики Алтай, располагается, на территории обслуживаемого муниципального образования, подчиняется начальнику управления, непосредственно подчинена начальнику дежурной службы.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 ДДС газовой сети возложены следующие основные задачи:</w:t>
      </w:r>
    </w:p>
    <w:p>
      <w:pPr>
        <w:pStyle w:val="basictext1"/>
        <w:numPr>
          <w:ilvl w:val="0"/>
          <w:numId w:val="10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приём заявок от граждан о возникновении аварийной ситуации на газовом оборудовании, газопроводах;</w:t>
      </w:r>
    </w:p>
    <w:p>
      <w:pPr>
        <w:pStyle w:val="basictext1"/>
        <w:numPr>
          <w:ilvl w:val="0"/>
          <w:numId w:val="10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оперативное реагирование на заявки для локализации и ликвидации аварий, повреждений, неисправностей газового оборудования и газопроводов.</w:t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2.9. Служба «Антитеррор»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Дежурно-диспетчерская служба «Антитеррор» является подразделением антитеррористической комиссии Республики Алтай. 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На службу возложены следующие основные задачи: </w:t>
      </w:r>
    </w:p>
    <w:p>
      <w:pPr>
        <w:pStyle w:val="basictext1"/>
        <w:numPr>
          <w:ilvl w:val="0"/>
          <w:numId w:val="11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приём заявок от граждан о фактах подготовки или проведения террористических актов; </w:t>
      </w:r>
    </w:p>
    <w:p>
      <w:pPr>
        <w:pStyle w:val="basictext1"/>
        <w:numPr>
          <w:ilvl w:val="0"/>
          <w:numId w:val="11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оперативное реагирование на заявки, координация действий других ЭОС.</w:t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2.10.</w:t>
        <w:tab/>
        <w:t>Адресные сведения об объектах автоматизации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Адресные сведения об объектах автоматизации приведены в Приложении 2 к настоящему Техническому заданию.</w:t>
      </w:r>
    </w:p>
    <w:p>
      <w:pPr>
        <w:pStyle w:val="Normal"/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57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2.11.</w:t>
        <w:tab/>
        <w:t>Общие сведения об автоматизируемых процессах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Приём и обработка вызовов (сообщений о происшествиях) в системе-112 включает:</w:t>
      </w:r>
    </w:p>
    <w:p>
      <w:pPr>
        <w:pStyle w:val="basictext1"/>
        <w:numPr>
          <w:ilvl w:val="0"/>
          <w:numId w:val="12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диалог с заявителем, анализ и передачу характеристик происшествия (при необходимости перенаправление вызовов (сообщений о происшествиях)) в дежурно-диспетчерские службы соответствующих экстренных оперативных служб для непосредственного реагирования;</w:t>
      </w:r>
    </w:p>
    <w:p>
      <w:pPr>
        <w:pStyle w:val="basictext1"/>
        <w:numPr>
          <w:ilvl w:val="0"/>
          <w:numId w:val="12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контроль за реагированием на происшествие, анализ и ввод в базу данных информации, полученной по результатам реагирования, уточнение и корректировку действий привлечённых дежурно-диспетчерских служб экстренных оперативных служб, информирование взаимодействующих дежурно-диспетчерских служб экстренных оперативных служб об оперативной обстановке, о принятых и реализуемых мерах;</w:t>
      </w:r>
    </w:p>
    <w:p>
      <w:pPr>
        <w:pStyle w:val="basictext1"/>
        <w:numPr>
          <w:ilvl w:val="0"/>
          <w:numId w:val="12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размещение в информационной системе данных о ходе и об окончании мероприятий по экстренному реагированию на принятый вызов (сообщение о происшествии).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Возможность вызова экстренных оперативных служб по единому номеру «112» предоставляется пользователям телефонной связи операторами фиксированных и подвижных (мобильных) сетей телефонной связи на сети связи общего пользования. При этом операторы связи должны обеспечить прохождение вызова на номер «112» до УОВЭОС, а также предоставить службе, принимающей эти вызовы, сведения об абонентском устройстве, с которого осуществляется вызов (номер и местоположение) и об абоненте (при необходимости), на которого зарегистрировано это устройство с использованием ТСМН (технические средства обработки информации о месте нахождения пользовательского оборудования). 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Приём вызовов (сообщений о происшествиях) осуществляется операторами ЦОВ. Все обращения в Систему-112 регистрируются и, при необходимости, направляются дежурным диспетчерам соответствующих ДДС. 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Взаимодействие операторов ЦОВ с диспетчерами ДДС производится согласно регламенту информационного обмена и включает значительный объем как голосовой, так и текстовой информации. 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Диспетчеры ДДС при получении сообщений о происшествии выполняют меры по реагированию в соответствии с внутренними инструкциями и вводят в информационную систему (Систему-112) уточнённые данные по происшествию и информацию по реагированию на него.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Возможность вызова экстренных оперативных служб по единому номеру «112» предоставляется круглосуточно, без выходных.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 случае ложного вызова дежурной службы заявитель несёт ответственность в соответствии с действующим законодательством Российской Федерации.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 общем виде процесс обработки вызова экстренных оперативных служб по единому номеру «112» включает в себя следующие технологические операции:</w:t>
      </w:r>
    </w:p>
    <w:p>
      <w:pPr>
        <w:pStyle w:val="basictext1"/>
        <w:numPr>
          <w:ilvl w:val="0"/>
          <w:numId w:val="13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приём и регистрация вызова (сообщения о происшествии) о происшествии и принятие решения о задействовании ДДС оператором;</w:t>
      </w:r>
    </w:p>
    <w:p>
      <w:pPr>
        <w:pStyle w:val="basictext1"/>
        <w:numPr>
          <w:ilvl w:val="0"/>
          <w:numId w:val="13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передача оператором унифицированной карточки информационного обмена в системе-112 в задействуемые ДДС, по необходимости подключение диспетчеров к разговору или переадресация вызова;</w:t>
      </w:r>
    </w:p>
    <w:p>
      <w:pPr>
        <w:pStyle w:val="basictext1"/>
        <w:numPr>
          <w:ilvl w:val="0"/>
          <w:numId w:val="13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 необходимости уточнение оператором или диспетчером у заявителя информации по происшествию и принятие диспетчером решений по реагированию на происшествие;</w:t>
      </w:r>
    </w:p>
    <w:p>
      <w:pPr>
        <w:pStyle w:val="basictext1"/>
        <w:numPr>
          <w:ilvl w:val="0"/>
          <w:numId w:val="13"/>
        </w:numPr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оказание помощи и ликвидация происшествия дежурными силами ДДС, завершение реагирования, закрытие унифицированной карточки информационного обмена в Системе-112 диспетчером, после проведения контроля -  оператором. 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Оператор, принимающий вызов, в программе регистрирует сведения о вызове и о происшествии. Для получения необходимых сведений оператор задаёт уточняющие вопросы. 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Получаемые от заявителя сведения оператор сверяет с данными об абонентском устройстве, с которого осуществляется вызов, и об абоненте, полученными от оператора связи, а также с адресными данными геоинформационной системы.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 ходе приёма заявления оператор принимает решение о привлечении ДДС для оказания помощи заявителю, об оказании психологической помощи, помощи переводчика. В случае соответствия происшествия определенным критериям может приниматься решение о передаче информации по команде для присвоения данному происшествию статуса ЧС. Подключение ДДС производится непосредственно в ходе приёма заявления или сразу после его окончания путём автоматизированной передачи необходимой информации о происшествии в ДДС (на АРМ диспетчера), организации конференцсвязи, перевода вызова на ДДС.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 всех последующих этапах обслуживания вызова происходит отслеживание изменения обстановки и статуса реагирования обращения. Закрытие унифицированной карточки информационного обмена в Системе-112 происходит после завершения реагирования всех привлечённых по данному происшествию ДДС.</w:t>
      </w:r>
    </w:p>
    <w:p>
      <w:pPr>
        <w:pStyle w:val="Normal"/>
        <w:spacing w:lineRule="auto" w:line="257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Normal"/>
        <w:spacing w:lineRule="auto" w:line="257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2.12</w:t>
        <w:tab/>
        <w:t>Целевые показатели функционирования системы</w:t>
      </w:r>
    </w:p>
    <w:p>
      <w:pPr>
        <w:pStyle w:val="basictext1"/>
        <w:spacing w:lineRule="auto" w:line="240" w:before="0" w:after="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Система-112 функционирует в режиме 24/7/365 (24 часа в сутки, 7 дней в неделю, круглый год, в том числе в выходные и праздничные дни) и находится в постоянной готовности к обеспечению экстренного реагирования на вызовы от населения и сообщения о происшествиях, возникающих на территориях муниципальных образований и Республики Алтай в целом.</w:t>
      </w:r>
    </w:p>
    <w:p>
      <w:pPr>
        <w:pStyle w:val="Normal"/>
        <w:spacing w:lineRule="auto" w:line="25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Normal"/>
        <w:spacing w:lineRule="auto" w:line="25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  <w:r>
        <w:br w:type="page"/>
      </w:r>
    </w:p>
    <w:p>
      <w:pPr>
        <w:pStyle w:val="Normal"/>
        <w:spacing w:lineRule="auto" w:line="257" w:before="0" w:after="0"/>
        <w:jc w:val="end"/>
        <w:rPr>
          <w:rFonts w:ascii="Times New Roman" w:hAnsi="Times New Roman"/>
          <w:sz w:val="20"/>
        </w:rPr>
      </w:pPr>
      <w:bookmarkStart w:id="7" w:name="_Hlk189674683"/>
      <w:r>
        <w:rPr>
          <w:rFonts w:ascii="Times New Roman" w:hAnsi="Times New Roman"/>
          <w:b/>
          <w:sz w:val="20"/>
        </w:rPr>
        <w:t>Приложение № 4</w:t>
      </w:r>
    </w:p>
    <w:p>
      <w:pPr>
        <w:pStyle w:val="Normal"/>
        <w:spacing w:lineRule="auto" w:line="257"/>
        <w:jc w:val="end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к </w:t>
      </w:r>
      <w:r>
        <w:rPr>
          <w:rFonts w:ascii="Times New Roman" w:hAnsi="Times New Roman"/>
          <w:b/>
          <w:color w:val="00000A"/>
          <w:sz w:val="20"/>
        </w:rPr>
        <w:t>Техническому заданию</w:t>
      </w:r>
      <w:bookmarkEnd w:id="7"/>
    </w:p>
    <w:p>
      <w:pPr>
        <w:pStyle w:val="Normal"/>
        <w:spacing w:lineRule="exact" w:line="240" w:before="0" w:after="43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Normal"/>
        <w:spacing w:lineRule="exact" w:line="240" w:before="0" w:after="4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Характеристика специального программного обеспечения</w:t>
      </w:r>
    </w:p>
    <w:p>
      <w:pPr>
        <w:pStyle w:val="Normal"/>
        <w:spacing w:lineRule="exact" w:line="240" w:before="0" w:after="4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Системы-112 Республики Алтай</w:t>
      </w:r>
    </w:p>
    <w:p>
      <w:pPr>
        <w:pStyle w:val="Normal"/>
        <w:spacing w:lineRule="exact" w:line="240" w:before="0" w:after="43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docdatadocyv517335bqiaagaaesqjaaagkakaaapjogaabzpaaaaaaaaaaaaaaaaaaaaaaaaaaaaaaaaaaaaaaaaaaaaaaaaaaaaaaaaaaaaaaaaaaaaaaaaaaaaaaaaaaaaaaaaaaaaaaaaaaaaaaaaaaaaaaaaaaaaaaaaaaaaaaaaaaaaaaaaaaaaaaaaaaaaaaaaaaaaaaaaaaaaaaaaaaaaaaaaaaaaaaaaaaaaaaaaaaaaaaaa1"/>
        <w:spacing w:before="280" w:after="28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1. Унифицированное (универсальное) специальное программное обеспечение «112» (УСПО-112)</w:t>
      </w:r>
    </w:p>
    <w:p>
      <w:pPr>
        <w:pStyle w:val="NormalWeb"/>
        <w:spacing w:before="280" w:after="28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Правообладателем УСПО-112 является Министерство Российской Федерации по делам гражданской обороны, чрезвычайным ситуациям и ликвидации последствий стихийных бедствий (далее – МЧС России).</w:t>
      </w:r>
    </w:p>
    <w:p>
      <w:pPr>
        <w:pStyle w:val="NormalWeb"/>
        <w:spacing w:before="280" w:after="280"/>
        <w:ind w:firstLine="567"/>
        <w:jc w:val="both"/>
        <w:rPr>
          <w:rFonts w:ascii="Times New Roman" w:hAnsi="Times New Roman"/>
          <w:sz w:val="20"/>
        </w:rPr>
      </w:pPr>
      <w:bookmarkStart w:id="8" w:name="_Hlk179307881"/>
      <w:r>
        <w:rPr>
          <w:rFonts w:ascii="Times New Roman" w:hAnsi="Times New Roman"/>
          <w:sz w:val="20"/>
        </w:rPr>
        <w:t>Сведения об УСПО-112 включены в единый реестр российских программ для электронных вычислительных машин и баз данных на основании постановления Правительства Российской Федерации от 16 ноября 2015 г.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 Приказом Министра Минкомсвязи России от 23.12.2016 № 682.</w:t>
      </w:r>
      <w:bookmarkEnd w:id="8"/>
    </w:p>
    <w:p>
      <w:pPr>
        <w:pStyle w:val="NormalWeb"/>
        <w:spacing w:before="280" w:after="28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Неисключительные права на использование УСПО-112 на территории Республики Алтай переданы Государственному заказчику по лицензионному соглашению № 3 от 17.09.2020. Согласно пункту 1.2 данного лицензионного</w:t>
      </w:r>
      <w:r>
        <w:rPr>
          <w:rFonts w:ascii="Times New Roman" w:hAnsi="Times New Roman"/>
          <w:color w:val="FF0000"/>
          <w:sz w:val="20"/>
        </w:rPr>
        <w:t xml:space="preserve"> </w:t>
      </w:r>
      <w:r>
        <w:rPr>
          <w:rFonts w:ascii="Times New Roman" w:hAnsi="Times New Roman"/>
          <w:sz w:val="20"/>
        </w:rPr>
        <w:t>соглашения Государственному заказчику передано осуществлять действия необходимые для функционирования программного обеспечения в соответствии с его прямым назначением, в том числе его доработку для нужд Государственного заказчика. Государственный заказчик наделен правом передать вышеуказанные права Исполнителю в указанном объеме, для оказания Исполнителем услуг, определенных в пункте 2 Приложения № 5 к настоящему Договору.</w:t>
      </w:r>
    </w:p>
    <w:p>
      <w:pPr>
        <w:pStyle w:val="NormalWeb"/>
        <w:spacing w:before="280" w:after="28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2. Специальное программное обеспечение</w:t>
      </w:r>
      <w:bookmarkStart w:id="9" w:name="_Hlk179308197"/>
      <w:r>
        <w:rPr>
          <w:rFonts w:ascii="Times New Roman" w:hAnsi="Times New Roman"/>
          <w:b/>
          <w:sz w:val="20"/>
        </w:rPr>
        <w:t xml:space="preserve"> Технических средств обработки информации о месте нахождения пользовательского оборудования и иной информации, необходимой для обеспечения реагирования (ТСМН-112</w:t>
      </w:r>
      <w:bookmarkEnd w:id="9"/>
      <w:r>
        <w:rPr>
          <w:rFonts w:ascii="Times New Roman" w:hAnsi="Times New Roman"/>
          <w:b/>
          <w:sz w:val="20"/>
        </w:rPr>
        <w:t>) и Технических средств коротких текстовых сообщений (ТСКС-112)</w:t>
      </w:r>
    </w:p>
    <w:p>
      <w:pPr>
        <w:pStyle w:val="NormalWeb"/>
        <w:spacing w:before="280" w:after="28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Для полноценного функционирования телекоммуникационной подсистемы Системы-112 Государственный заказчик использует специальное программное обеспечение "Центр обслуживания вызовов "ПРОТЕЙ" компоненты которого взаимодействуют с инфраструктурой телефонной связи общего пользования и обеспечивают информационный обмен между подсистемами Системы-112, а также между компонентами Системы-112 и смежными информационными системами операторов фиксированной и подвижной телефонной связи (далее – ПО ТСКС-112 и ТСМН-112). Перечень смежных информационных систем операторов фиксированной и подвижной телефонной связи указан в ТЗ.</w:t>
      </w:r>
    </w:p>
    <w:p>
      <w:pPr>
        <w:pStyle w:val="NormalWeb"/>
        <w:spacing w:before="280" w:after="28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Указанное программное обеспечение установлено на ресурсах Государственного заказчика и требует сопровождения в рамках настоящего Технического задания в составе следующих компонентов:</w:t>
      </w:r>
    </w:p>
    <w:p>
      <w:pPr>
        <w:pStyle w:val="NormalWeb"/>
        <w:numPr>
          <w:ilvl w:val="0"/>
          <w:numId w:val="14"/>
        </w:numPr>
        <w:spacing w:before="280" w:after="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Программное обеспечение SMS-шлюза приема сообщений от операторов подвижной радиосвязи с использованием SIP (без резервирования);</w:t>
      </w:r>
    </w:p>
    <w:p>
      <w:pPr>
        <w:pStyle w:val="NormalWeb"/>
        <w:numPr>
          <w:ilvl w:val="0"/>
          <w:numId w:val="14"/>
        </w:numPr>
        <w:spacing w:before="0" w:after="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Системное программное обеспечение LBS Mobile (включая 1 лицензию);</w:t>
      </w:r>
    </w:p>
    <w:p>
      <w:pPr>
        <w:pStyle w:val="NormalWeb"/>
        <w:numPr>
          <w:ilvl w:val="0"/>
          <w:numId w:val="14"/>
        </w:numPr>
        <w:spacing w:before="0" w:after="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Системное программное обеспечение LBS Fixed (включая 1 лицензию);</w:t>
      </w:r>
    </w:p>
    <w:p>
      <w:pPr>
        <w:pStyle w:val="NormalWeb"/>
        <w:numPr>
          <w:ilvl w:val="0"/>
          <w:numId w:val="14"/>
        </w:numPr>
        <w:spacing w:before="0" w:after="28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Дополнительная лицензия системного программного обеспечения LBS Mobile.</w:t>
      </w:r>
    </w:p>
    <w:p>
      <w:pPr>
        <w:pStyle w:val="NormalWeb"/>
        <w:spacing w:before="280" w:after="28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Сведения о ПО ТСКС-112 и ТСМН-112 включены в единый реестр российских программ для электронных вычислительных машин и баз данных на основании постановления Правительства Российской Федерации от 16 ноября 2015 г.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 Приказом Министра Минкомсвязи России от 06.09.2016 № 426. </w:t>
      </w:r>
    </w:p>
    <w:p>
      <w:pPr>
        <w:pStyle w:val="NormalWeb"/>
        <w:spacing w:before="280" w:after="28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 ТСКС-112 и ТСМН-112, является проприетарным и передано Гос Заказчику на основании сублицензионного соглашения к государственному контракту на поставку, установку и пуско-наладку комплекса средств автоматизации (КСА) и изделий для разворачивания системы - 112 на территории Республики Алтай по техническому проекту шрифт ПАМР 425790.151, с предоставлением технической поддержки от 19.11.2018 № Ф.2018.534332. Правообладателем проприетарного программного обеспечения является ООО «НТЦ ПРОТЕЙ» (ИНН 7825483961).</w:t>
      </w:r>
    </w:p>
    <w:p>
      <w:pPr>
        <w:pStyle w:val="NormalWeb"/>
        <w:spacing w:before="280" w:after="28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Гос Заказчик, согласно вышеуказанному сублицензионному соглашению, не имеет прав модифицировать (дорабатывать), декомпилировать, деассемблировать, подвергать изменению, изменять порядок, корректировать или вносить другие изменения в отношении ПО ТСКС-112 и ТСМН-112, в том числе Гос Заказчик не имеет права сублицензировать, сдавать ПО ТСКС-112 и ТСМН-112 и документацию к нему в аренду или передавать на безвозмездной основе третьим сторонам.</w:t>
      </w:r>
    </w:p>
    <w:p>
      <w:pPr>
        <w:pStyle w:val="NormalWeb"/>
        <w:spacing w:before="280" w:after="28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3. Специальное программное обеспечение Call центра Системы-112 Республики Алтай</w:t>
      </w:r>
    </w:p>
    <w:p>
      <w:pPr>
        <w:pStyle w:val="NormalWeb"/>
        <w:spacing w:before="280" w:after="28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 соответствии с Сертификатами соответствия в области связи № ОС-2-Г-0119, ОС-2-Г-0130 в состав оборудования, перечисленного в разделе «Основные задачи» ТЗ к Договору входит программное обеспечение «Программный комплекс "Протей-imSwitch"» (Реестровая запись № 3361 от 03.05.2017 в Реестре российского программного обеспечения). </w:t>
      </w:r>
    </w:p>
    <w:p>
      <w:pPr>
        <w:pStyle w:val="NormalWeb"/>
        <w:spacing w:before="280" w:after="28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Правообладателем программного обеспечения является ООО «НТЦ ПРОТЕЙ» (ИНН 7825483961). </w:t>
      </w:r>
    </w:p>
    <w:p>
      <w:pPr>
        <w:pStyle w:val="NormalWeb"/>
        <w:spacing w:before="280" w:after="28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Специальное программное обеспечение Call центра Системы-112 Республики Алтай обеспечивает выполнение следующих функций на нижеописанном аппаратном обеспечении:</w:t>
      </w:r>
    </w:p>
    <w:p>
      <w:pPr>
        <w:pStyle w:val="NormalWeb"/>
        <w:spacing w:before="280" w:after="28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3.1. АТС Протей-imSwitch5 112Т5</w:t>
      </w:r>
    </w:p>
    <w:p>
      <w:pPr>
        <w:pStyle w:val="NormalWeb"/>
        <w:widowControl w:val="false"/>
        <w:tabs>
          <w:tab w:val="clear" w:pos="708"/>
          <w:tab w:val="left" w:pos="284" w:leader="none"/>
          <w:tab w:val="left" w:pos="1134" w:leader="none"/>
        </w:tabs>
        <w:spacing w:before="280" w:after="28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Для управления вызовами, поступающими на операторов Системы-112 и выполнения маршрутизации вызовов между операторами, а также основных функций по автоматизации процесса приема и обработки вызовов по единому номеру «112» в составе ЦОВ, РЦОВ предусмотрено использование автоматической телефонной станции (АТС). </w:t>
      </w:r>
    </w:p>
    <w:p>
      <w:pPr>
        <w:pStyle w:val="NormalWeb"/>
        <w:widowControl w:val="false"/>
        <w:tabs>
          <w:tab w:val="clear" w:pos="708"/>
          <w:tab w:val="left" w:pos="284" w:leader="none"/>
          <w:tab w:val="left" w:pos="1134" w:leader="none"/>
        </w:tabs>
        <w:spacing w:before="280" w:after="28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АТС Протей-imSwitch5 представляет собой оборудование цифровой автоматической телефонной станции разработки ООО «НТЦ ПРОТЕЙ», предназначенное для применения в качестве оконечного, оконечного-транзитного, транзитного местного узла связи. </w:t>
      </w:r>
    </w:p>
    <w:p>
      <w:pPr>
        <w:pStyle w:val="NormalWeb"/>
        <w:widowControl w:val="false"/>
        <w:numPr>
          <w:ilvl w:val="1"/>
          <w:numId w:val="15"/>
        </w:numPr>
        <w:tabs>
          <w:tab w:val="clear" w:pos="708"/>
          <w:tab w:val="left" w:pos="1276" w:leader="none"/>
        </w:tabs>
        <w:spacing w:before="280" w:after="280"/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Телекоммуникационный шлюз семейства Tiger</w:t>
      </w:r>
    </w:p>
    <w:p>
      <w:pPr>
        <w:pStyle w:val="NormalWeb"/>
        <w:widowControl w:val="false"/>
        <w:tabs>
          <w:tab w:val="clear" w:pos="708"/>
          <w:tab w:val="left" w:pos="284" w:leader="none"/>
          <w:tab w:val="left" w:pos="1134" w:leader="none"/>
        </w:tabs>
        <w:spacing w:before="280" w:after="28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Телекоммуникационный шлюз семейства Tiger производства ООО «НТЦ ПРОТЕЙ» – это телекоммуникационный шлюз операторского класса, предназначенный для сопряжения сети связи, использующей для передачи информации IP-сети, с традиционными сетями связи, работа которых основана на принципе коммутации каналов. Телекоммуникационный шлюз Tiger конструктивно выполнен в виде моноблока высотой 1U (приблизительно 45 мм) и шириной 19”. Рабочим компонентом Tiger является плата Consul. Плата Consul представляет собой телекоммуникационный шлюз и имеет конкретный IP-адрес, присвоенный ей администратором сети в процессе настройки. </w:t>
      </w:r>
    </w:p>
    <w:p>
      <w:pPr>
        <w:pStyle w:val="NormalWeb"/>
        <w:widowControl w:val="false"/>
        <w:tabs>
          <w:tab w:val="clear" w:pos="708"/>
          <w:tab w:val="left" w:pos="284" w:leader="none"/>
          <w:tab w:val="left" w:pos="1134" w:leader="none"/>
        </w:tabs>
        <w:spacing w:before="280" w:after="28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 Tiger как в программно-аппаратном комплексе, подавляющую долю функциональности реализует программное обеспечение «Программный комплекс «Протей-imSwitch», что позволяет значительно повысить эффективность эксплуатации и развития оборудования. </w:t>
      </w:r>
    </w:p>
    <w:p>
      <w:pPr>
        <w:pStyle w:val="NormalWeb"/>
        <w:widowControl w:val="false"/>
        <w:tabs>
          <w:tab w:val="clear" w:pos="708"/>
          <w:tab w:val="left" w:pos="284" w:leader="none"/>
          <w:tab w:val="left" w:pos="1134" w:leader="none"/>
        </w:tabs>
        <w:spacing w:before="280" w:after="28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Программное обеспечение «Программный комплекс «Протей-imSwitch» Tiger имеет развитую систему самодиагностики, предупреждения и автоматического исправления нештатных ситуаций. Для мониторинга текущего состояния в Tiger реализована поддержка стандартного протокола SNMP, что позволяет без лишних затрат использовать готовые программные продукты сторонних производителей для визуализации данных, передаваемых от Tiger с помощью SNMP-протокола.</w:t>
      </w:r>
    </w:p>
    <w:p>
      <w:pPr>
        <w:pStyle w:val="NormalWeb"/>
        <w:widowControl w:val="false"/>
        <w:tabs>
          <w:tab w:val="clear" w:pos="708"/>
          <w:tab w:val="left" w:pos="284" w:leader="none"/>
          <w:tab w:val="left" w:pos="1134" w:leader="none"/>
        </w:tabs>
        <w:spacing w:before="280" w:after="280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  <w:r>
        <w:br w:type="page"/>
      </w:r>
    </w:p>
    <w:p>
      <w:pPr>
        <w:pStyle w:val="Normal"/>
        <w:spacing w:lineRule="auto" w:line="257" w:before="0" w:after="0"/>
        <w:jc w:val="end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Приложение № 5</w:t>
      </w:r>
    </w:p>
    <w:p>
      <w:pPr>
        <w:pStyle w:val="Normal"/>
        <w:spacing w:lineRule="auto" w:line="257"/>
        <w:jc w:val="end"/>
        <w:rPr>
          <w:b/>
          <w:sz w:val="20"/>
        </w:rPr>
      </w:pPr>
      <w:r>
        <w:rPr>
          <w:rFonts w:ascii="Times New Roman" w:hAnsi="Times New Roman"/>
          <w:b/>
          <w:sz w:val="20"/>
        </w:rPr>
        <w:t xml:space="preserve">к </w:t>
      </w:r>
      <w:r>
        <w:rPr>
          <w:rFonts w:ascii="Times New Roman" w:hAnsi="Times New Roman"/>
          <w:b/>
          <w:color w:val="00000A"/>
          <w:sz w:val="20"/>
        </w:rPr>
        <w:t>Техническому заданию</w:t>
      </w:r>
    </w:p>
    <w:p>
      <w:pPr>
        <w:pStyle w:val="Normal"/>
        <w:spacing w:lineRule="exact" w:line="240" w:before="0" w:after="4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exact" w:line="240" w:before="0" w:after="4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exact" w:line="240" w:before="0" w:after="4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Порядок управления обновлениями специального программного обеспечения </w:t>
      </w:r>
    </w:p>
    <w:p>
      <w:pPr>
        <w:pStyle w:val="Normal"/>
        <w:spacing w:lineRule="exact" w:line="240" w:before="0" w:after="4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Системы-112 Республики Алтай</w:t>
      </w:r>
    </w:p>
    <w:p>
      <w:pPr>
        <w:pStyle w:val="Normal"/>
        <w:spacing w:lineRule="exact" w:line="240" w:before="0" w:after="43"/>
        <w:ind w:firstLine="567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 целях оказания настоящего объема услуги Исполнитель обязуется выполнять следующие мероприятия: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851" w:leader="none"/>
        </w:tabs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Обеспечивать предоставление плановых модифицированных версий </w:t>
      </w:r>
      <w:r>
        <w:rPr>
          <w:rFonts w:ascii="Times New Roman" w:hAnsi="Times New Roman"/>
          <w:b/>
          <w:spacing w:val="-2"/>
          <w:sz w:val="20"/>
        </w:rPr>
        <w:t xml:space="preserve">УСПО-112 и </w:t>
      </w:r>
      <w:r>
        <w:rPr>
          <w:rFonts w:ascii="Times New Roman" w:hAnsi="Times New Roman"/>
          <w:b/>
          <w:sz w:val="20"/>
        </w:rPr>
        <w:t>СПО, предназначенных для совершенствования его функциональности и повышения его рабочих характеристик.</w:t>
      </w:r>
    </w:p>
    <w:p>
      <w:pPr>
        <w:pStyle w:val="Normal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Под данным видом услуги понимается предоставление Гос Заказчику модифицированных версии </w:t>
      </w:r>
      <w:r>
        <w:rPr>
          <w:rFonts w:ascii="Times New Roman" w:hAnsi="Times New Roman"/>
          <w:spacing w:val="-2"/>
          <w:sz w:val="20"/>
        </w:rPr>
        <w:t xml:space="preserve">УСПО-112 и </w:t>
      </w:r>
      <w:r>
        <w:rPr>
          <w:rFonts w:ascii="Times New Roman" w:hAnsi="Times New Roman"/>
          <w:sz w:val="20"/>
        </w:rPr>
        <w:t xml:space="preserve">СПО Системы-112, включающей в себя дополнения/совершенствования функциональности и сопровождаемости </w:t>
      </w:r>
      <w:r>
        <w:rPr>
          <w:rFonts w:ascii="Times New Roman" w:hAnsi="Times New Roman"/>
          <w:spacing w:val="-2"/>
          <w:sz w:val="20"/>
        </w:rPr>
        <w:t xml:space="preserve">УСПО-112 и </w:t>
      </w:r>
      <w:r>
        <w:rPr>
          <w:rFonts w:ascii="Times New Roman" w:hAnsi="Times New Roman"/>
          <w:sz w:val="20"/>
        </w:rPr>
        <w:t xml:space="preserve">СПО. Данные изменения могут приводить к предоставлению Заказчику и Гос Заказчику новых функциональных возможностей. </w:t>
      </w:r>
    </w:p>
    <w:p>
      <w:pPr>
        <w:pStyle w:val="Normal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Модификация </w:t>
      </w:r>
      <w:r>
        <w:rPr>
          <w:rFonts w:ascii="Times New Roman" w:hAnsi="Times New Roman"/>
          <w:spacing w:val="-2"/>
          <w:sz w:val="20"/>
        </w:rPr>
        <w:t xml:space="preserve">УСПО-112 и </w:t>
      </w:r>
      <w:r>
        <w:rPr>
          <w:rFonts w:ascii="Times New Roman" w:hAnsi="Times New Roman"/>
          <w:sz w:val="20"/>
        </w:rPr>
        <w:t xml:space="preserve">СПО в целях обеспечения цикла полного технического сопровождения должна быть реализована с учетом существующей архитектуры </w:t>
      </w:r>
      <w:r>
        <w:rPr>
          <w:rFonts w:ascii="Times New Roman" w:hAnsi="Times New Roman"/>
          <w:spacing w:val="-2"/>
          <w:sz w:val="20"/>
        </w:rPr>
        <w:t xml:space="preserve">УСПО-112 и </w:t>
      </w:r>
      <w:r>
        <w:rPr>
          <w:rFonts w:ascii="Times New Roman" w:hAnsi="Times New Roman"/>
          <w:sz w:val="20"/>
        </w:rPr>
        <w:t>СПО и в рамках ограничений, установленных структурой программного продукта.</w:t>
      </w:r>
    </w:p>
    <w:p>
      <w:pPr>
        <w:pStyle w:val="Normal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 целью надлежащего оказания данного вида услуг Исполнитель должен выполнять следующие действия:</w:t>
      </w:r>
    </w:p>
    <w:p>
      <w:pPr>
        <w:pStyle w:val="Normal"/>
        <w:numPr>
          <w:ilvl w:val="0"/>
          <w:numId w:val="16"/>
        </w:numPr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организовать взаимодействие с производителями </w:t>
      </w:r>
      <w:r>
        <w:rPr>
          <w:rFonts w:ascii="Times New Roman" w:hAnsi="Times New Roman"/>
          <w:spacing w:val="-2"/>
          <w:sz w:val="20"/>
        </w:rPr>
        <w:t xml:space="preserve">УСПО-112 и </w:t>
      </w:r>
      <w:r>
        <w:rPr>
          <w:rFonts w:ascii="Times New Roman" w:hAnsi="Times New Roman"/>
          <w:sz w:val="20"/>
        </w:rPr>
        <w:t xml:space="preserve">СПО по вопросам относительно планов выпуска плановых модифицированных версий </w:t>
      </w:r>
      <w:r>
        <w:rPr>
          <w:rFonts w:ascii="Times New Roman" w:hAnsi="Times New Roman"/>
          <w:spacing w:val="-2"/>
          <w:sz w:val="20"/>
        </w:rPr>
        <w:t xml:space="preserve">УСПО-112 и </w:t>
      </w:r>
      <w:r>
        <w:rPr>
          <w:rFonts w:ascii="Times New Roman" w:hAnsi="Times New Roman"/>
          <w:sz w:val="20"/>
        </w:rPr>
        <w:t>СПО не реже одного раза в месяц (срок может быть изменен по согласованию с Заказчиком и Гос Заказчиком);</w:t>
      </w:r>
    </w:p>
    <w:p>
      <w:pPr>
        <w:pStyle w:val="Normal"/>
        <w:numPr>
          <w:ilvl w:val="0"/>
          <w:numId w:val="16"/>
        </w:numPr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провести оценку совместимости плановой модифицированной версии с текущей программной средой и аппаратным обеспечением Системы-112;</w:t>
      </w:r>
    </w:p>
    <w:p>
      <w:pPr>
        <w:pStyle w:val="Normal"/>
        <w:numPr>
          <w:ilvl w:val="0"/>
          <w:numId w:val="16"/>
        </w:numPr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обеспечить за свой счет приобретение плановых модифицированных версий </w:t>
      </w:r>
      <w:r>
        <w:rPr>
          <w:rFonts w:ascii="Times New Roman" w:hAnsi="Times New Roman"/>
          <w:spacing w:val="-2"/>
          <w:sz w:val="20"/>
        </w:rPr>
        <w:t xml:space="preserve">УСПО-112 и </w:t>
      </w:r>
      <w:r>
        <w:rPr>
          <w:rFonts w:ascii="Times New Roman" w:hAnsi="Times New Roman"/>
          <w:sz w:val="20"/>
        </w:rPr>
        <w:t xml:space="preserve">СПО в течение 30 (тридцати) календарных дней с момента получения от производителя </w:t>
      </w:r>
      <w:r>
        <w:rPr>
          <w:rFonts w:ascii="Times New Roman" w:hAnsi="Times New Roman"/>
          <w:spacing w:val="-2"/>
          <w:sz w:val="20"/>
        </w:rPr>
        <w:t xml:space="preserve">УСПО-112 и </w:t>
      </w:r>
      <w:r>
        <w:rPr>
          <w:rFonts w:ascii="Times New Roman" w:hAnsi="Times New Roman"/>
          <w:sz w:val="20"/>
        </w:rPr>
        <w:t xml:space="preserve">СПО информации о выпуске плановой модифицированной версии </w:t>
      </w:r>
      <w:r>
        <w:rPr>
          <w:rFonts w:ascii="Times New Roman" w:hAnsi="Times New Roman"/>
          <w:spacing w:val="-2"/>
          <w:sz w:val="20"/>
        </w:rPr>
        <w:t xml:space="preserve">УСПО-112 и </w:t>
      </w:r>
      <w:r>
        <w:rPr>
          <w:rFonts w:ascii="Times New Roman" w:hAnsi="Times New Roman"/>
          <w:sz w:val="20"/>
        </w:rPr>
        <w:t xml:space="preserve">СПО. </w:t>
      </w:r>
    </w:p>
    <w:p>
      <w:pPr>
        <w:pStyle w:val="Normal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 случае, если информация о выпуске плановой модифицированной версии </w:t>
      </w:r>
      <w:r>
        <w:rPr>
          <w:rFonts w:ascii="Times New Roman" w:hAnsi="Times New Roman"/>
          <w:spacing w:val="-2"/>
          <w:sz w:val="20"/>
        </w:rPr>
        <w:t xml:space="preserve">УСПО-112 и </w:t>
      </w:r>
      <w:r>
        <w:rPr>
          <w:rFonts w:ascii="Times New Roman" w:hAnsi="Times New Roman"/>
          <w:sz w:val="20"/>
        </w:rPr>
        <w:t>СПО получена Исполнителем в течение исполнения последнего отчетного периода по Договору, то Исполнитель обязан обеспечить её приобретение и установку (в т.ч. исполнение мероприятий, предусмотренных в нижеперечисленных пунктах настоящего раздела) в сроки, не превышающие сроки оказания услуг по отчетному периоду;</w:t>
      </w:r>
    </w:p>
    <w:p>
      <w:pPr>
        <w:pStyle w:val="Normal"/>
        <w:numPr>
          <w:ilvl w:val="0"/>
          <w:numId w:val="16"/>
        </w:numPr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организовать для Заказчика и Гос Заказчика демонстрацию функционирования плановых модифицированных версий </w:t>
      </w:r>
      <w:r>
        <w:rPr>
          <w:rFonts w:ascii="Times New Roman" w:hAnsi="Times New Roman"/>
          <w:spacing w:val="-2"/>
          <w:sz w:val="20"/>
        </w:rPr>
        <w:t xml:space="preserve">УСПО-112 и </w:t>
      </w:r>
      <w:r>
        <w:rPr>
          <w:rFonts w:ascii="Times New Roman" w:hAnsi="Times New Roman"/>
          <w:sz w:val="20"/>
        </w:rPr>
        <w:t>СПО;</w:t>
      </w:r>
    </w:p>
    <w:p>
      <w:pPr>
        <w:pStyle w:val="Normal"/>
        <w:numPr>
          <w:ilvl w:val="0"/>
          <w:numId w:val="16"/>
        </w:numPr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разработать и направить на согласование Заказчику и Гос Заказчику План внедрения плановой модифицированной версии (далее – План);</w:t>
      </w:r>
    </w:p>
    <w:p>
      <w:pPr>
        <w:pStyle w:val="Normal"/>
        <w:numPr>
          <w:ilvl w:val="0"/>
          <w:numId w:val="16"/>
        </w:numPr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осуществить установку плановой модифицированной версии в соответствии с согласованным Сторонами Планом. Исполнитель производит установку плановых модифицированных версий </w:t>
      </w:r>
      <w:r>
        <w:rPr>
          <w:rFonts w:ascii="Times New Roman" w:hAnsi="Times New Roman"/>
          <w:spacing w:val="-2"/>
          <w:sz w:val="20"/>
        </w:rPr>
        <w:t xml:space="preserve">УСПО-112 и </w:t>
      </w:r>
      <w:r>
        <w:rPr>
          <w:rFonts w:ascii="Times New Roman" w:hAnsi="Times New Roman"/>
          <w:sz w:val="20"/>
        </w:rPr>
        <w:t xml:space="preserve">СПО на серверах и АРМ Гос Заказчика, также Исполнитель по согласованию с Заказчиком и Гос Заказчиком может выдать дистрибутив и инструкции для обновления </w:t>
      </w:r>
      <w:r>
        <w:rPr>
          <w:rFonts w:ascii="Times New Roman" w:hAnsi="Times New Roman"/>
          <w:spacing w:val="-2"/>
          <w:sz w:val="20"/>
        </w:rPr>
        <w:t xml:space="preserve">УСПО-112 и </w:t>
      </w:r>
      <w:r>
        <w:rPr>
          <w:rFonts w:ascii="Times New Roman" w:hAnsi="Times New Roman"/>
          <w:sz w:val="20"/>
        </w:rPr>
        <w:t>СПО на АРМ силами и средствами Гос Заказчика.</w:t>
      </w:r>
    </w:p>
    <w:p>
      <w:pPr>
        <w:pStyle w:val="Normal"/>
        <w:numPr>
          <w:ilvl w:val="0"/>
          <w:numId w:val="16"/>
        </w:numPr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передать Заказчику и Гос Заказчику пакет обновленной документации на плановую модифицированную версию </w:t>
      </w:r>
      <w:r>
        <w:rPr>
          <w:rFonts w:ascii="Times New Roman" w:hAnsi="Times New Roman"/>
          <w:spacing w:val="-2"/>
          <w:sz w:val="20"/>
        </w:rPr>
        <w:t xml:space="preserve">УСПО-112 и </w:t>
      </w:r>
      <w:r>
        <w:rPr>
          <w:rFonts w:ascii="Times New Roman" w:hAnsi="Times New Roman"/>
          <w:sz w:val="20"/>
        </w:rPr>
        <w:t>СПО;</w:t>
      </w:r>
    </w:p>
    <w:p>
      <w:pPr>
        <w:pStyle w:val="Normal"/>
        <w:numPr>
          <w:ilvl w:val="0"/>
          <w:numId w:val="16"/>
        </w:numPr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провести для операторского и диспетчерского персонала инструктаж о новых функциональных возможностях (дополнениях/совершенствованиях) в работе </w:t>
      </w:r>
      <w:r>
        <w:rPr>
          <w:rFonts w:ascii="Times New Roman" w:hAnsi="Times New Roman"/>
          <w:spacing w:val="-2"/>
          <w:sz w:val="20"/>
        </w:rPr>
        <w:t xml:space="preserve">УСПО-112 и </w:t>
      </w:r>
      <w:r>
        <w:rPr>
          <w:rFonts w:ascii="Times New Roman" w:hAnsi="Times New Roman"/>
          <w:sz w:val="20"/>
        </w:rPr>
        <w:t>СПО. Порядок и сроки проведения инструктажа согласуются с Заказчиком и Гос Заказчиком.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3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pacing w:val="-2"/>
          <w:sz w:val="20"/>
        </w:rPr>
        <w:t>Обеспечить предоставление внеплановых модифицированных версий УСПО-112 и СПО.</w:t>
      </w:r>
    </w:p>
    <w:p>
      <w:pPr>
        <w:pStyle w:val="Normal"/>
        <w:spacing w:lineRule="auto" w:line="23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-2"/>
          <w:sz w:val="20"/>
        </w:rPr>
        <w:t>Под данным видом услуги понимается предоставление Гос Заказчику модифицированных версии УСПО-112 и СПО Системы-112, сформированных с целью устранения дефектов, ошибок, сбоев в работе УСПО-112 и СПО.</w:t>
      </w:r>
    </w:p>
    <w:p>
      <w:pPr>
        <w:pStyle w:val="Normal"/>
        <w:spacing w:lineRule="auto" w:line="23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-2"/>
          <w:sz w:val="20"/>
        </w:rPr>
        <w:t xml:space="preserve">Модифицированные версии формируются Исполнителем по результатам рассмотрения обращений о проблемах в работе УСПО-112 и СПО, созданным Заказчиком и Гос Заказчиком с использованием одного из трех каналом связи (электронная почта, телефон, CRM-система). Основной целью выпуска данных модифицированных версий является модификация УСПО-112 и СПО для устранения выявленной проблемы в его работе. </w:t>
      </w:r>
    </w:p>
    <w:p>
      <w:pPr>
        <w:pStyle w:val="Normal"/>
        <w:spacing w:lineRule="auto" w:line="23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-2"/>
          <w:sz w:val="20"/>
        </w:rPr>
        <w:t>При формировании модифицированной версии Исполнитель должен самостоятельно оценить объем и трудоемкость модификации, а также определить влияние вносимых изменений на целостность и бесперебойность функционирования программных компонентов УСПО-112 и СПО, в том числе его интеграционных модулей. Количество модификаций, предоставляемых Исполнителем не ограничено и зависит от результатов, проведенного им анализа обращений о проблеме в работе УСПО-112 и СПО.</w:t>
      </w:r>
    </w:p>
    <w:p>
      <w:pPr>
        <w:pStyle w:val="Normal"/>
        <w:spacing w:lineRule="auto" w:line="230"/>
        <w:ind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-2"/>
          <w:sz w:val="20"/>
        </w:rPr>
        <w:t>Сроки выпуска модифицированных версий устанавливаются в зависимости от степени приоритета обращения согласно параметрам, установленным в Приложениями №1, № 2 к ТЗ.</w:t>
      </w:r>
    </w:p>
    <w:p>
      <w:pPr>
        <w:pStyle w:val="Normal"/>
        <w:widowControl w:val="false"/>
        <w:spacing w:lineRule="auto" w:line="276" w:before="0" w:after="200"/>
        <w:ind w:firstLine="70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Этапы процесса предоставления внеплановых модифицированных версий</w:t>
      </w:r>
    </w:p>
    <w:tbl>
      <w:tblPr>
        <w:tblW w:w="10060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2689"/>
        <w:gridCol w:w="4815"/>
        <w:gridCol w:w="2556"/>
      </w:tblGrid>
      <w:tr>
        <w:trPr/>
        <w:tc>
          <w:tcPr>
            <w:tcW w:w="26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Вводные данные</w:t>
            </w:r>
          </w:p>
        </w:tc>
        <w:tc>
          <w:tcPr>
            <w:tcW w:w="48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Действия, совершаемые Исполнителем</w:t>
            </w:r>
          </w:p>
        </w:tc>
        <w:tc>
          <w:tcPr>
            <w:tcW w:w="25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Выходные данные</w:t>
            </w:r>
          </w:p>
        </w:tc>
      </w:tr>
      <w:tr>
        <w:trPr/>
        <w:tc>
          <w:tcPr>
            <w:tcW w:w="26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Обращение о проблеме в работе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УСПО-112 и </w:t>
            </w:r>
            <w:r>
              <w:rPr>
                <w:rFonts w:ascii="Times New Roman" w:hAnsi="Times New Roman"/>
                <w:sz w:val="20"/>
              </w:rPr>
              <w:t>СПО. Обращение создается Заказчиком или Гос Заказчиком с использованием одного из трех каналов связи (электронная почта, телефон, CRM-система)</w:t>
            </w:r>
          </w:p>
        </w:tc>
        <w:tc>
          <w:tcPr>
            <w:tcW w:w="48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Анализ дефектов (ошибок, сбоев) в работе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УСПО-112 и </w:t>
            </w:r>
            <w:r>
              <w:rPr>
                <w:rFonts w:ascii="Times New Roman" w:hAnsi="Times New Roman"/>
                <w:sz w:val="20"/>
              </w:rPr>
              <w:t>СПО.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Исполнитель в рамках анализа дефекта (ошибки, сбоя) должен: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Проверить наличие дефекта (ошибки, сбоя), при необходимости продублировать её на тестовой среде;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Разработать вариант(ы) реализации модификации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УСПО-112 и </w:t>
            </w:r>
            <w:r>
              <w:rPr>
                <w:rFonts w:ascii="Times New Roman" w:hAnsi="Times New Roman"/>
                <w:sz w:val="20"/>
              </w:rPr>
              <w:t>СПО;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Провести ведомственное согласование внутри структурных подразделений Исполнителя, Соисполнителя (при наличии) вариант(ов) модификации и утвердить итоговый.</w:t>
            </w:r>
          </w:p>
        </w:tc>
        <w:tc>
          <w:tcPr>
            <w:tcW w:w="25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Подтверждение (не подтверждение) ошибки или дефекта.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 подтверждении – выбор итогового варианта модификации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УСПО-112 и </w:t>
            </w:r>
            <w:r>
              <w:rPr>
                <w:rFonts w:ascii="Times New Roman" w:hAnsi="Times New Roman"/>
                <w:sz w:val="20"/>
              </w:rPr>
              <w:t>СПО.</w:t>
            </w:r>
          </w:p>
        </w:tc>
      </w:tr>
      <w:tr>
        <w:trPr/>
        <w:tc>
          <w:tcPr>
            <w:tcW w:w="26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Принятые предложения о модификации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УСПО-112 и </w:t>
            </w:r>
            <w:r>
              <w:rPr>
                <w:rFonts w:ascii="Times New Roman" w:hAnsi="Times New Roman"/>
                <w:sz w:val="20"/>
              </w:rPr>
              <w:t>СПО</w:t>
            </w:r>
          </w:p>
        </w:tc>
        <w:tc>
          <w:tcPr>
            <w:tcW w:w="48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модификации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УСПО-112 и </w:t>
            </w:r>
            <w:r>
              <w:rPr>
                <w:rFonts w:ascii="Times New Roman" w:hAnsi="Times New Roman"/>
                <w:sz w:val="20"/>
              </w:rPr>
              <w:t>СПО.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 выполнении действий по модификации СПО Исполнитель, соисполнитель (при наличии) разрабатывает и тестирует конкретную(ые) модификацию(и)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УСПО-112 и </w:t>
            </w:r>
            <w:r>
              <w:rPr>
                <w:rFonts w:ascii="Times New Roman" w:hAnsi="Times New Roman"/>
                <w:sz w:val="20"/>
              </w:rPr>
              <w:t>СПО.</w:t>
            </w:r>
          </w:p>
        </w:tc>
        <w:tc>
          <w:tcPr>
            <w:tcW w:w="25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Реализованные и задокументированные изменения (при необходимости внесения данных изменений в эксплуатационную документацию)</w:t>
            </w:r>
          </w:p>
        </w:tc>
      </w:tr>
      <w:tr>
        <w:trPr/>
        <w:tc>
          <w:tcPr>
            <w:tcW w:w="26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Проведенные модификации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УСПО-112 и </w:t>
            </w:r>
            <w:r>
              <w:rPr>
                <w:rFonts w:ascii="Times New Roman" w:hAnsi="Times New Roman"/>
                <w:sz w:val="20"/>
              </w:rPr>
              <w:t>СПО, их документирование</w:t>
            </w:r>
          </w:p>
        </w:tc>
        <w:tc>
          <w:tcPr>
            <w:tcW w:w="48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Завершение тестирования модификации(й)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УСПО-112 и </w:t>
            </w:r>
            <w:r>
              <w:rPr>
                <w:rFonts w:ascii="Times New Roman" w:hAnsi="Times New Roman"/>
                <w:sz w:val="20"/>
              </w:rPr>
              <w:t>СПО и подтверждение его(их) соответствия устранению дефекта (ошибки, сбоя)</w:t>
            </w:r>
          </w:p>
        </w:tc>
        <w:tc>
          <w:tcPr>
            <w:tcW w:w="25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Информирование Заказчика и Гос Заказчика о выпуске внеплановой модифицированной версии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УСПО-112 и </w:t>
            </w:r>
            <w:r>
              <w:rPr>
                <w:rFonts w:ascii="Times New Roman" w:hAnsi="Times New Roman"/>
                <w:sz w:val="20"/>
              </w:rPr>
              <w:t>СПО</w:t>
            </w:r>
          </w:p>
        </w:tc>
      </w:tr>
      <w:tr>
        <w:trPr/>
        <w:tc>
          <w:tcPr>
            <w:tcW w:w="26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Установка модифицированной версии</w:t>
            </w:r>
          </w:p>
        </w:tc>
        <w:tc>
          <w:tcPr>
            <w:tcW w:w="48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Исполнитель производит установку модифицированных версий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УСПО-112 и </w:t>
            </w:r>
            <w:r>
              <w:rPr>
                <w:rFonts w:ascii="Times New Roman" w:hAnsi="Times New Roman"/>
                <w:sz w:val="20"/>
              </w:rPr>
              <w:t xml:space="preserve">СПО на серверах и АРМ Гос Заказчика, также Исполнитель может выдать дистрибутив и инструкции для обновления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УСПО-112 и </w:t>
            </w:r>
            <w:r>
              <w:rPr>
                <w:rFonts w:ascii="Times New Roman" w:hAnsi="Times New Roman"/>
                <w:sz w:val="20"/>
              </w:rPr>
              <w:t xml:space="preserve">СПО АРМ силами и средствами Гос Заказчика. Гос Заказчик предоставляет доступ к серверам для установки модифицированных версий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УСПО-112 и </w:t>
            </w:r>
            <w:r>
              <w:rPr>
                <w:rFonts w:ascii="Times New Roman" w:hAnsi="Times New Roman"/>
                <w:sz w:val="20"/>
              </w:rPr>
              <w:t>СПО. Доступ обеспечивается с использованием криптографических средств защиты информации в порядке, предусмотренном в настоящем ТЗ.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 необходимости Исполнитель дополнительно разрабатывает Миграционный план для обеспечения бесперебойного функционирования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УСПО-112 и </w:t>
            </w:r>
            <w:r>
              <w:rPr>
                <w:rFonts w:ascii="Times New Roman" w:hAnsi="Times New Roman"/>
                <w:sz w:val="20"/>
              </w:rPr>
              <w:t>СПО</w:t>
            </w:r>
          </w:p>
        </w:tc>
        <w:tc>
          <w:tcPr>
            <w:tcW w:w="25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Информирование Заказчика и Гос Заказчика об устранении дефекта (ошибки, сбоя) в работе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УСПО-112 и </w:t>
            </w:r>
            <w:r>
              <w:rPr>
                <w:rFonts w:ascii="Times New Roman" w:hAnsi="Times New Roman"/>
                <w:sz w:val="20"/>
              </w:rPr>
              <w:t>СПО.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Предоставление обновленной эксплуатационной документации в составе модифицированной версии (при необходимости).</w:t>
            </w:r>
          </w:p>
        </w:tc>
      </w:tr>
      <w:tr>
        <w:trPr/>
        <w:tc>
          <w:tcPr>
            <w:tcW w:w="26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Техническое сопровождение модифицированной версии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УСПО-112 и </w:t>
            </w:r>
            <w:r>
              <w:rPr>
                <w:rFonts w:ascii="Times New Roman" w:hAnsi="Times New Roman"/>
                <w:sz w:val="20"/>
              </w:rPr>
              <w:t>СПО</w:t>
            </w:r>
          </w:p>
        </w:tc>
        <w:tc>
          <w:tcPr>
            <w:tcW w:w="48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Исполнитель в течение общего срока оказания услуг осуществляет техническое сопровождение сервисов и компонентов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УСПО-112 и </w:t>
            </w:r>
            <w:r>
              <w:rPr>
                <w:rFonts w:ascii="Times New Roman" w:hAnsi="Times New Roman"/>
                <w:sz w:val="20"/>
              </w:rPr>
              <w:t xml:space="preserve">СПО, в которых используются установленные им внеплановые модифицированные версии </w:t>
            </w:r>
          </w:p>
        </w:tc>
        <w:tc>
          <w:tcPr>
            <w:tcW w:w="25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Оказание Заказчику и Гос Заказчику услуги полного технического сопровождения в порядке, предусмотренном настоящим ТЗ и приложениями к нему</w:t>
            </w:r>
          </w:p>
        </w:tc>
      </w:tr>
    </w:tbl>
    <w:p>
      <w:pPr>
        <w:pStyle w:val="Normal"/>
        <w:spacing w:lineRule="auto" w:line="230"/>
        <w:ind w:firstLine="567"/>
        <w:jc w:val="both"/>
        <w:rPr>
          <w:rFonts w:ascii="Times New Roman" w:hAnsi="Times New Roman"/>
          <w:spacing w:val="-2"/>
          <w:sz w:val="20"/>
        </w:rPr>
      </w:pPr>
      <w:r>
        <w:rPr>
          <w:rFonts w:ascii="Times New Roman" w:hAnsi="Times New Roman"/>
          <w:spacing w:val="-2"/>
          <w:sz w:val="20"/>
        </w:rPr>
      </w:r>
    </w:p>
    <w:sectPr>
      <w:footnotePr>
        <w:numFmt w:val="decimal"/>
      </w:footnotePr>
      <w:type w:val="nextPage"/>
      <w:pgSz w:w="11906" w:h="16838"/>
      <w:pgMar w:left="709" w:right="517" w:gutter="0" w:header="0" w:top="567" w:footer="0" w:bottom="567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Segoe U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2"/>
        <w:spacing w:before="0" w:after="0"/>
        <w:contextualSpacing/>
        <w:jc w:val="both"/>
        <w:rPr>
          <w:rFonts w:ascii="Times New Roman" w:hAnsi="Times New Roman"/>
          <w:sz w:val="19"/>
        </w:rPr>
      </w:pPr>
      <w:r>
        <w:rPr>
          <w:rStyle w:val="Style8"/>
        </w:rPr>
        <w:footnoteRef/>
      </w:r>
      <w:r>
        <w:rPr>
          <w:rFonts w:ascii="Times New Roman" w:hAnsi="Times New Roman"/>
          <w:sz w:val="19"/>
        </w:rPr>
        <w:t xml:space="preserve"> </w:t>
      </w:r>
      <w:r>
        <w:rPr>
          <w:rFonts w:ascii="Times New Roman" w:hAnsi="Times New Roman"/>
          <w:sz w:val="19"/>
        </w:rPr>
        <w:t>Унифицированное (универсальное) специальное программное обеспечение «112» Запись в Реестре российского программного обеспечения от 23.12.2016 № 2556)</w:t>
      </w:r>
    </w:p>
  </w:footnote>
  <w:footnote w:id="3">
    <w:p>
      <w:pPr>
        <w:pStyle w:val="docdatadocyv517335bqiaagaaesqjaaagkakaaapjogaabzpaaaaaaaaaaaaaaaaaaaaaaaaaaaaaaaaaaaaaaaaaaaaaaaaaaaaaaaaaaaaaaaaaaaaaaaaaaaaaaaaaaaaaaaaaaaaaaaaaaaaaaaaaaaaaaaaaaaaaaaaaaaaaaaaaaaaaaaaaaaaaaaaaaaaaaaaaaaaaaaaaaaaaaaaaaaaaaaaaaaaaaaaaaaaaaaaaaaaaaaa1"/>
        <w:widowControl w:val="false"/>
        <w:spacing w:beforeAutospacing="0" w:before="0" w:afterAutospacing="0" w:after="0"/>
        <w:contextualSpacing/>
        <w:jc w:val="both"/>
        <w:rPr>
          <w:rFonts w:ascii="Times New Roman" w:hAnsi="Times New Roman"/>
          <w:sz w:val="19"/>
        </w:rPr>
      </w:pPr>
      <w:r>
        <w:rPr>
          <w:rStyle w:val="Style8"/>
        </w:rPr>
        <w:footnoteRef/>
      </w:r>
      <w:r>
        <w:rPr>
          <w:rFonts w:ascii="Times New Roman" w:hAnsi="Times New Roman"/>
          <w:sz w:val="19"/>
        </w:rPr>
        <w:t xml:space="preserve"> </w:t>
      </w:r>
      <w:r>
        <w:rPr>
          <w:rFonts w:ascii="Times New Roman" w:hAnsi="Times New Roman"/>
          <w:sz w:val="19"/>
        </w:rPr>
        <w:t>Специальное программное обеспечение, подлежащее техническому сопровождению в рамках оказания услуг по настоящим Договору в составе:</w:t>
      </w:r>
    </w:p>
    <w:p>
      <w:pPr>
        <w:pStyle w:val="docdatadocyv517335bqiaagaaesqjaaagkakaaapjogaabzpaaaaaaaaaaaaaaaaaaaaaaaaaaaaaaaaaaaaaaaaaaaaaaaaaaaaaaaaaaaaaaaaaaaaaaaaaaaaaaaaaaaaaaaaaaaaaaaaaaaaaaaaaaaaaaaaaaaaaaaaaaaaaaaaaaaaaaaaaaaaaaaaaaaaaaaaaaaaaaaaaaaaaaaaaaaaaaaaaaaaaaaaaaaaaaaaaaaaaaaa1"/>
        <w:widowControl w:val="false"/>
        <w:spacing w:beforeAutospacing="0" w:before="0" w:afterAutospacing="0" w:after="0"/>
        <w:contextualSpacing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- программное обеспечение "Центр обслуживания вызовов "ПРОТЕЙ" (Запись в Реестре российского программного обеспечения от 05.09.2016 № 1428);</w:t>
      </w:r>
    </w:p>
    <w:p>
      <w:pPr>
        <w:pStyle w:val="docdatadocyv517335bqiaagaaesqjaaagkakaaapjogaabzpaaaaaaaaaaaaaaaaaaaaaaaaaaaaaaaaaaaaaaaaaaaaaaaaaaaaaaaaaaaaaaaaaaaaaaaaaaaaaaaaaaaaaaaaaaaaaaaaaaaaaaaaaaaaaaaaaaaaaaaaaaaaaaaaaaaaaaaaaaaaaaaaaaaaaaaaaaaaaaaaaaaaaaaaaaaaaaaaaaaaaaaaaaaaaaaaaaaaaaaa1"/>
        <w:widowControl w:val="false"/>
        <w:spacing w:beforeAutospacing="0" w:before="0" w:afterAutospacing="0" w:after="0"/>
        <w:contextualSpacing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- программное обеспечение «Программный комплекс «Протей-imSwitch» (Запись в Реестре российского программного обеспечения от 03.05.2017 № 3361).</w:t>
      </w:r>
    </w:p>
    <w:p>
      <w:pPr>
        <w:pStyle w:val="Footnote2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bullet"/>
      <w:lvlText w:val=""/>
      <w:lvlJc w:val="start"/>
      <w:pPr>
        <w:tabs>
          <w:tab w:val="num" w:pos="360"/>
        </w:tabs>
        <w:ind w:start="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isLgl/>
      <w:numFmt w:val="decimal"/>
      <w:lvlText w:val="%1."/>
      <w:lvlJc w:val="start"/>
      <w:pPr>
        <w:tabs>
          <w:tab w:val="num" w:pos="0"/>
        </w:tabs>
        <w:ind w:start="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0"/>
        </w:tabs>
        <w:ind w:start="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0"/>
        </w:tabs>
        <w:ind w:start="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0"/>
        </w:tabs>
        <w:ind w:start="0" w:hanging="360"/>
      </w:pPr>
      <w:rPr>
        <w:rFonts w:ascii="Times New Roman" w:hAnsi="Times New Roman"/>
      </w:rPr>
    </w:lvl>
    <w:lvl w:ilvl="4">
      <w:start w:val="1"/>
      <w:isLgl/>
      <w:numFmt w:val="lowerLetter"/>
      <w:lvlText w:val="%5."/>
      <w:lvlJc w:val="start"/>
      <w:pPr>
        <w:tabs>
          <w:tab w:val="num" w:pos="0"/>
        </w:tabs>
        <w:ind w:start="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0"/>
        </w:tabs>
        <w:ind w:start="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0"/>
        </w:tabs>
        <w:ind w:start="0" w:hanging="180"/>
      </w:pPr>
      <w:rPr/>
    </w:lvl>
  </w:abstractNum>
  <w:abstractNum w:abstractNumId="3">
    <w:lvl w:ilvl="0">
      <w:start w:val="1"/>
      <w:isLgl/>
      <w:numFmt w:val="bullet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isLgl/>
      <w:numFmt w:val="bullet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isLgl/>
      <w:numFmt w:val="bullet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isLgl/>
      <w:numFmt w:val="bullet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isLgl/>
      <w:numFmt w:val="bullet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isLgl/>
      <w:numFmt w:val="bullet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isLgl/>
      <w:numFmt w:val="bullet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isLgl/>
      <w:numFmt w:val="bullet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isLgl/>
      <w:numFmt w:val="bullet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isLgl/>
      <w:numFmt w:val="bullet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isLgl/>
      <w:numFmt w:val="bullet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isLgl/>
      <w:numFmt w:val="bullet"/>
      <w:lvlText w:val=""/>
      <w:lvlJc w:val="start"/>
      <w:pPr>
        <w:tabs>
          <w:tab w:val="num" w:pos="720"/>
        </w:tabs>
        <w:ind w:start="0" w:hanging="360"/>
      </w:pPr>
      <w:rPr>
        <w:rFonts w:ascii="Symbol" w:hAnsi="Symbol" w:cs="Symbol" w:hint="default"/>
        <w:sz w:val="20"/>
      </w:rPr>
    </w:lvl>
    <w:lvl w:ilvl="1">
      <w:start w:val="1"/>
      <w:isLgl/>
      <w:numFmt w:val="bullet"/>
      <w:lvlText w:val="o"/>
      <w:lvlJc w:val="start"/>
      <w:pPr>
        <w:tabs>
          <w:tab w:val="num" w:pos="1440"/>
        </w:tabs>
        <w:ind w:start="0" w:hanging="360"/>
      </w:pPr>
      <w:rPr>
        <w:rFonts w:ascii="Courier New" w:hAnsi="Courier New" w:cs="Courier New" w:hint="default"/>
        <w:sz w:val="20"/>
      </w:rPr>
    </w:lvl>
    <w:lvl w:ilvl="2">
      <w:start w:val="1"/>
      <w:isLgl/>
      <w:numFmt w:val="bullet"/>
      <w:lvlText w:val=""/>
      <w:lvlJc w:val="start"/>
      <w:pPr>
        <w:tabs>
          <w:tab w:val="num" w:pos="2160"/>
        </w:tabs>
        <w:ind w:start="0" w:hanging="360"/>
      </w:pPr>
      <w:rPr>
        <w:rFonts w:ascii="Wingdings" w:hAnsi="Wingdings" w:cs="Wingdings" w:hint="default"/>
        <w:sz w:val="20"/>
      </w:rPr>
    </w:lvl>
    <w:lvl w:ilvl="3">
      <w:start w:val="1"/>
      <w:isLgl/>
      <w:numFmt w:val="bullet"/>
      <w:lvlText w:val=""/>
      <w:lvlJc w:val="start"/>
      <w:pPr>
        <w:tabs>
          <w:tab w:val="num" w:pos="2880"/>
        </w:tabs>
        <w:ind w:start="0" w:hanging="360"/>
      </w:pPr>
      <w:rPr>
        <w:rFonts w:ascii="Wingdings" w:hAnsi="Wingdings" w:cs="Wingdings" w:hint="default"/>
        <w:sz w:val="20"/>
      </w:rPr>
    </w:lvl>
    <w:lvl w:ilvl="4">
      <w:start w:val="1"/>
      <w:isLgl/>
      <w:numFmt w:val="bullet"/>
      <w:lvlText w:val=""/>
      <w:lvlJc w:val="start"/>
      <w:pPr>
        <w:tabs>
          <w:tab w:val="num" w:pos="3600"/>
        </w:tabs>
        <w:ind w:start="0" w:hanging="360"/>
      </w:pPr>
      <w:rPr>
        <w:rFonts w:ascii="Wingdings" w:hAnsi="Wingdings" w:cs="Wingdings" w:hint="default"/>
        <w:sz w:val="20"/>
      </w:rPr>
    </w:lvl>
    <w:lvl w:ilvl="5">
      <w:start w:val="1"/>
      <w:isLgl/>
      <w:numFmt w:val="bullet"/>
      <w:lvlText w:val=""/>
      <w:lvlJc w:val="start"/>
      <w:pPr>
        <w:tabs>
          <w:tab w:val="num" w:pos="4320"/>
        </w:tabs>
        <w:ind w:start="0" w:hanging="360"/>
      </w:pPr>
      <w:rPr>
        <w:rFonts w:ascii="Wingdings" w:hAnsi="Wingdings" w:cs="Wingdings" w:hint="default"/>
        <w:sz w:val="20"/>
      </w:rPr>
    </w:lvl>
    <w:lvl w:ilvl="6">
      <w:start w:val="1"/>
      <w:isLgl/>
      <w:numFmt w:val="bullet"/>
      <w:lvlText w:val=""/>
      <w:lvlJc w:val="start"/>
      <w:pPr>
        <w:tabs>
          <w:tab w:val="num" w:pos="5040"/>
        </w:tabs>
        <w:ind w:start="0" w:hanging="360"/>
      </w:pPr>
      <w:rPr>
        <w:rFonts w:ascii="Wingdings" w:hAnsi="Wingdings" w:cs="Wingdings" w:hint="default"/>
        <w:sz w:val="20"/>
      </w:rPr>
    </w:lvl>
    <w:lvl w:ilvl="7">
      <w:start w:val="1"/>
      <w:isLgl/>
      <w:numFmt w:val="bullet"/>
      <w:lvlText w:val=""/>
      <w:lvlJc w:val="start"/>
      <w:pPr>
        <w:tabs>
          <w:tab w:val="num" w:pos="5760"/>
        </w:tabs>
        <w:ind w:start="0" w:hanging="360"/>
      </w:pPr>
      <w:rPr>
        <w:rFonts w:ascii="Wingdings" w:hAnsi="Wingdings" w:cs="Wingdings" w:hint="default"/>
        <w:sz w:val="20"/>
      </w:rPr>
    </w:lvl>
    <w:lvl w:ilvl="8">
      <w:start w:val="1"/>
      <w:isLgl/>
      <w:numFmt w:val="bullet"/>
      <w:lvlText w:val=""/>
      <w:lvlJc w:val="start"/>
      <w:pPr>
        <w:tabs>
          <w:tab w:val="num" w:pos="6480"/>
        </w:tabs>
        <w:ind w:start="0" w:hanging="360"/>
      </w:pPr>
      <w:rPr>
        <w:rFonts w:ascii="Wingdings" w:hAnsi="Wingdings" w:cs="Wingdings" w:hint="default"/>
        <w:sz w:val="20"/>
      </w:rPr>
    </w:lvl>
  </w:abstractNum>
  <w:abstractNum w:abstractNumId="15">
    <w:lvl w:ilvl="0">
      <w:start w:val="3"/>
      <w:isLgl/>
      <w:numFmt w:val="decimal"/>
      <w:lvlText w:val="%1."/>
      <w:lvlJc w:val="start"/>
      <w:pPr>
        <w:tabs>
          <w:tab w:val="num" w:pos="0"/>
        </w:tabs>
        <w:ind w:start="0" w:hanging="360"/>
      </w:pPr>
      <w:rPr>
        <w:b/>
        <w:rFonts w:ascii="Liberation Serif" w:hAnsi="Liberation Serif"/>
        <w:color w:val="000000"/>
      </w:rPr>
    </w:lvl>
    <w:lvl w:ilvl="1">
      <w:start w:val="2"/>
      <w:isLgl/>
      <w:numFmt w:val="decimal"/>
      <w:lvlText w:val="%1.%2."/>
      <w:lvlJc w:val="start"/>
      <w:pPr>
        <w:tabs>
          <w:tab w:val="num" w:pos="0"/>
        </w:tabs>
        <w:ind w:start="0" w:hanging="360"/>
      </w:pPr>
      <w:rPr>
        <w:b/>
        <w:rFonts w:ascii="Liberation Serif" w:hAnsi="Liberation Serif"/>
        <w:color w:val="000000"/>
      </w:rPr>
    </w:lvl>
    <w:lvl w:ilvl="2">
      <w:start w:val="1"/>
      <w:isLgl/>
      <w:numFmt w:val="decimal"/>
      <w:lvlText w:val="%1.%2.%3."/>
      <w:lvlJc w:val="start"/>
      <w:pPr>
        <w:tabs>
          <w:tab w:val="num" w:pos="0"/>
        </w:tabs>
        <w:ind w:start="0" w:hanging="720"/>
      </w:pPr>
      <w:rPr>
        <w:b/>
        <w:rFonts w:ascii="Liberation Serif" w:hAnsi="Liberation Serif"/>
        <w:color w:val="000000"/>
      </w:rPr>
    </w:lvl>
    <w:lvl w:ilvl="3">
      <w:start w:val="1"/>
      <w:isLgl/>
      <w:numFmt w:val="decimal"/>
      <w:lvlText w:val="%1.%2.%3.%4."/>
      <w:lvlJc w:val="start"/>
      <w:pPr>
        <w:tabs>
          <w:tab w:val="num" w:pos="0"/>
        </w:tabs>
        <w:ind w:start="0" w:hanging="720"/>
      </w:pPr>
      <w:rPr>
        <w:b/>
        <w:rFonts w:ascii="Liberation Serif" w:hAnsi="Liberation Serif"/>
        <w:color w:val="000000"/>
      </w:rPr>
    </w:lvl>
    <w:lvl w:ilvl="4">
      <w:start w:val="1"/>
      <w:isLgl/>
      <w:numFmt w:val="decimal"/>
      <w:lvlText w:val="%1.%2.%3.%4.%5."/>
      <w:lvlJc w:val="start"/>
      <w:pPr>
        <w:tabs>
          <w:tab w:val="num" w:pos="0"/>
        </w:tabs>
        <w:ind w:start="0" w:hanging="1080"/>
      </w:pPr>
      <w:rPr>
        <w:b/>
        <w:rFonts w:ascii="Liberation Serif" w:hAnsi="Liberation Serif"/>
        <w:color w:val="000000"/>
      </w:rPr>
    </w:lvl>
    <w:lvl w:ilvl="5">
      <w:start w:val="1"/>
      <w:isLgl/>
      <w:numFmt w:val="decimal"/>
      <w:lvlText w:val="%1.%2.%3.%4.%5.%6."/>
      <w:lvlJc w:val="start"/>
      <w:pPr>
        <w:tabs>
          <w:tab w:val="num" w:pos="0"/>
        </w:tabs>
        <w:ind w:start="0" w:hanging="1080"/>
      </w:pPr>
      <w:rPr>
        <w:b/>
        <w:rFonts w:ascii="Liberation Serif" w:hAnsi="Liberation Serif"/>
        <w:color w:val="000000"/>
      </w:rPr>
    </w:lvl>
    <w:lvl w:ilvl="6">
      <w:start w:val="1"/>
      <w:isLgl/>
      <w:numFmt w:val="decimal"/>
      <w:lvlText w:val="%1.%2.%3.%4.%5.%6.%7."/>
      <w:lvlJc w:val="start"/>
      <w:pPr>
        <w:tabs>
          <w:tab w:val="num" w:pos="0"/>
        </w:tabs>
        <w:ind w:start="0" w:hanging="1440"/>
      </w:pPr>
      <w:rPr>
        <w:b/>
        <w:rFonts w:ascii="Liberation Serif" w:hAnsi="Liberation Serif"/>
        <w:color w:val="000000"/>
      </w:rPr>
    </w:lvl>
    <w:lvl w:ilvl="7">
      <w:start w:val="1"/>
      <w:isLgl/>
      <w:numFmt w:val="decimal"/>
      <w:lvlText w:val="%1.%2.%3.%4.%5.%6.%7.%8."/>
      <w:lvlJc w:val="start"/>
      <w:pPr>
        <w:tabs>
          <w:tab w:val="num" w:pos="0"/>
        </w:tabs>
        <w:ind w:start="0" w:hanging="1440"/>
      </w:pPr>
      <w:rPr>
        <w:b/>
        <w:rFonts w:ascii="Liberation Serif" w:hAnsi="Liberation Serif"/>
        <w:color w:val="000000"/>
      </w:rPr>
    </w:lvl>
    <w:lvl w:ilvl="8">
      <w:start w:val="1"/>
      <w:isLgl/>
      <w:numFmt w:val="decimal"/>
      <w:lvlText w:val="%1.%2.%3.%4.%5.%6.%7.%8.%9."/>
      <w:lvlJc w:val="start"/>
      <w:pPr>
        <w:tabs>
          <w:tab w:val="num" w:pos="0"/>
        </w:tabs>
        <w:ind w:start="0" w:hanging="1800"/>
      </w:pPr>
      <w:rPr>
        <w:b/>
        <w:rFonts w:ascii="Liberation Serif" w:hAnsi="Liberation Serif"/>
        <w:color w:val="000000"/>
      </w:rPr>
    </w:lvl>
  </w:abstractNum>
  <w:abstractNum w:abstractNumId="16">
    <w:lvl w:ilvl="0">
      <w:start w:val="1"/>
      <w:isLgl/>
      <w:numFmt w:val="bullet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isLgl/>
      <w:numFmt w:val="bullet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isLgl/>
      <w:numFmt w:val="decimal"/>
      <w:lvlText w:val="%1."/>
      <w:lvlJc w:val="start"/>
      <w:pPr>
        <w:tabs>
          <w:tab w:val="num" w:pos="0"/>
        </w:tabs>
        <w:ind w:start="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0"/>
        </w:tabs>
        <w:ind w:start="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0"/>
        </w:tabs>
        <w:ind w:start="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0"/>
        </w:tabs>
        <w:ind w:start="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0"/>
        </w:tabs>
        <w:ind w:start="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0"/>
        </w:tabs>
        <w:ind w:start="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0"/>
        </w:tabs>
        <w:ind w:start="0" w:hanging="180"/>
      </w:pPr>
      <w:rPr/>
    </w:lvl>
  </w:abstractNum>
  <w:abstractNum w:abstractNumId="19">
    <w:lvl w:ilvl="0">
      <w:start w:val="1"/>
      <w:isLgl/>
      <w:numFmt w:val="decimal"/>
      <w:lvlText w:val="%1."/>
      <w:lvlJc w:val="start"/>
      <w:pPr>
        <w:tabs>
          <w:tab w:val="num" w:pos="0"/>
        </w:tabs>
        <w:ind w:start="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0"/>
        </w:tabs>
        <w:ind w:start="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0"/>
        </w:tabs>
        <w:ind w:start="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0"/>
        </w:tabs>
        <w:ind w:start="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0"/>
        </w:tabs>
        <w:ind w:start="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0"/>
        </w:tabs>
        <w:ind w:start="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0"/>
        </w:tabs>
        <w:ind w:start="0" w:hanging="180"/>
      </w:pPr>
      <w:rPr/>
    </w:lvl>
  </w:abstractNum>
  <w:abstractNum w:abstractNumId="20">
    <w:lvl w:ilvl="0">
      <w:start w:val="1"/>
      <w:isLgl/>
      <w:numFmt w:val="decimal"/>
      <w:lvlText w:val="%1."/>
      <w:lvlJc w:val="start"/>
      <w:pPr>
        <w:tabs>
          <w:tab w:val="num" w:pos="0"/>
        </w:tabs>
        <w:ind w:start="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0"/>
        </w:tabs>
        <w:ind w:start="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0"/>
        </w:tabs>
        <w:ind w:start="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0"/>
        </w:tabs>
        <w:ind w:start="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0"/>
        </w:tabs>
        <w:ind w:start="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0"/>
        </w:tabs>
        <w:ind w:start="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0"/>
        </w:tabs>
        <w:ind w:start="0" w:hanging="180"/>
      </w:pPr>
      <w:rPr/>
    </w:lvl>
  </w:abstractNum>
  <w:abstractNum w:abstractNumId="21">
    <w:lvl w:ilvl="0">
      <w:start w:val="1"/>
      <w:isLgl/>
      <w:numFmt w:val="decimal"/>
      <w:lvlText w:val="%1."/>
      <w:lvlJc w:val="start"/>
      <w:pPr>
        <w:tabs>
          <w:tab w:val="num" w:pos="0"/>
        </w:tabs>
        <w:ind w:start="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0"/>
        </w:tabs>
        <w:ind w:start="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0"/>
        </w:tabs>
        <w:ind w:start="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0"/>
        </w:tabs>
        <w:ind w:start="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0"/>
        </w:tabs>
        <w:ind w:start="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0"/>
        </w:tabs>
        <w:ind w:start="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0"/>
        </w:tabs>
        <w:ind w:start="0" w:hanging="180"/>
      </w:pPr>
      <w:rPr/>
    </w:lvl>
  </w:abstractNum>
  <w:abstractNum w:abstractNumId="22">
    <w:lvl w:ilvl="0">
      <w:start w:val="1"/>
      <w:isLgl/>
      <w:numFmt w:val="decimal"/>
      <w:lvlText w:val="%1."/>
      <w:lvlJc w:val="start"/>
      <w:pPr>
        <w:tabs>
          <w:tab w:val="num" w:pos="0"/>
        </w:tabs>
        <w:ind w:start="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0"/>
        </w:tabs>
        <w:ind w:start="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0"/>
        </w:tabs>
        <w:ind w:start="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0"/>
        </w:tabs>
        <w:ind w:start="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0"/>
        </w:tabs>
        <w:ind w:start="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0"/>
        </w:tabs>
        <w:ind w:start="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0"/>
        </w:tabs>
        <w:ind w:start="0" w:hanging="180"/>
      </w:pPr>
      <w:rPr/>
    </w:lvl>
  </w:abstractNum>
  <w:abstractNum w:abstractNumId="23">
    <w:lvl w:ilvl="0">
      <w:start w:val="1"/>
      <w:isLgl/>
      <w:numFmt w:val="decimal"/>
      <w:lvlText w:val="%1."/>
      <w:lvlJc w:val="start"/>
      <w:pPr>
        <w:tabs>
          <w:tab w:val="num" w:pos="644"/>
        </w:tabs>
        <w:ind w:start="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1364"/>
        </w:tabs>
        <w:ind w:start="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2084"/>
        </w:tabs>
        <w:ind w:start="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2804"/>
        </w:tabs>
        <w:ind w:start="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3524"/>
        </w:tabs>
        <w:ind w:start="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4244"/>
        </w:tabs>
        <w:ind w:start="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4964"/>
        </w:tabs>
        <w:ind w:start="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5684"/>
        </w:tabs>
        <w:ind w:start="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6404"/>
        </w:tabs>
        <w:ind w:start="0" w:hanging="180"/>
      </w:pPr>
      <w:rPr/>
    </w:lvl>
  </w:abstractNum>
  <w:abstractNum w:abstractNumId="24">
    <w:lvl w:ilvl="0">
      <w:start w:val="1"/>
      <w:isLgl/>
      <w:numFmt w:val="decimal"/>
      <w:lvlText w:val="%1."/>
      <w:lvlJc w:val="start"/>
      <w:pPr>
        <w:tabs>
          <w:tab w:val="num" w:pos="644"/>
        </w:tabs>
        <w:ind w:start="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1364"/>
        </w:tabs>
        <w:ind w:start="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2084"/>
        </w:tabs>
        <w:ind w:start="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2804"/>
        </w:tabs>
        <w:ind w:start="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3524"/>
        </w:tabs>
        <w:ind w:start="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4244"/>
        </w:tabs>
        <w:ind w:start="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4964"/>
        </w:tabs>
        <w:ind w:start="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5684"/>
        </w:tabs>
        <w:ind w:start="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6404"/>
        </w:tabs>
        <w:ind w:start="0" w:hanging="180"/>
      </w:pPr>
      <w:rPr/>
    </w:lvl>
  </w:abstractNum>
  <w:abstractNum w:abstractNumId="25">
    <w:lvl w:ilvl="0">
      <w:start w:val="1"/>
      <w:isLgl/>
      <w:numFmt w:val="decimal"/>
      <w:lvlText w:val="%1."/>
      <w:lvlJc w:val="start"/>
      <w:pPr>
        <w:tabs>
          <w:tab w:val="num" w:pos="644"/>
        </w:tabs>
        <w:ind w:start="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1364"/>
        </w:tabs>
        <w:ind w:start="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2084"/>
        </w:tabs>
        <w:ind w:start="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2804"/>
        </w:tabs>
        <w:ind w:start="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3524"/>
        </w:tabs>
        <w:ind w:start="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4244"/>
        </w:tabs>
        <w:ind w:start="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4964"/>
        </w:tabs>
        <w:ind w:start="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5684"/>
        </w:tabs>
        <w:ind w:start="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6404"/>
        </w:tabs>
        <w:ind w:start="0" w:hanging="180"/>
      </w:pPr>
      <w:rPr/>
    </w:lvl>
  </w:abstractNum>
  <w:abstractNum w:abstractNumId="26">
    <w:lvl w:ilvl="0">
      <w:start w:val="1"/>
      <w:isLgl/>
      <w:numFmt w:val="decimal"/>
      <w:lvlText w:val="%1."/>
      <w:lvlJc w:val="start"/>
      <w:pPr>
        <w:tabs>
          <w:tab w:val="num" w:pos="644"/>
        </w:tabs>
        <w:ind w:start="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1364"/>
        </w:tabs>
        <w:ind w:start="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2084"/>
        </w:tabs>
        <w:ind w:start="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2804"/>
        </w:tabs>
        <w:ind w:start="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3524"/>
        </w:tabs>
        <w:ind w:start="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4244"/>
        </w:tabs>
        <w:ind w:start="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4964"/>
        </w:tabs>
        <w:ind w:start="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5684"/>
        </w:tabs>
        <w:ind w:start="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6404"/>
        </w:tabs>
        <w:ind w:start="0" w:hanging="180"/>
      </w:pPr>
      <w:rPr/>
    </w:lvl>
  </w:abstractNum>
  <w:abstractNum w:abstractNumId="27">
    <w:lvl w:ilvl="0">
      <w:start w:val="1"/>
      <w:isLgl/>
      <w:numFmt w:val="decimal"/>
      <w:lvlText w:val="%1."/>
      <w:lvlJc w:val="start"/>
      <w:pPr>
        <w:tabs>
          <w:tab w:val="num" w:pos="644"/>
        </w:tabs>
        <w:ind w:start="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1364"/>
        </w:tabs>
        <w:ind w:start="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2084"/>
        </w:tabs>
        <w:ind w:start="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2804"/>
        </w:tabs>
        <w:ind w:start="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3524"/>
        </w:tabs>
        <w:ind w:start="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4244"/>
        </w:tabs>
        <w:ind w:start="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4964"/>
        </w:tabs>
        <w:ind w:start="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5684"/>
        </w:tabs>
        <w:ind w:start="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6404"/>
        </w:tabs>
        <w:ind w:start="0" w:hanging="180"/>
      </w:pPr>
      <w:rPr/>
    </w:lvl>
  </w:abstractNum>
  <w:abstractNum w:abstractNumId="28">
    <w:lvl w:ilvl="0">
      <w:start w:val="1"/>
      <w:isLgl/>
      <w:numFmt w:val="decimal"/>
      <w:lvlText w:val="%1."/>
      <w:lvlJc w:val="start"/>
      <w:pPr>
        <w:tabs>
          <w:tab w:val="num" w:pos="644"/>
        </w:tabs>
        <w:ind w:start="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1364"/>
        </w:tabs>
        <w:ind w:start="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2084"/>
        </w:tabs>
        <w:ind w:start="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2804"/>
        </w:tabs>
        <w:ind w:start="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3524"/>
        </w:tabs>
        <w:ind w:start="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4244"/>
        </w:tabs>
        <w:ind w:start="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4964"/>
        </w:tabs>
        <w:ind w:start="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5684"/>
        </w:tabs>
        <w:ind w:start="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6404"/>
        </w:tabs>
        <w:ind w:start="0" w:hanging="180"/>
      </w:pPr>
      <w:rPr/>
    </w:lvl>
  </w:abstractNum>
  <w:abstractNum w:abstractNumId="29">
    <w:lvl w:ilvl="0">
      <w:start w:val="1"/>
      <w:isLgl/>
      <w:numFmt w:val="decimal"/>
      <w:lvlText w:val="%1."/>
      <w:lvlJc w:val="start"/>
      <w:pPr>
        <w:tabs>
          <w:tab w:val="num" w:pos="644"/>
        </w:tabs>
        <w:ind w:start="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1364"/>
        </w:tabs>
        <w:ind w:start="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2084"/>
        </w:tabs>
        <w:ind w:start="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2804"/>
        </w:tabs>
        <w:ind w:start="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3524"/>
        </w:tabs>
        <w:ind w:start="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4244"/>
        </w:tabs>
        <w:ind w:start="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4964"/>
        </w:tabs>
        <w:ind w:start="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5684"/>
        </w:tabs>
        <w:ind w:start="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6404"/>
        </w:tabs>
        <w:ind w:start="0" w:hanging="180"/>
      </w:pPr>
      <w:rPr/>
    </w:lvl>
  </w:abstractNum>
  <w:abstractNum w:abstractNumId="30">
    <w:lvl w:ilvl="0">
      <w:start w:val="1"/>
      <w:isLgl/>
      <w:numFmt w:val="decimal"/>
      <w:lvlText w:val="%1."/>
      <w:lvlJc w:val="start"/>
      <w:pPr>
        <w:tabs>
          <w:tab w:val="num" w:pos="644"/>
        </w:tabs>
        <w:ind w:start="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1364"/>
        </w:tabs>
        <w:ind w:start="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2084"/>
        </w:tabs>
        <w:ind w:start="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2804"/>
        </w:tabs>
        <w:ind w:start="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3524"/>
        </w:tabs>
        <w:ind w:start="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4244"/>
        </w:tabs>
        <w:ind w:start="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4964"/>
        </w:tabs>
        <w:ind w:start="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5684"/>
        </w:tabs>
        <w:ind w:start="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6404"/>
        </w:tabs>
        <w:ind w:start="0" w:hanging="180"/>
      </w:pPr>
      <w:rPr/>
    </w:lvl>
  </w:abstractNum>
  <w:abstractNum w:abstractNumId="31">
    <w:lvl w:ilvl="0">
      <w:start w:val="1"/>
      <w:isLgl/>
      <w:numFmt w:val="decimal"/>
      <w:lvlText w:val="%1."/>
      <w:lvlJc w:val="start"/>
      <w:pPr>
        <w:tabs>
          <w:tab w:val="num" w:pos="644"/>
        </w:tabs>
        <w:ind w:start="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1364"/>
        </w:tabs>
        <w:ind w:start="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2084"/>
        </w:tabs>
        <w:ind w:start="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2804"/>
        </w:tabs>
        <w:ind w:start="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3524"/>
        </w:tabs>
        <w:ind w:start="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4244"/>
        </w:tabs>
        <w:ind w:start="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4964"/>
        </w:tabs>
        <w:ind w:start="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5684"/>
        </w:tabs>
        <w:ind w:start="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6404"/>
        </w:tabs>
        <w:ind w:start="0" w:hanging="180"/>
      </w:pPr>
      <w:rPr/>
    </w:lvl>
  </w:abstractNum>
  <w:abstractNum w:abstractNumId="32">
    <w:lvl w:ilvl="0">
      <w:start w:val="1"/>
      <w:isLgl/>
      <w:numFmt w:val="decimal"/>
      <w:lvlText w:val="%1."/>
      <w:lvlJc w:val="start"/>
      <w:pPr>
        <w:tabs>
          <w:tab w:val="num" w:pos="644"/>
        </w:tabs>
        <w:ind w:start="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1364"/>
        </w:tabs>
        <w:ind w:start="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2084"/>
        </w:tabs>
        <w:ind w:start="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2804"/>
        </w:tabs>
        <w:ind w:start="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3524"/>
        </w:tabs>
        <w:ind w:start="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4244"/>
        </w:tabs>
        <w:ind w:start="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4964"/>
        </w:tabs>
        <w:ind w:start="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5684"/>
        </w:tabs>
        <w:ind w:start="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6404"/>
        </w:tabs>
        <w:ind w:start="0" w:hanging="180"/>
      </w:pPr>
      <w:rPr/>
    </w:lvl>
  </w:abstractNum>
  <w:abstractNum w:abstractNumId="33">
    <w:lvl w:ilvl="0">
      <w:start w:val="1"/>
      <w:isLgl/>
      <w:numFmt w:val="decimal"/>
      <w:lvlText w:val="%1."/>
      <w:lvlJc w:val="start"/>
      <w:pPr>
        <w:tabs>
          <w:tab w:val="num" w:pos="644"/>
        </w:tabs>
        <w:ind w:start="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1364"/>
        </w:tabs>
        <w:ind w:start="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2084"/>
        </w:tabs>
        <w:ind w:start="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2804"/>
        </w:tabs>
        <w:ind w:start="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3524"/>
        </w:tabs>
        <w:ind w:start="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4244"/>
        </w:tabs>
        <w:ind w:start="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4964"/>
        </w:tabs>
        <w:ind w:start="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5684"/>
        </w:tabs>
        <w:ind w:start="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6404"/>
        </w:tabs>
        <w:ind w:start="0" w:hanging="180"/>
      </w:pPr>
      <w:rPr/>
    </w:lvl>
  </w:abstractNum>
  <w:abstractNum w:abstractNumId="34">
    <w:lvl w:ilvl="0">
      <w:start w:val="1"/>
      <w:isLgl/>
      <w:numFmt w:val="decimal"/>
      <w:lvlText w:val="%1."/>
      <w:lvlJc w:val="start"/>
      <w:pPr>
        <w:tabs>
          <w:tab w:val="num" w:pos="0"/>
        </w:tabs>
        <w:ind w:start="0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0"/>
        </w:tabs>
        <w:ind w:start="0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0"/>
        </w:tabs>
        <w:ind w:start="0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0"/>
        </w:tabs>
        <w:ind w:start="0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0"/>
        </w:tabs>
        <w:ind w:start="0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0"/>
        </w:tabs>
        <w:ind w:start="0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0"/>
        </w:tabs>
        <w:ind w:start="0" w:hanging="180"/>
      </w:pPr>
      <w:rPr/>
    </w:lvl>
  </w:abstractNum>
  <w:abstractNum w:abstractNumId="3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18"/>
    <w:lvlOverride w:ilvl="0">
      <w:startOverride w:val="1"/>
    </w:lvlOverride>
  </w:num>
  <w:num w:numId="37">
    <w:abstractNumId w:val="19"/>
    <w:lvlOverride w:ilvl="0">
      <w:startOverride w:val="1"/>
    </w:lvlOverride>
  </w:num>
  <w:num w:numId="38">
    <w:abstractNumId w:val="19"/>
  </w:num>
  <w:num w:numId="39">
    <w:abstractNumId w:val="19"/>
  </w:num>
  <w:num w:numId="40">
    <w:abstractNumId w:val="18"/>
  </w:num>
  <w:num w:numId="41">
    <w:abstractNumId w:val="23"/>
    <w:lvlOverride w:ilvl="0">
      <w:startOverride w:val="1"/>
    </w:lvlOverride>
  </w:num>
  <w:num w:numId="42">
    <w:abstractNumId w:val="23"/>
  </w:num>
  <w:num w:numId="43">
    <w:abstractNumId w:val="23"/>
  </w:num>
  <w:num w:numId="44">
    <w:abstractNumId w:val="23"/>
  </w:num>
  <w:num w:numId="45">
    <w:abstractNumId w:val="23"/>
  </w:num>
  <w:num w:numId="46">
    <w:abstractNumId w:val="23"/>
  </w:num>
  <w:num w:numId="47">
    <w:abstractNumId w:val="23"/>
  </w:num>
  <w:num w:numId="48">
    <w:abstractNumId w:val="23"/>
  </w:num>
  <w:num w:numId="49">
    <w:abstractNumId w:val="23"/>
  </w:num>
  <w:num w:numId="50">
    <w:abstractNumId w:val="23"/>
  </w:num>
  <w:num w:numId="51">
    <w:abstractNumId w:val="23"/>
  </w:num>
  <w:num w:numId="52">
    <w:abstractNumId w:val="1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"/>
      <w:szCs w:val="20"/>
      <w:lang w:val="ru-RU" w:eastAsia="ru-RU" w:bidi="ar-SA"/>
    </w:rPr>
  </w:style>
  <w:style w:type="paragraph" w:styleId="Heading1">
    <w:name w:val="heading 1"/>
    <w:next w:val="Normal"/>
    <w:link w:val="12"/>
    <w:uiPriority w:val="9"/>
    <w:qFormat/>
    <w:pPr>
      <w:widowControl/>
      <w:suppressAutoHyphens w:val="true"/>
      <w:bidi w:val="0"/>
      <w:spacing w:lineRule="auto" w:line="278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pPr>
      <w:widowControl/>
      <w:suppressAutoHyphens w:val="true"/>
      <w:bidi w:val="0"/>
      <w:spacing w:lineRule="auto" w:line="278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pPr>
      <w:widowControl/>
      <w:suppressAutoHyphens w:val="true"/>
      <w:bidi w:val="0"/>
      <w:spacing w:lineRule="auto" w:line="278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pPr>
      <w:widowControl/>
      <w:suppressAutoHyphens w:val="true"/>
      <w:bidi w:val="0"/>
      <w:spacing w:lineRule="auto" w:line="278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pPr>
      <w:widowControl/>
      <w:suppressAutoHyphens w:val="true"/>
      <w:bidi w:val="0"/>
      <w:spacing w:lineRule="auto" w:line="278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Liberation Sans" w:hAnsi="Liberation Sans" w:eastAsia="Liberation Sans" w:cs="Liberation Sans"/>
      <w:sz w:val="34"/>
    </w:rPr>
  </w:style>
  <w:style w:type="character" w:styleId="Heading3Char">
    <w:name w:val="Heading 3 Char"/>
    <w:basedOn w:val="DefaultParagraphFont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Pr>
      <w:rFonts w:ascii="Calibri" w:hAnsi="Calibri" w:asciiTheme="minorHAnsi" w:hAnsiTheme="minorHAnsi"/>
      <w:color w:val="000000"/>
      <w:spacing w:val="0"/>
      <w:sz w:val="2"/>
    </w:rPr>
  </w:style>
  <w:style w:type="character" w:styleId="2" w:customStyle="1">
    <w:name w:val="Оглавление 2 Знак"/>
    <w:qFormat/>
    <w:rPr>
      <w:rFonts w:ascii="XO Thames" w:hAnsi="XO Thames"/>
      <w:color w:val="000000"/>
      <w:spacing w:val="0"/>
      <w:sz w:val="28"/>
    </w:rPr>
  </w:style>
  <w:style w:type="character" w:styleId="Internetlink" w:customStyle="1">
    <w:name w:val="Internet link"/>
    <w:link w:val="Internetlink1"/>
    <w:qFormat/>
    <w:rPr>
      <w:rFonts w:ascii="Calibri" w:hAnsi="Calibri"/>
      <w:color w:val="0000FF"/>
      <w:spacing w:val="0"/>
      <w:sz w:val="24"/>
      <w:u w:val="single"/>
    </w:rPr>
  </w:style>
  <w:style w:type="character" w:styleId="4" w:customStyle="1">
    <w:name w:val="Оглавление 4 Знак"/>
    <w:qFormat/>
    <w:rPr>
      <w:rFonts w:ascii="XO Thames" w:hAnsi="XO Thames"/>
      <w:color w:val="000000"/>
      <w:spacing w:val="0"/>
      <w:sz w:val="28"/>
    </w:rPr>
  </w:style>
  <w:style w:type="character" w:styleId="6" w:customStyle="1">
    <w:name w:val="Оглавление 6 Знак"/>
    <w:qFormat/>
    <w:rPr>
      <w:rFonts w:ascii="XO Thames" w:hAnsi="XO Thames"/>
      <w:color w:val="000000"/>
      <w:spacing w:val="0"/>
      <w:sz w:val="28"/>
    </w:rPr>
  </w:style>
  <w:style w:type="character" w:styleId="7" w:customStyle="1">
    <w:name w:val="Оглавление 7 Знак"/>
    <w:qFormat/>
    <w:rPr>
      <w:rFonts w:ascii="XO Thames" w:hAnsi="XO Thames"/>
      <w:color w:val="000000"/>
      <w:spacing w:val="0"/>
      <w:sz w:val="28"/>
    </w:rPr>
  </w:style>
  <w:style w:type="character" w:styleId="11" w:customStyle="1">
    <w:name w:val="Заголовок1"/>
    <w:basedOn w:val="1"/>
    <w:qFormat/>
    <w:rPr>
      <w:rFonts w:ascii="Liberation Sans" w:hAnsi="Liberation Sans"/>
      <w:color w:val="000000"/>
      <w:spacing w:val="0"/>
      <w:sz w:val="28"/>
    </w:rPr>
  </w:style>
  <w:style w:type="character" w:styleId="Endnote" w:customStyle="1">
    <w:name w:val="Endnote"/>
    <w:link w:val="Endnote2"/>
    <w:qFormat/>
    <w:rPr>
      <w:rFonts w:ascii="XO Thames" w:hAnsi="XO Thames"/>
      <w:sz w:val="22"/>
    </w:rPr>
  </w:style>
  <w:style w:type="character" w:styleId="3" w:customStyle="1">
    <w:name w:val="Заголовок 3 Знак"/>
    <w:qFormat/>
    <w:rPr>
      <w:rFonts w:ascii="XO Thames" w:hAnsi="XO Thames"/>
      <w:b/>
      <w:color w:val="000000"/>
      <w:spacing w:val="0"/>
      <w:sz w:val="26"/>
    </w:rPr>
  </w:style>
  <w:style w:type="character" w:styleId="Style5" w:customStyle="1">
    <w:name w:val="Обычный (веб) Знак"/>
    <w:basedOn w:val="1"/>
    <w:link w:val="NormalWeb"/>
    <w:qFormat/>
    <w:rPr>
      <w:rFonts w:ascii="Calibri" w:hAnsi="Calibri" w:asciiTheme="minorHAnsi" w:hAnsiTheme="minorHAnsi"/>
      <w:color w:val="000000"/>
      <w:spacing w:val="0"/>
      <w:sz w:val="2"/>
    </w:rPr>
  </w:style>
  <w:style w:type="character" w:styleId="user" w:customStyle="1">
    <w:name w:val="Символ концевой сноски (user)"/>
    <w:qFormat/>
    <w:rPr>
      <w:vertAlign w:val="superscript"/>
    </w:rPr>
  </w:style>
  <w:style w:type="character" w:styleId="Endnote1" w:customStyle="1">
    <w:name w:val="Endnote1"/>
    <w:link w:val="Endnote11"/>
    <w:qFormat/>
    <w:rPr>
      <w:rFonts w:ascii="XO Thames" w:hAnsi="XO Thames"/>
      <w:color w:val="000000"/>
      <w:spacing w:val="0"/>
      <w:sz w:val="22"/>
    </w:rPr>
  </w:style>
  <w:style w:type="character" w:styleId="Heading11" w:customStyle="1">
    <w:name w:val="Heading 11"/>
    <w:link w:val="Heading111"/>
    <w:qFormat/>
    <w:rPr>
      <w:rFonts w:ascii="XO Thames" w:hAnsi="XO Thames"/>
      <w:b/>
      <w:sz w:val="32"/>
    </w:rPr>
  </w:style>
  <w:style w:type="character" w:styleId="Heading51" w:customStyle="1">
    <w:name w:val="Heading 51"/>
    <w:link w:val="Heading511"/>
    <w:qFormat/>
    <w:rPr>
      <w:rFonts w:ascii="XO Thames" w:hAnsi="XO Thames"/>
      <w:b/>
      <w:sz w:val="22"/>
    </w:rPr>
  </w:style>
  <w:style w:type="character" w:styleId="Contents5" w:customStyle="1">
    <w:name w:val="Contents 5"/>
    <w:link w:val="Contents51"/>
    <w:qFormat/>
    <w:rPr>
      <w:rFonts w:ascii="XO Thames" w:hAnsi="XO Thames"/>
      <w:sz w:val="28"/>
    </w:rPr>
  </w:style>
  <w:style w:type="character" w:styleId="basictext" w:customStyle="1">
    <w:name w:val="basic_text"/>
    <w:basedOn w:val="1"/>
    <w:link w:val="basictext1"/>
    <w:qFormat/>
    <w:rPr>
      <w:rFonts w:ascii="Calibri" w:hAnsi="Calibri" w:asciiTheme="minorHAnsi" w:hAnsiTheme="minorHAnsi"/>
      <w:color w:val="000000"/>
      <w:spacing w:val="0"/>
      <w:sz w:val="2"/>
    </w:rPr>
  </w:style>
  <w:style w:type="character" w:styleId="31" w:customStyle="1">
    <w:name w:val="Оглавление 3 Знак"/>
    <w:qFormat/>
    <w:rPr>
      <w:rFonts w:ascii="XO Thames" w:hAnsi="XO Thames"/>
      <w:color w:val="000000"/>
      <w:spacing w:val="0"/>
      <w:sz w:val="28"/>
    </w:rPr>
  </w:style>
  <w:style w:type="character" w:styleId="Contents6" w:customStyle="1">
    <w:name w:val="Contents 6"/>
    <w:link w:val="Contents61"/>
    <w:qFormat/>
    <w:rPr>
      <w:rFonts w:ascii="XO Thames" w:hAnsi="XO Thames"/>
      <w:sz w:val="28"/>
    </w:rPr>
  </w:style>
  <w:style w:type="character" w:styleId="Style6" w:customStyle="1">
    <w:name w:val="Указатель Знак"/>
    <w:basedOn w:val="1"/>
    <w:qFormat/>
    <w:rPr>
      <w:rFonts w:ascii="Calibri" w:hAnsi="Calibri" w:asciiTheme="minorHAnsi" w:hAnsiTheme="minorHAnsi"/>
      <w:color w:val="000000"/>
      <w:spacing w:val="0"/>
      <w:sz w:val="2"/>
    </w:rPr>
  </w:style>
  <w:style w:type="character" w:styleId="Style7" w:customStyle="1">
    <w:name w:val="Основной текст Знак"/>
    <w:basedOn w:val="1"/>
    <w:qFormat/>
    <w:rPr>
      <w:rFonts w:ascii="Calibri" w:hAnsi="Calibri" w:asciiTheme="minorHAnsi" w:hAnsiTheme="minorHAnsi"/>
      <w:color w:val="000000"/>
      <w:spacing w:val="0"/>
      <w:sz w:val="2"/>
    </w:rPr>
  </w:style>
  <w:style w:type="character" w:styleId="Contents8" w:customStyle="1">
    <w:name w:val="Contents 8"/>
    <w:link w:val="Contents81"/>
    <w:qFormat/>
    <w:rPr>
      <w:rFonts w:ascii="XO Thames" w:hAnsi="XO Thames"/>
      <w:sz w:val="28"/>
    </w:rPr>
  </w:style>
  <w:style w:type="character" w:styleId="Contents4" w:customStyle="1">
    <w:name w:val="Contents 4"/>
    <w:link w:val="Contents41"/>
    <w:qFormat/>
    <w:rPr>
      <w:rFonts w:ascii="XO Thames" w:hAnsi="XO Thames"/>
      <w:sz w:val="28"/>
    </w:rPr>
  </w:style>
  <w:style w:type="character" w:styleId="Style8">
    <w:name w:val="Символ сноски"/>
    <w:link w:val="17"/>
    <w:qFormat/>
    <w:rPr>
      <w:vertAlign w:val="superscript"/>
    </w:rPr>
  </w:style>
  <w:style w:type="character" w:styleId="user1" w:customStyle="1">
    <w:name w:val="Символ сноски (user)"/>
    <w:qFormat/>
    <w:rPr/>
  </w:style>
  <w:style w:type="character" w:styleId="FootnoteReference">
    <w:name w:val="footnote reference"/>
    <w:rPr>
      <w:vertAlign w:val="superscript"/>
    </w:rPr>
  </w:style>
  <w:style w:type="character" w:styleId="5" w:customStyle="1">
    <w:name w:val="Заголовок 5 Знак"/>
    <w:qFormat/>
    <w:rPr>
      <w:rFonts w:ascii="XO Thames" w:hAnsi="XO Thames"/>
      <w:b/>
      <w:color w:val="000000"/>
      <w:spacing w:val="0"/>
      <w:sz w:val="22"/>
    </w:rPr>
  </w:style>
  <w:style w:type="character" w:styleId="Heading21" w:customStyle="1">
    <w:name w:val="Heading 21"/>
    <w:link w:val="Heading211"/>
    <w:qFormat/>
    <w:rPr>
      <w:rFonts w:ascii="XO Thames" w:hAnsi="XO Thames"/>
      <w:b/>
      <w:sz w:val="28"/>
    </w:rPr>
  </w:style>
  <w:style w:type="character" w:styleId="12" w:customStyle="1">
    <w:name w:val="Заголовок 1 Знак"/>
    <w:qFormat/>
    <w:rPr>
      <w:rFonts w:ascii="XO Thames" w:hAnsi="XO Thames"/>
      <w:b/>
      <w:color w:val="000000"/>
      <w:spacing w:val="0"/>
      <w:sz w:val="32"/>
    </w:rPr>
  </w:style>
  <w:style w:type="character" w:styleId="13" w:customStyle="1">
    <w:name w:val="Стиль1"/>
    <w:basedOn w:val="basictext"/>
    <w:link w:val="111"/>
    <w:qFormat/>
    <w:rPr>
      <w:rFonts w:ascii="Calibri" w:hAnsi="Calibri" w:asciiTheme="minorHAnsi" w:hAnsiTheme="minorHAnsi"/>
      <w:color w:val="FF0000"/>
      <w:spacing w:val="0"/>
      <w:sz w:val="2"/>
    </w:rPr>
  </w:style>
  <w:style w:type="character" w:styleId="docdatadocyv517335bqiaagaaesqjaaagkakaaapjogaabzpaaaaaaaaaaaaaaaaaaaaaaaaaaaaaaaaaaaaaaaaaaaaaaaaaaaaaaaaaaaaaaaaaaaaaaaaaaaaaaaaaaaaaaaaaaaaaaaaaaaaaaaaaaaaaaaaaaaaaaaaaaaaaaaaaaaaaaaaaaaaaaaaaaaaaaaaaaaaaaaaaaaaaaaaaaaaaaaaaaaaaaaaaaaaaaaaaaaaaaaa" w:customStyle="1">
    <w:name w:val="docdata;docy;v5;17335;bqiaagaaesqjaaagkakaaapjogaabzpaaaaaaaaaaaaaaaaaaaaaaaaaaaaaaaaaaaaaaaaaaaaaaaaaaaaaaaaaaaaaaaaaaaaaaaaaaaaaaaaaaaaaaaaaaaaaaaaaaaaaaaaaaaaaaaaaaaaaaaaaaaaaaaaaaaaaaaaaaaaaaaaaaaaaaaaaaaaaaaaaaaaaaaaaaaaaaaaaaaaaaaaaaaaaaaaaaaaaaaa"/>
    <w:basedOn w:val="1"/>
    <w:link w:val="docdatadocyv517335bqiaagaaesqjaaagkakaaapjogaabzpaaaaaaaaaaaaaaaaaaaaaaaaaaaaaaaaaaaaaaaaaaaaaaaaaaaaaaaaaaaaaaaaaaaaaaaaaaaaaaaaaaaaaaaaaaaaaaaaaaaaaaaaaaaaaaaaaaaaaaaaaaaaaaaaaaaaaaaaaaaaaaaaaaaaaaaaaaaaaaaaaaaaaaaaaaaaaaaaaaaaaaaaaaaaaaaaaaaaaaaa1"/>
    <w:qFormat/>
    <w:rPr>
      <w:rFonts w:ascii="Calibri" w:hAnsi="Calibri" w:asciiTheme="minorHAnsi" w:hAnsiTheme="minorHAnsi"/>
      <w:color w:val="000000"/>
      <w:spacing w:val="0"/>
      <w:sz w:val="2"/>
    </w:rPr>
  </w:style>
  <w:style w:type="character" w:styleId="Contents9" w:customStyle="1">
    <w:name w:val="Contents 9"/>
    <w:link w:val="Contents91"/>
    <w:qFormat/>
    <w:rPr>
      <w:rFonts w:ascii="XO Thames" w:hAnsi="XO Thames"/>
      <w:sz w:val="28"/>
    </w:rPr>
  </w:style>
  <w:style w:type="character" w:styleId="Hyperlink">
    <w:name w:val="Hyperlink"/>
    <w:link w:val="18"/>
    <w:rPr>
      <w:color w:val="0000FF"/>
      <w:u w:val="single"/>
    </w:rPr>
  </w:style>
  <w:style w:type="character" w:styleId="Footnote" w:customStyle="1">
    <w:name w:val="Footnote"/>
    <w:basedOn w:val="1"/>
    <w:link w:val="Footnote2"/>
    <w:qFormat/>
    <w:rPr>
      <w:rFonts w:ascii="Calibri" w:hAnsi="Calibri" w:asciiTheme="minorHAnsi" w:hAnsiTheme="minorHAnsi"/>
      <w:color w:val="000000"/>
      <w:spacing w:val="0"/>
      <w:sz w:val="20"/>
    </w:rPr>
  </w:style>
  <w:style w:type="character" w:styleId="14" w:customStyle="1">
    <w:name w:val="Оглавление 1 Знак"/>
    <w:qFormat/>
    <w:rPr>
      <w:rFonts w:ascii="XO Thames" w:hAnsi="XO Thames"/>
      <w:b/>
      <w:color w:val="000000"/>
      <w:spacing w:val="0"/>
      <w:sz w:val="28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Heading41" w:customStyle="1">
    <w:name w:val="Heading 41"/>
    <w:link w:val="Heading411"/>
    <w:qFormat/>
    <w:rPr>
      <w:rFonts w:ascii="XO Thames" w:hAnsi="XO Thames"/>
      <w:b/>
      <w:sz w:val="24"/>
    </w:rPr>
  </w:style>
  <w:style w:type="character" w:styleId="Style9" w:customStyle="1">
    <w:name w:val="Содержимое таблицы"/>
    <w:basedOn w:val="1"/>
    <w:link w:val="114"/>
    <w:qFormat/>
    <w:rPr>
      <w:rFonts w:ascii="Calibri" w:hAnsi="Calibri" w:asciiTheme="minorHAnsi" w:hAnsiTheme="minorHAnsi"/>
      <w:color w:val="000000"/>
      <w:spacing w:val="0"/>
      <w:sz w:val="2"/>
    </w:rPr>
  </w:style>
  <w:style w:type="character" w:styleId="Title1" w:customStyle="1">
    <w:name w:val="Title1"/>
    <w:link w:val="Title11"/>
    <w:qFormat/>
    <w:rPr>
      <w:rFonts w:ascii="XO Thames" w:hAnsi="XO Thames"/>
      <w:b/>
      <w:caps/>
      <w:sz w:val="40"/>
    </w:rPr>
  </w:style>
  <w:style w:type="character" w:styleId="9" w:customStyle="1">
    <w:name w:val="Оглавление 9 Знак"/>
    <w:qFormat/>
    <w:rPr>
      <w:rFonts w:ascii="XO Thames" w:hAnsi="XO Thames"/>
      <w:color w:val="000000"/>
      <w:spacing w:val="0"/>
      <w:sz w:val="28"/>
    </w:rPr>
  </w:style>
  <w:style w:type="character" w:styleId="Style10" w:customStyle="1">
    <w:name w:val="Название объекта Знак"/>
    <w:basedOn w:val="1"/>
    <w:qFormat/>
    <w:rPr>
      <w:rFonts w:ascii="Calibri" w:hAnsi="Calibri" w:asciiTheme="minorHAnsi" w:hAnsiTheme="minorHAnsi"/>
      <w:i/>
      <w:color w:val="000000"/>
      <w:spacing w:val="0"/>
      <w:sz w:val="24"/>
    </w:rPr>
  </w:style>
  <w:style w:type="character" w:styleId="Footnote1" w:customStyle="1">
    <w:name w:val="Footnote1"/>
    <w:link w:val="Footnote11"/>
    <w:qFormat/>
    <w:rPr>
      <w:rFonts w:ascii="XO Thames" w:hAnsi="XO Thames"/>
      <w:color w:val="000000"/>
      <w:spacing w:val="0"/>
      <w:sz w:val="22"/>
    </w:rPr>
  </w:style>
  <w:style w:type="character" w:styleId="Contents3" w:customStyle="1">
    <w:name w:val="Contents 3"/>
    <w:link w:val="Contents31"/>
    <w:qFormat/>
    <w:rPr>
      <w:rFonts w:ascii="XO Thames" w:hAnsi="XO Thames"/>
      <w:sz w:val="28"/>
    </w:rPr>
  </w:style>
  <w:style w:type="character" w:styleId="8" w:customStyle="1">
    <w:name w:val="Оглавление 8 Знак"/>
    <w:qFormat/>
    <w:rPr>
      <w:rFonts w:ascii="XO Thames" w:hAnsi="XO Thames"/>
      <w:color w:val="000000"/>
      <w:spacing w:val="0"/>
      <w:sz w:val="28"/>
    </w:rPr>
  </w:style>
  <w:style w:type="character" w:styleId="Style11" w:customStyle="1">
    <w:name w:val="Заголовок таблицы"/>
    <w:basedOn w:val="Style9"/>
    <w:link w:val="115"/>
    <w:qFormat/>
    <w:rPr>
      <w:rFonts w:ascii="Calibri" w:hAnsi="Calibri" w:asciiTheme="minorHAnsi" w:hAnsiTheme="minorHAnsi"/>
      <w:b/>
      <w:color w:val="000000"/>
      <w:spacing w:val="0"/>
      <w:sz w:val="2"/>
    </w:rPr>
  </w:style>
  <w:style w:type="character" w:styleId="Contents7" w:customStyle="1">
    <w:name w:val="Contents 7"/>
    <w:link w:val="Contents71"/>
    <w:qFormat/>
    <w:rPr>
      <w:rFonts w:ascii="XO Thames" w:hAnsi="XO Thames"/>
      <w:sz w:val="28"/>
    </w:rPr>
  </w:style>
  <w:style w:type="character" w:styleId="Contents1" w:customStyle="1">
    <w:name w:val="Contents 1"/>
    <w:link w:val="Contents11"/>
    <w:qFormat/>
    <w:rPr>
      <w:rFonts w:ascii="XO Thames" w:hAnsi="XO Thames"/>
      <w:b/>
      <w:sz w:val="28"/>
    </w:rPr>
  </w:style>
  <w:style w:type="character" w:styleId="Style12">
    <w:name w:val="Символ концевой сноски"/>
    <w:link w:val="112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1" w:customStyle="1">
    <w:name w:val="Default Paragraph Font1"/>
    <w:link w:val="DefaultParagraphFont11"/>
    <w:qFormat/>
    <w:rPr>
      <w:rFonts w:ascii="Calibri" w:hAnsi="Calibri" w:asciiTheme="minorHAnsi" w:hAnsiTheme="minorHAnsi"/>
      <w:color w:val="000000"/>
      <w:spacing w:val="0"/>
      <w:sz w:val="24"/>
    </w:rPr>
  </w:style>
  <w:style w:type="character" w:styleId="51" w:customStyle="1">
    <w:name w:val="Оглавление 5 Знак"/>
    <w:qFormat/>
    <w:rPr>
      <w:rFonts w:ascii="XO Thames" w:hAnsi="XO Thames"/>
      <w:color w:val="000000"/>
      <w:spacing w:val="0"/>
      <w:sz w:val="28"/>
    </w:rPr>
  </w:style>
  <w:style w:type="character" w:styleId="Style13" w:customStyle="1">
    <w:name w:val="Колонтитулы"/>
    <w:link w:val="15"/>
    <w:qFormat/>
    <w:rPr>
      <w:rFonts w:ascii="XO Thames" w:hAnsi="XO Thames"/>
      <w:color w:val="000000"/>
      <w:spacing w:val="0"/>
      <w:sz w:val="28"/>
    </w:rPr>
  </w:style>
  <w:style w:type="character" w:styleId="Style14" w:customStyle="1">
    <w:name w:val="Список Знак"/>
    <w:basedOn w:val="Style7"/>
    <w:qFormat/>
    <w:rPr>
      <w:rFonts w:ascii="Calibri" w:hAnsi="Calibri" w:asciiTheme="minorHAnsi" w:hAnsiTheme="minorHAnsi"/>
      <w:color w:val="000000"/>
      <w:spacing w:val="0"/>
      <w:sz w:val="2"/>
    </w:rPr>
  </w:style>
  <w:style w:type="character" w:styleId="Style15" w:customStyle="1">
    <w:name w:val="Подзаголовок Знак"/>
    <w:qFormat/>
    <w:rPr>
      <w:rFonts w:ascii="XO Thames" w:hAnsi="XO Thames"/>
      <w:i/>
      <w:color w:val="000000"/>
      <w:spacing w:val="0"/>
      <w:sz w:val="24"/>
    </w:rPr>
  </w:style>
  <w:style w:type="character" w:styleId="Subtitle1" w:customStyle="1">
    <w:name w:val="Subtitle1"/>
    <w:link w:val="Subtitle11"/>
    <w:qFormat/>
    <w:rPr>
      <w:rFonts w:ascii="XO Thames" w:hAnsi="XO Thames"/>
      <w:i/>
      <w:sz w:val="24"/>
    </w:rPr>
  </w:style>
  <w:style w:type="character" w:styleId="Contents2" w:customStyle="1">
    <w:name w:val="Contents 2"/>
    <w:link w:val="Contents21"/>
    <w:qFormat/>
    <w:rPr>
      <w:rFonts w:ascii="XO Thames" w:hAnsi="XO Thames"/>
      <w:sz w:val="28"/>
    </w:rPr>
  </w:style>
  <w:style w:type="character" w:styleId="Style16" w:customStyle="1">
    <w:name w:val="Заголовок Знак"/>
    <w:qFormat/>
    <w:rPr>
      <w:rFonts w:ascii="XO Thames" w:hAnsi="XO Thames"/>
      <w:b/>
      <w:caps/>
      <w:color w:val="000000"/>
      <w:spacing w:val="0"/>
      <w:sz w:val="40"/>
    </w:rPr>
  </w:style>
  <w:style w:type="character" w:styleId="41" w:customStyle="1">
    <w:name w:val="Заголовок 4 Знак"/>
    <w:qFormat/>
    <w:rPr>
      <w:rFonts w:ascii="XO Thames" w:hAnsi="XO Thames"/>
      <w:b/>
      <w:color w:val="000000"/>
      <w:spacing w:val="0"/>
      <w:sz w:val="24"/>
    </w:rPr>
  </w:style>
  <w:style w:type="character" w:styleId="Heading31" w:customStyle="1">
    <w:name w:val="Heading 31"/>
    <w:link w:val="Heading311"/>
    <w:qFormat/>
    <w:rPr>
      <w:rFonts w:ascii="XO Thames" w:hAnsi="XO Thames"/>
      <w:b/>
      <w:sz w:val="26"/>
    </w:rPr>
  </w:style>
  <w:style w:type="character" w:styleId="21" w:customStyle="1">
    <w:name w:val="Заголовок 2 Знак"/>
    <w:qFormat/>
    <w:rPr>
      <w:rFonts w:ascii="XO Thames" w:hAnsi="XO Thames"/>
      <w:b/>
      <w:color w:val="000000"/>
      <w:spacing w:val="0"/>
      <w:sz w:val="28"/>
    </w:rPr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styleId="LineNumber">
    <w:name w:val="line number"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7"/>
    <w:pPr>
      <w:spacing w:lineRule="auto" w:line="276" w:before="0" w:after="140"/>
    </w:pPr>
    <w:rPr/>
  </w:style>
  <w:style w:type="paragraph" w:styleId="List">
    <w:name w:val="List"/>
    <w:basedOn w:val="BodyText"/>
    <w:link w:val="Style14"/>
    <w:pPr/>
    <w:rPr/>
  </w:style>
  <w:style w:type="paragraph" w:styleId="Caption">
    <w:name w:val="caption"/>
    <w:basedOn w:val="Normal"/>
    <w:link w:val="Style10"/>
    <w:qFormat/>
    <w:pPr>
      <w:spacing w:before="120" w:after="120"/>
    </w:pPr>
    <w:rPr>
      <w:i/>
      <w:sz w:val="24"/>
    </w:rPr>
  </w:style>
  <w:style w:type="paragraph" w:styleId="Style19">
    <w:name w:val="Указатель"/>
    <w:basedOn w:val="Normal"/>
    <w:qFormat/>
    <w:pPr>
      <w:suppressLineNumbers/>
    </w:pPr>
    <w:rPr>
      <w:rFonts w:cs="Noto 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uiPriority w:val="34"/>
    <w:qFormat/>
    <w:pPr>
      <w:spacing w:before="0" w:after="0"/>
      <w:ind w:star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Quote">
    <w:name w:val="Quote"/>
    <w:basedOn w:val="Normal"/>
    <w:next w:val="Normal"/>
    <w:link w:val="QuoteChar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start="720" w:end="720"/>
    </w:pPr>
    <w:rPr>
      <w:i/>
    </w:rPr>
  </w:style>
  <w:style w:type="paragraph" w:styleId="15" w:customStyle="1">
    <w:name w:val="Колонтитулы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2" w:customStyle="1">
    <w:name w:val="Колонтитулы2"/>
    <w:qFormat/>
    <w:pPr>
      <w:widowControl/>
      <w:suppressAutoHyphens w:val="true"/>
      <w:bidi w:val="0"/>
      <w:spacing w:before="0" w:after="16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32">
    <w:name w:val="Колонтитулы3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IndexHeading">
    <w:name w:val="index heading"/>
    <w:basedOn w:val="Normal"/>
    <w:link w:val="Style6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TOC2">
    <w:name w:val="toc 2"/>
    <w:next w:val="Normal"/>
    <w:link w:val="2"/>
    <w:uiPriority w:val="39"/>
    <w:pPr>
      <w:widowControl/>
      <w:suppressAutoHyphens w:val="true"/>
      <w:bidi w:val="0"/>
      <w:spacing w:lineRule="auto" w:line="278" w:before="0" w:after="16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Internetlink1" w:customStyle="1">
    <w:name w:val="Internet link1"/>
    <w:link w:val="Internetlink"/>
    <w:qFormat/>
    <w:pPr>
      <w:widowControl/>
      <w:suppressAutoHyphens w:val="true"/>
      <w:bidi w:val="0"/>
      <w:spacing w:lineRule="auto" w:line="278" w:before="0" w:after="160"/>
      <w:jc w:val="start"/>
    </w:pPr>
    <w:rPr>
      <w:rFonts w:ascii="Calibri" w:hAnsi="Calibri" w:eastAsia="Times New Roman" w:cs="Times New Roman"/>
      <w:color w:val="0000FF"/>
      <w:kern w:val="0"/>
      <w:sz w:val="24"/>
      <w:szCs w:val="20"/>
      <w:u w:val="single"/>
      <w:lang w:val="ru-RU" w:eastAsia="ru-RU" w:bidi="ar-SA"/>
    </w:rPr>
  </w:style>
  <w:style w:type="paragraph" w:styleId="TOC4">
    <w:name w:val="toc 4"/>
    <w:next w:val="Normal"/>
    <w:link w:val="4"/>
    <w:uiPriority w:val="39"/>
    <w:pPr>
      <w:widowControl/>
      <w:suppressAutoHyphens w:val="true"/>
      <w:bidi w:val="0"/>
      <w:spacing w:lineRule="auto" w:line="278" w:before="0" w:after="16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pPr>
      <w:widowControl/>
      <w:suppressAutoHyphens w:val="true"/>
      <w:bidi w:val="0"/>
      <w:spacing w:lineRule="auto" w:line="278" w:before="0" w:after="16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pPr>
      <w:widowControl/>
      <w:suppressAutoHyphens w:val="true"/>
      <w:bidi w:val="0"/>
      <w:spacing w:lineRule="auto" w:line="278" w:before="0" w:after="16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itle">
    <w:name w:val="Title"/>
    <w:next w:val="BodyText"/>
    <w:link w:val="Style16"/>
    <w:uiPriority w:val="10"/>
    <w:qFormat/>
    <w:pPr>
      <w:widowControl/>
      <w:suppressAutoHyphens w:val="true"/>
      <w:bidi w:val="0"/>
      <w:spacing w:lineRule="auto" w:line="278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Endnote2" w:customStyle="1">
    <w:name w:val="Endnote2"/>
    <w:link w:val="End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link w:val="Style5"/>
    <w:qFormat/>
    <w:pPr>
      <w:spacing w:beforeAutospacing="1" w:afterAutospacing="1"/>
    </w:pPr>
    <w:rPr/>
  </w:style>
  <w:style w:type="paragraph" w:styleId="16" w:customStyle="1">
    <w:name w:val="Символ концевой сноски1"/>
    <w:link w:val="Style1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Endnote11" w:customStyle="1">
    <w:name w:val="Endnote11"/>
    <w:link w:val="Endnote1"/>
    <w:qFormat/>
    <w:pPr>
      <w:widowControl/>
      <w:suppressAutoHyphens w:val="true"/>
      <w:bidi w:val="0"/>
      <w:spacing w:lineRule="auto" w:line="278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ing111" w:customStyle="1">
    <w:name w:val="Heading 111"/>
    <w:link w:val="Heading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511" w:customStyle="1">
    <w:name w:val="Heading 511"/>
    <w:link w:val="Heading5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Contents51" w:customStyle="1">
    <w:name w:val="Contents 51"/>
    <w:link w:val="Contents5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basictext1" w:customStyle="1">
    <w:name w:val="basic_text1"/>
    <w:basedOn w:val="Normal"/>
    <w:link w:val="basictext"/>
    <w:qFormat/>
    <w:pPr>
      <w:spacing w:lineRule="auto" w:line="360" w:before="0" w:after="120"/>
      <w:ind w:firstLine="709"/>
      <w:jc w:val="both"/>
    </w:pPr>
    <w:rPr/>
  </w:style>
  <w:style w:type="paragraph" w:styleId="TOC3">
    <w:name w:val="toc 3"/>
    <w:next w:val="Normal"/>
    <w:link w:val="31"/>
    <w:uiPriority w:val="39"/>
    <w:pPr>
      <w:widowControl/>
      <w:suppressAutoHyphens w:val="true"/>
      <w:bidi w:val="0"/>
      <w:spacing w:lineRule="auto" w:line="278" w:before="0" w:after="16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61" w:customStyle="1">
    <w:name w:val="Contents 61"/>
    <w:link w:val="Contents6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81" w:customStyle="1">
    <w:name w:val="Contents 81"/>
    <w:link w:val="Contents8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41" w:customStyle="1">
    <w:name w:val="Contents 41"/>
    <w:link w:val="Contents4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7" w:customStyle="1">
    <w:name w:val="Знак сноски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Heading211" w:customStyle="1">
    <w:name w:val="Heading 211"/>
    <w:link w:val="Heading2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11" w:customStyle="1">
    <w:name w:val="Стиль11"/>
    <w:basedOn w:val="basictext1"/>
    <w:link w:val="13"/>
    <w:qFormat/>
    <w:pPr/>
    <w:rPr>
      <w:color w:val="FF0000"/>
    </w:rPr>
  </w:style>
  <w:style w:type="paragraph" w:styleId="docdatadocyv517335bqiaagaaesqjaaagkakaaapjogaabzpaaaaaaaaaaaaaaaaaaaaaaaaaaaaaaaaaaaaaaaaaaaaaaaaaaaaaaaaaaaaaaaaaaaaaaaaaaaaaaaaaaaaaaaaaaaaaaaaaaaaaaaaaaaaaaaaaaaaaaaaaaaaaaaaaaaaaaaaaaaaaaaaaaaaaaaaaaaaaaaaaaaaaaaaaaaaaaaaaaaaaaaaaaaaaaaaaaaaaaaa1" w:customStyle="1">
    <w:name w:val="docdata;docy;v5;17335;bqiaagaaesqjaaagkakaaapjogaabzpaaaaaaaaaaaaaaaaaaaaaaaaaaaaaaaaaaaaaaaaaaaaaaaaaaaaaaaaaaaaaaaaaaaaaaaaaaaaaaaaaaaaaaaaaaaaaaaaaaaaaaaaaaaaaaaaaaaaaaaaaaaaaaaaaaaaaaaaaaaaaaaaaaaaaaaaaaaaaaaaaaaaaaaaaaaaaaaaaaaaaaaaaaaaaaaaaaaaaaaa1"/>
    <w:basedOn w:val="Normal"/>
    <w:link w:val="docdatadocyv517335bqiaagaaesqjaaagkakaaapjogaabzpaaaaaaaaaaaaaaaaaaaaaaaaaaaaaaaaaaaaaaaaaaaaaaaaaaaaaaaaaaaaaaaaaaaaaaaaaaaaaaaaaaaaaaaaaaaaaaaaaaaaaaaaaaaaaaaaaaaaaaaaaaaaaaaaaaaaaaaaaaaaaaaaaaaaaaaaaaaaaaaaaaaaaaaaaaaaaaaaaaaaaaaaaaaaaaaaaaaaaaaa"/>
    <w:qFormat/>
    <w:pPr>
      <w:spacing w:beforeAutospacing="1" w:afterAutospacing="1"/>
    </w:pPr>
    <w:rPr/>
  </w:style>
  <w:style w:type="paragraph" w:styleId="Contents91" w:customStyle="1">
    <w:name w:val="Contents 91"/>
    <w:link w:val="Contents9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8" w:customStyle="1">
    <w:name w:val="Гиперссылка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4"/>
      <w:szCs w:val="20"/>
      <w:u w:val="single"/>
      <w:lang w:val="ru-RU" w:eastAsia="ru-RU" w:bidi="ar-SA"/>
    </w:rPr>
  </w:style>
  <w:style w:type="paragraph" w:styleId="Footnote2" w:customStyle="1">
    <w:name w:val="Footnote2"/>
    <w:basedOn w:val="Normal"/>
    <w:link w:val="Footnote"/>
    <w:qFormat/>
    <w:pPr>
      <w:ind w:hanging="340"/>
    </w:pPr>
    <w:rPr>
      <w:sz w:val="20"/>
    </w:rPr>
  </w:style>
  <w:style w:type="paragraph" w:styleId="TOC1">
    <w:name w:val="toc 1"/>
    <w:next w:val="Normal"/>
    <w:link w:val="14"/>
    <w:uiPriority w:val="39"/>
    <w:pPr>
      <w:widowControl/>
      <w:suppressAutoHyphens w:val="true"/>
      <w:bidi w:val="0"/>
      <w:spacing w:lineRule="auto" w:line="278" w:before="0" w:after="16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411" w:customStyle="1">
    <w:name w:val="Heading 411"/>
    <w:link w:val="Heading4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19" w:customStyle="1">
    <w:name w:val="Содержимое таблицы1"/>
    <w:basedOn w:val="Normal"/>
    <w:qFormat/>
    <w:pPr>
      <w:widowControl w:val="false"/>
    </w:pPr>
    <w:rPr/>
  </w:style>
  <w:style w:type="paragraph" w:styleId="Title11" w:customStyle="1">
    <w:name w:val="Title11"/>
    <w:link w:val="Title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pPr>
      <w:widowControl/>
      <w:suppressAutoHyphens w:val="true"/>
      <w:bidi w:val="0"/>
      <w:spacing w:lineRule="auto" w:line="278" w:before="0" w:after="16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otnote11" w:customStyle="1">
    <w:name w:val="Footnote11"/>
    <w:link w:val="Footnote1"/>
    <w:qFormat/>
    <w:pPr>
      <w:widowControl/>
      <w:suppressAutoHyphens w:val="true"/>
      <w:bidi w:val="0"/>
      <w:spacing w:lineRule="auto" w:line="278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31" w:customStyle="1">
    <w:name w:val="Contents 31"/>
    <w:link w:val="Contents3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pPr>
      <w:widowControl/>
      <w:suppressAutoHyphens w:val="true"/>
      <w:bidi w:val="0"/>
      <w:spacing w:lineRule="auto" w:line="278" w:before="0" w:after="16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0" w:customStyle="1">
    <w:name w:val="Заголовок таблицы1"/>
    <w:basedOn w:val="19"/>
    <w:qFormat/>
    <w:pPr>
      <w:widowControl/>
      <w:jc w:val="center"/>
    </w:pPr>
    <w:rPr>
      <w:b/>
    </w:rPr>
  </w:style>
  <w:style w:type="paragraph" w:styleId="Contents71" w:customStyle="1">
    <w:name w:val="Contents 71"/>
    <w:link w:val="Contents7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11" w:customStyle="1">
    <w:name w:val="Contents 11"/>
    <w:link w:val="Contents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12" w:customStyle="1">
    <w:name w:val="Знак концевой сноски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DefaultParagraphFont11" w:customStyle="1">
    <w:name w:val="Default Paragraph Font11"/>
    <w:link w:val="DefaultParagraphFont1"/>
    <w:qFormat/>
    <w:pPr>
      <w:widowControl/>
      <w:suppressAutoHyphens w:val="true"/>
      <w:bidi w:val="0"/>
      <w:spacing w:lineRule="auto" w:line="278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pPr>
      <w:widowControl/>
      <w:suppressAutoHyphens w:val="true"/>
      <w:bidi w:val="0"/>
      <w:spacing w:lineRule="auto" w:line="278" w:before="0" w:after="16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3" w:customStyle="1">
    <w:name w:val="Символ сноски1"/>
    <w:link w:val="Style8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Subtitle">
    <w:name w:val="Subtitle"/>
    <w:next w:val="Normal"/>
    <w:link w:val="Style15"/>
    <w:uiPriority w:val="11"/>
    <w:qFormat/>
    <w:pPr>
      <w:widowControl/>
      <w:suppressAutoHyphens w:val="true"/>
      <w:bidi w:val="0"/>
      <w:spacing w:lineRule="auto" w:line="278" w:before="0" w:after="16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Subtitle11" w:customStyle="1">
    <w:name w:val="Subtitle11"/>
    <w:link w:val="Subtitle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Contents21" w:customStyle="1">
    <w:name w:val="Contents 21"/>
    <w:link w:val="Contents2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311" w:customStyle="1">
    <w:name w:val="Heading 311"/>
    <w:link w:val="Heading3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BalloonText">
    <w:name w:val="Balloon Text"/>
    <w:basedOn w:val="Normal"/>
    <w:link w:val="Style17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114">
    <w:name w:val="Содержимое таблицы11"/>
    <w:basedOn w:val="Normal"/>
    <w:qFormat/>
    <w:pPr/>
    <w:rPr/>
  </w:style>
  <w:style w:type="paragraph" w:styleId="115">
    <w:name w:val="Заголовок таблицы11"/>
    <w:basedOn w:val="114"/>
    <w:qFormat/>
    <w:pPr/>
    <w:rPr/>
  </w:style>
  <w:style w:type="numbering" w:styleId="Style20" w:default="1">
    <w:name w:val="Без списка"/>
    <w:uiPriority w:val="99"/>
    <w:semiHidden/>
    <w:unhideWhenUsed/>
    <w:qFormat/>
  </w:style>
  <w:style w:type="table" w:styleId="49">
    <w:name w:val="Table Grid"/>
    <w:basedOn w:val="73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73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73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2">
    <w:name w:val="Plain Table 2"/>
    <w:basedOn w:val="73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3">
    <w:name w:val="Plain Table 3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54">
    <w:name w:val="Plain Table 4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5">
    <w:name w:val="Plain Table 5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6">
    <w:name w:val="Grid Table 1 Light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7">
    <w:name w:val="Grid Table 1 Light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8">
    <w:name w:val="Grid Table 1 Light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9">
    <w:name w:val="Grid Table 1 Light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0">
    <w:name w:val="Grid Table 1 Light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1">
    <w:name w:val="Grid Table 1 Light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2">
    <w:name w:val="Grid Table 1 Light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3">
    <w:name w:val="Grid Table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9E2F2" w:themeFill="accent1" w:themeFillTint="34"/>
      </w:tcPr>
    </w:tblStylePr>
    <w:tblStylePr w:type="band1Vert">
      <w:rPr>
        <w:sz w:val="22"/>
      </w:rPr>
      <w:tblPr/>
      <w:tcPr>
        <w:shd w:val="clear" w:color="FFFFFF" w:fill="D9E2F2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DEBF6" w:themeFill="accent5" w:themeFillTint="34"/>
      </w:tcPr>
    </w:tblStylePr>
    <w:tblStylePr w:type="band1Vert">
      <w:rPr>
        <w:sz w:val="22"/>
      </w:rPr>
      <w:tblPr/>
      <w:tcPr>
        <w:shd w:val="clear" w:color="FFFFFF" w:fill="DDEBF6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2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9E2F2" w:themeFill="accent1" w:themeFillTint="34"/>
      </w:tcPr>
    </w:tblStylePr>
    <w:tblStylePr w:type="band1Vert">
      <w:rPr>
        <w:sz w:val="22"/>
      </w:rPr>
      <w:tblPr/>
      <w:tcPr>
        <w:shd w:val="clear" w:color="FFFFFF" w:fill="D9E2F2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DEBF6" w:themeFill="accent5" w:themeFillTint="34"/>
      </w:tcPr>
    </w:tblStylePr>
    <w:tblStylePr w:type="band1Vert">
      <w:rPr>
        <w:sz w:val="22"/>
      </w:rPr>
      <w:tblPr/>
      <w:tcPr>
        <w:shd w:val="clear" w:color="FFFFFF" w:fill="DDEBF6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3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">
    <w:name w:val="Grid Table 4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AE3F3" w:themeFill="accent1" w:themeFillTint="32"/>
      </w:tcPr>
    </w:tblStylePr>
    <w:tblStylePr w:type="band1Vert">
      <w:rPr>
        <w:sz w:val="22"/>
      </w:rPr>
      <w:tblPr/>
      <w:tcPr>
        <w:shd w:val="clear" w:color="FFFFFF" w:fill="DAE3F3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37FC8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9">
    <w:name w:val="Grid Table 4 - Accent 2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80">
    <w:name w:val="Grid Table 4 - Accent 3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1">
    <w:name w:val="Grid Table 4 - Accent 4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2">
    <w:name w:val="Grid Table 4 - Accent 5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DEBF6" w:themeFill="accent5" w:themeFillTint="34"/>
      </w:tcPr>
    </w:tblStylePr>
    <w:tblStylePr w:type="band1Vert">
      <w:rPr>
        <w:sz w:val="22"/>
      </w:rPr>
      <w:tblPr/>
      <w:tcPr>
        <w:shd w:val="clear" w:color="FFFFFF" w:fill="DDEBF6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5B9BD5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5">
    <w:name w:val="Grid Table 5 Dark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ABFE3" w:themeFill="accent1" w:themeFillTint="75"/>
      </w:tcPr>
    </w:tblStylePr>
    <w:tblStylePr w:type="band1Vert">
      <w:tblPr/>
      <w:tcPr>
        <w:shd w:val="clear" w:color="FFFFFF" w:fill="AABFE3" w:themeFill="accent1" w:themeFillTint="75"/>
      </w:tcPr>
    </w:tblStylePr>
    <w:tblStylePr w:type="firstCol">
      <w:rPr>
        <w:b/>
        <w:sz w:val="22"/>
      </w:rPr>
      <w:tblPr/>
      <w:tcPr>
        <w:shd w:val="clear" w:color="FFFFFF" w:fill="4472C4" w:themeFill="accent1"/>
      </w:tcPr>
    </w:tblStylePr>
    <w:tblStylePr w:type="firstRow">
      <w:rPr>
        <w:b/>
        <w:sz w:val="22"/>
      </w:rPr>
      <w:tblPr/>
      <w:tcPr>
        <w:shd w:val="clear" w:color="FFFFFF" w:fill="4472C4" w:themeFill="accent1"/>
      </w:tcPr>
    </w:tblStylePr>
    <w:tblStylePr w:type="lastCol">
      <w:rPr>
        <w:b/>
        <w:sz w:val="22"/>
      </w:rPr>
      <w:tblPr/>
      <w:tcPr>
        <w:shd w:val="clear" w:color="FFFFFF" w:fill="4472C4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1"/>
      </w:tcPr>
    </w:tblStylePr>
  </w:style>
  <w:style w:type="table" w:styleId="86">
    <w:name w:val="Grid Table 5 Dark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6C3A1" w:themeFill="accent2" w:themeFillTint="75"/>
      </w:tcPr>
    </w:tblStylePr>
    <w:tblStylePr w:type="band1Vert">
      <w:tblPr/>
      <w:tcPr>
        <w:shd w:val="clear" w:color="FFFFFF" w:fill="F6C3A1" w:themeFill="accent2" w:themeFillTint="75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</w:style>
  <w:style w:type="table" w:styleId="87">
    <w:name w:val="Grid Table 5 Dark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</w:style>
  <w:style w:type="table" w:styleId="88">
    <w:name w:val="Grid Table 5 Dark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EE189" w:themeFill="accent4" w:themeFillTint="75"/>
      </w:tcPr>
    </w:tblStylePr>
    <w:tblStylePr w:type="band1Vert">
      <w:tblPr/>
      <w:tcPr>
        <w:shd w:val="clear" w:color="FFFFFF" w:fill="FEE189" w:themeFill="accent4" w:themeFillTint="75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</w:style>
  <w:style w:type="table" w:styleId="89">
    <w:name w:val="Grid Table 5 Dark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2EB" w:themeFill="accent5" w:themeFillTint="75"/>
      </w:tcPr>
    </w:tblStylePr>
    <w:tblStylePr w:type="band1Vert">
      <w:tblPr/>
      <w:tcPr>
        <w:shd w:val="clear" w:color="FFFFFF" w:fill="B4D2EB" w:themeFill="accent5" w:themeFillTint="75"/>
      </w:tcPr>
    </w:tblStylePr>
    <w:tblStylePr w:type="firstCol">
      <w:rPr>
        <w:b/>
        <w:sz w:val="22"/>
      </w:rPr>
      <w:tblPr/>
      <w:tcPr>
        <w:shd w:val="clear" w:color="FFFFFF" w:fill="5B9BD5" w:themeFill="accent5"/>
      </w:tcPr>
    </w:tblStylePr>
    <w:tblStylePr w:type="firstRow">
      <w:rPr>
        <w:b/>
        <w:sz w:val="22"/>
      </w:rPr>
      <w:tblPr/>
      <w:tcPr>
        <w:shd w:val="clear" w:color="FFFFFF" w:fill="5B9BD5" w:themeFill="accent5"/>
      </w:tcPr>
    </w:tblStylePr>
    <w:tblStylePr w:type="lastCol">
      <w:rPr>
        <w:b/>
        <w:sz w:val="22"/>
      </w:rPr>
      <w:tblPr/>
      <w:tcPr>
        <w:shd w:val="clear" w:color="FFFFFF" w:fill="5B9BD5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5"/>
      </w:tcPr>
    </w:tblStylePr>
  </w:style>
  <w:style w:type="table" w:styleId="90">
    <w:name w:val="Grid Table 5 Dark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EDBA8" w:themeFill="accent6" w:themeFillTint="75"/>
      </w:tcPr>
    </w:tblStylePr>
    <w:tblStylePr w:type="band1Vert">
      <w:tblPr/>
      <w:tcPr>
        <w:shd w:val="clear" w:color="FFFFFF" w:fill="BEDBA8" w:themeFill="accent6" w:themeFillTint="75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</w:style>
  <w:style w:type="table" w:styleId="91">
    <w:name w:val="Grid Table 6 Colorful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2">
    <w:name w:val="Grid Table 6 Colorful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9E2F2" w:themeFill="accent1" w:themeFillTint="34"/>
      </w:tcPr>
    </w:tblStylePr>
    <w:tblStylePr w:type="band1Vert">
      <w:tblPr/>
      <w:tcPr>
        <w:shd w:val="clear" w:color="FFFFFF" w:fill="D9E2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93">
    <w:name w:val="Grid Table 6 Colorful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4">
    <w:name w:val="Grid Table 6 Colorful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95">
    <w:name w:val="Grid Table 6 Colorful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6">
    <w:name w:val="Grid Table 6 Colorful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DEBF6" w:themeFill="accent5" w:themeFillTint="34"/>
      </w:tcPr>
    </w:tblStylePr>
    <w:tblStylePr w:type="band1Vert">
      <w:tblPr/>
      <w:tcPr>
        <w:shd w:val="clear" w:color="FFFFFF" w:fill="DDEBF6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7">
    <w:name w:val="Grid Table 6 Colorful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8">
    <w:name w:val="Grid Table 7 Colorful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9">
    <w:name w:val="Grid Table 7 Colorful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9E2F2" w:themeFill="accent1" w:themeFillTint="34"/>
      </w:tcPr>
    </w:tblStylePr>
    <w:tblStylePr w:type="band1Vert">
      <w:tblPr/>
      <w:tcPr>
        <w:shd w:val="clear" w:color="FFFFFF" w:fill="D9E2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0">
    <w:name w:val="Grid Table 7 Colorful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1">
    <w:name w:val="Grid Table 7 Colorful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2">
    <w:name w:val="Grid Table 7 Colorful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3">
    <w:name w:val="Grid Table 7 Colorful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DEBF6" w:themeFill="accent5" w:themeFillTint="34"/>
      </w:tcPr>
    </w:tblStylePr>
    <w:tblStylePr w:type="band1Vert">
      <w:tblPr/>
      <w:tcPr>
        <w:shd w:val="clear" w:color="FFFFFF" w:fill="DDEBF6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4">
    <w:name w:val="Grid Table 7 Colorful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5">
    <w:name w:val="List Table 1 Light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CFDCF0" w:themeFill="accent1" w:themeFillTint="40"/>
      </w:tcPr>
    </w:tblStylePr>
    <w:tblStylePr w:type="band1Vert">
      <w:tblPr/>
      <w:tcPr>
        <w:shd w:val="clear" w:color="FFFFFF" w:fill="CFDCF0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5E6F4" w:themeFill="accent5" w:themeFillTint="40"/>
      </w:tcPr>
    </w:tblStylePr>
    <w:tblStylePr w:type="band1Vert">
      <w:tblPr/>
      <w:tcPr>
        <w:shd w:val="clear" w:color="FFFFFF" w:fill="D5E6F4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1" w:themeFillTint="40"/>
      </w:tcPr>
    </w:tblStylePr>
    <w:tblStylePr w:type="band1Vert">
      <w:rPr>
        <w:sz w:val="22"/>
      </w:rPr>
      <w:tblPr/>
      <w:tcPr>
        <w:shd w:val="clear" w:color="FFFFFF" w:fill="CFDCF0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5" w:themeFillTint="40"/>
      </w:tcPr>
    </w:tblStylePr>
    <w:tblStylePr w:type="band1Vert">
      <w:rPr>
        <w:sz w:val="22"/>
      </w:rPr>
      <w:tblPr/>
      <w:tcPr>
        <w:shd w:val="clear" w:color="FFFFFF" w:fill="D5E6F4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9">
    <w:name w:val="List Table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0">
    <w:name w:val="List Table 3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1">
    <w:name w:val="List Table 3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2">
    <w:name w:val="List Table 3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3">
    <w:name w:val="List Table 3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4">
    <w:name w:val="List Table 3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CC4E5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5">
    <w:name w:val="List Table 3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AD08F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6">
    <w:name w:val="List Table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7">
    <w:name w:val="List Table 4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1" w:themeFillTint="40"/>
      </w:tcPr>
    </w:tblStylePr>
    <w:tblStylePr w:type="band1Vert">
      <w:rPr>
        <w:sz w:val="22"/>
      </w:rPr>
      <w:tblPr/>
      <w:tcPr>
        <w:shd w:val="clear" w:color="FFFFFF" w:fill="CFDCF0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8">
    <w:name w:val="List Table 4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9">
    <w:name w:val="List Table 4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0">
    <w:name w:val="List Table 4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1">
    <w:name w:val="List Table 4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5" w:themeFillTint="40"/>
      </w:tcPr>
    </w:tblStylePr>
    <w:tblStylePr w:type="band1Vert">
      <w:rPr>
        <w:sz w:val="22"/>
      </w:rPr>
      <w:tblPr/>
      <w:tcPr>
        <w:shd w:val="clear" w:color="FFFFFF" w:fill="D5E6F4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2">
    <w:name w:val="List Table 4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3">
    <w:name w:val="List Table 5 Dark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4">
    <w:name w:val="List Table 5 Dark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472C4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472C4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472C4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472C4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5">
    <w:name w:val="List Table 5 Dark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1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1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6">
    <w:name w:val="List Table 5 Dark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7">
    <w:name w:val="List Table 5 Dark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864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864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8">
    <w:name w:val="List Table 5 Dark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CC4E5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CC4E5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CC4E5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CC4E5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9">
    <w:name w:val="List Table 5 Dark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AD0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AD0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40">
    <w:name w:val="List Table 6 Colorful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41">
    <w:name w:val="List Table 6 Colorful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CFDCF0" w:themeFill="accent1" w:themeFillTint="40"/>
      </w:tcPr>
    </w:tblStylePr>
    <w:tblStylePr w:type="band1Vert">
      <w:tblPr/>
      <w:tcPr>
        <w:shd w:val="clear" w:color="FFFFFF" w:fill="CFDCF0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43">
    <w:name w:val="List Table 6 Colorful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44">
    <w:name w:val="List Table 6 Colorful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45">
    <w:name w:val="List Table 6 Colorful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5E6F4" w:themeFill="accent5" w:themeFillTint="40"/>
      </w:tcPr>
    </w:tblStylePr>
    <w:tblStylePr w:type="band1Vert">
      <w:tblPr/>
      <w:tcPr>
        <w:shd w:val="clear" w:color="FFFFFF" w:fill="D5E6F4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46">
    <w:name w:val="List Table 6 Colorful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47">
    <w:name w:val="List Table 7 Colorful"/>
    <w:basedOn w:val="73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48">
    <w:name w:val="List Table 7 Colorful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CFDCF0" w:themeFill="accent1" w:themeFillTint="40"/>
      </w:tcPr>
    </w:tblStylePr>
    <w:tblStylePr w:type="band1Vert">
      <w:tblPr/>
      <w:tcPr>
        <w:shd w:val="clear" w:color="FFFFFF" w:fill="CFDCF0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149">
    <w:name w:val="List Table 7 Colorful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50">
    <w:name w:val="List Table 7 Colorful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51">
    <w:name w:val="List Table 7 Colorful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52">
    <w:name w:val="List Table 7 Colorful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5E6F4" w:themeFill="accent5" w:themeFillTint="40"/>
      </w:tcPr>
    </w:tblStylePr>
    <w:tblStylePr w:type="band1Vert">
      <w:tblPr/>
      <w:tcPr>
        <w:shd w:val="clear" w:color="FFFFFF" w:fill="D5E6F4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53">
    <w:name w:val="List Table 7 Colorful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54">
    <w:name w:val="Lined - Accent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55">
    <w:name w:val="Lined - Accent 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3D3EC" w:themeFill="accent1" w:themeFillTint="50"/>
      </w:tcPr>
    </w:tblStylePr>
    <w:tblStylePr w:type="band2Vert">
      <w:rPr>
        <w:sz w:val="22"/>
      </w:rPr>
      <w:tblPr/>
      <w:tcPr>
        <w:shd w:val="clear" w:color="FFFFFF" w:fill="C3D3EC" w:themeFill="accent1" w:themeFillTint="50"/>
      </w:tcPr>
    </w:tblStylePr>
    <w:tblStylePr w:type="firstCol">
      <w:rPr>
        <w:sz w:val="22"/>
      </w:rPr>
      <w:tblPr/>
      <w:tcPr>
        <w:shd w:val="clear" w:color="FFFFFF" w:fill="537FC8" w:themeFill="accent1" w:themeFillTint="ea"/>
      </w:tcPr>
    </w:tblStylePr>
    <w:tblStylePr w:type="firstRow">
      <w:rPr>
        <w:sz w:val="22"/>
      </w:rPr>
      <w:tblPr/>
      <w:tcPr>
        <w:shd w:val="clear" w:color="FFFFFF" w:fill="537FC8" w:themeFill="accent1" w:themeFillTint="ea"/>
      </w:tcPr>
    </w:tblStylePr>
    <w:tblStylePr w:type="lastCol">
      <w:rPr>
        <w:sz w:val="22"/>
      </w:rPr>
      <w:tblPr/>
      <w:tcPr>
        <w:shd w:val="clear" w:color="FFFFFF" w:fill="537FC8" w:themeFill="accent1" w:themeFillTint="ea"/>
      </w:tcPr>
    </w:tblStylePr>
    <w:tblStylePr w:type="lastRow">
      <w:rPr>
        <w:sz w:val="22"/>
      </w:rPr>
      <w:tblPr/>
      <w:tcPr>
        <w:shd w:val="clear" w:color="FFFFFF" w:fill="537FC8" w:themeFill="accent1" w:themeFillTint="ea"/>
      </w:tcPr>
    </w:tblStylePr>
  </w:style>
  <w:style w:type="table" w:styleId="156">
    <w:name w:val="Lined - Accent 2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157">
    <w:name w:val="Lined - Accent 3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158">
    <w:name w:val="Lined - Accent 4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159">
    <w:name w:val="Lined - Accent 5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DEBF6" w:themeFill="accent5" w:themeFillTint="34"/>
      </w:tcPr>
    </w:tblStylePr>
    <w:tblStylePr w:type="band2Vert">
      <w:rPr>
        <w:sz w:val="22"/>
      </w:rPr>
      <w:tblPr/>
      <w:tcPr>
        <w:shd w:val="clear" w:color="FFFFFF" w:fill="DDEBF6" w:themeFill="accent5" w:themeFillTint="34"/>
      </w:tcPr>
    </w:tblStylePr>
    <w:tblStylePr w:type="firstCol">
      <w:rPr>
        <w:sz w:val="22"/>
      </w:rPr>
      <w:tblPr/>
      <w:tcPr>
        <w:shd w:val="clear" w:color="FFFFFF" w:fill="5B9BD5" w:themeFill="accent5"/>
      </w:tcPr>
    </w:tblStylePr>
    <w:tblStylePr w:type="firstRow">
      <w:rPr>
        <w:sz w:val="22"/>
      </w:rPr>
      <w:tblPr/>
      <w:tcPr>
        <w:shd w:val="clear" w:color="FFFFFF" w:fill="5B9BD5" w:themeFill="accent5"/>
      </w:tcPr>
    </w:tblStylePr>
    <w:tblStylePr w:type="lastCol">
      <w:rPr>
        <w:sz w:val="22"/>
      </w:rPr>
      <w:tblPr/>
      <w:tcPr>
        <w:shd w:val="clear" w:color="FFFFFF" w:fill="5B9BD5" w:themeFill="accent5"/>
      </w:tcPr>
    </w:tblStylePr>
    <w:tblStylePr w:type="lastRow">
      <w:rPr>
        <w:sz w:val="22"/>
      </w:rPr>
      <w:tblPr/>
      <w:tcPr>
        <w:shd w:val="clear" w:color="FFFFFF" w:fill="5B9BD5" w:themeFill="accent5"/>
      </w:tcPr>
    </w:tblStylePr>
  </w:style>
  <w:style w:type="table" w:styleId="160">
    <w:name w:val="Lined - Accent 6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161">
    <w:name w:val="Bordered &amp; Lined - Accent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62">
    <w:name w:val="Bordered &amp; Lined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3D3EC" w:themeFill="accent1" w:themeFillTint="50"/>
      </w:tcPr>
    </w:tblStylePr>
    <w:tblStylePr w:type="band2Vert">
      <w:rPr>
        <w:sz w:val="22"/>
      </w:rPr>
      <w:tblPr/>
      <w:tcPr>
        <w:shd w:val="clear" w:color="FFFFFF" w:fill="C3D3EC" w:themeFill="accent1" w:themeFillTint="50"/>
      </w:tcPr>
    </w:tblStylePr>
    <w:tblStylePr w:type="firstCol">
      <w:rPr>
        <w:sz w:val="22"/>
      </w:rPr>
      <w:tblPr/>
      <w:tcPr>
        <w:shd w:val="clear" w:color="FFFFFF" w:fill="537FC8" w:themeFill="accent1" w:themeFillTint="ea"/>
      </w:tcPr>
    </w:tblStylePr>
    <w:tblStylePr w:type="firstRow">
      <w:rPr>
        <w:sz w:val="22"/>
      </w:rPr>
      <w:tblPr/>
      <w:tcPr>
        <w:shd w:val="clear" w:color="FFFFFF" w:fill="537FC8" w:themeFill="accent1" w:themeFillTint="ea"/>
      </w:tcPr>
    </w:tblStylePr>
    <w:tblStylePr w:type="lastCol">
      <w:rPr>
        <w:sz w:val="22"/>
      </w:rPr>
      <w:tblPr/>
      <w:tcPr>
        <w:shd w:val="clear" w:color="FFFFFF" w:fill="537FC8" w:themeFill="accent1" w:themeFillTint="ea"/>
      </w:tcPr>
    </w:tblStylePr>
    <w:tblStylePr w:type="lastRow">
      <w:rPr>
        <w:sz w:val="22"/>
      </w:rPr>
      <w:tblPr/>
      <w:tcPr>
        <w:shd w:val="clear" w:color="FFFFFF" w:fill="537FC8" w:themeFill="accent1" w:themeFillTint="ea"/>
      </w:tcPr>
    </w:tblStylePr>
  </w:style>
  <w:style w:type="table" w:styleId="163">
    <w:name w:val="Bordered &amp; Lined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164">
    <w:name w:val="Bordered &amp; Lined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165">
    <w:name w:val="Bordered &amp; Lined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166">
    <w:name w:val="Bordered &amp; Lined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DEBF6" w:themeFill="accent5" w:themeFillTint="34"/>
      </w:tcPr>
    </w:tblStylePr>
    <w:tblStylePr w:type="band2Vert">
      <w:rPr>
        <w:sz w:val="22"/>
      </w:rPr>
      <w:tblPr/>
      <w:tcPr>
        <w:shd w:val="clear" w:color="FFFFFF" w:fill="DDEBF6" w:themeFill="accent5" w:themeFillTint="34"/>
      </w:tcPr>
    </w:tblStylePr>
    <w:tblStylePr w:type="firstCol">
      <w:rPr>
        <w:sz w:val="22"/>
      </w:rPr>
      <w:tblPr/>
      <w:tcPr>
        <w:shd w:val="clear" w:color="FFFFFF" w:fill="5B9BD5" w:themeFill="accent5"/>
      </w:tcPr>
    </w:tblStylePr>
    <w:tblStylePr w:type="firstRow">
      <w:rPr>
        <w:sz w:val="22"/>
      </w:rPr>
      <w:tblPr/>
      <w:tcPr>
        <w:shd w:val="clear" w:color="FFFFFF" w:fill="5B9BD5" w:themeFill="accent5"/>
      </w:tcPr>
    </w:tblStylePr>
    <w:tblStylePr w:type="lastCol">
      <w:rPr>
        <w:sz w:val="22"/>
      </w:rPr>
      <w:tblPr/>
      <w:tcPr>
        <w:shd w:val="clear" w:color="FFFFFF" w:fill="5B9BD5" w:themeFill="accent5"/>
      </w:tcPr>
    </w:tblStylePr>
    <w:tblStylePr w:type="lastRow">
      <w:rPr>
        <w:sz w:val="22"/>
      </w:rPr>
      <w:tblPr/>
      <w:tcPr>
        <w:shd w:val="clear" w:color="FFFFFF" w:fill="5B9BD5" w:themeFill="accent5"/>
      </w:tcPr>
    </w:tblStylePr>
  </w:style>
  <w:style w:type="table" w:styleId="167">
    <w:name w:val="Bordered &amp; Lined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168">
    <w:name w:val="Bordered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69">
    <w:name w:val="Bordered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71">
    <w:name w:val="Bordered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72">
    <w:name w:val="Bordered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73">
    <w:name w:val="Bordered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74">
    <w:name w:val="Bordered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738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Liberation Sans" pitchFamily="0" charset="1"/>
        <a:cs typeface="Liberation Sans" pitchFamily="0" charset="1"/>
      </a:majorFont>
      <a:minorFont>
        <a:latin typeface="Calibri" pitchFamily="0" charset="1"/>
        <a:ea typeface="Liberation Sans" pitchFamily="0" charset="1"/>
        <a:cs typeface="Liberation Sans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LibreOffice/25.8.0.4$Linux_X86_64 LibreOffice_project/48f00303701489684e67c38c28aff00cd5929e67</Application>
  <AppVersion>15.0000</AppVersion>
  <Pages>21</Pages>
  <Words>7202</Words>
  <Characters>52077</Characters>
  <CharactersWithSpaces>58642</CharactersWithSpaces>
  <Paragraphs>650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2026-04-07T00:23:00Z</dcterms:created>
  <dc:creator/>
  <dc:description/>
  <dc:language>ru-RU</dc:language>
  <cp:lastModifiedBy/>
  <dcterms:modified xsi:type="dcterms:W3CDTF">2026-05-14T15:12:54Z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