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954" w:hanging="0"/>
        <w:rPr>
          <w:sz w:val="24"/>
        </w:rPr>
      </w:pPr>
      <w:r>
        <w:rPr>
          <w:sz w:val="24"/>
        </w:rPr>
      </w:r>
    </w:p>
    <w:p>
      <w:pPr>
        <w:pStyle w:val="Normal"/>
        <w:ind w:left="5954" w:hanging="0"/>
        <w:rPr>
          <w:sz w:val="24"/>
        </w:rPr>
      </w:pPr>
      <w:r>
        <w:rPr>
          <w:sz w:val="24"/>
        </w:rPr>
      </w:r>
    </w:p>
    <w:p>
      <w:pPr>
        <w:pStyle w:val="Normal"/>
        <w:ind w:left="5954" w:hanging="0"/>
        <w:rPr>
          <w:sz w:val="24"/>
        </w:rPr>
      </w:pPr>
      <w:r>
        <w:rPr>
          <w:sz w:val="24"/>
        </w:rPr>
      </w:r>
    </w:p>
    <w:p>
      <w:pPr>
        <w:pStyle w:val="Normal"/>
        <w:ind w:left="5954" w:hanging="0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Calibri" w:cs="Times New Roman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ОКПД2 33.12.11.000 Выполнение работ по капитальному ремонту генератора ст. №3  Каскада Вилюйских ГЭС имени Е.Н. Батенчука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eastAsia="Calibri"/>
          <w:i w:val="false"/>
          <w:iCs w:val="false"/>
          <w:sz w:val="24"/>
          <w:szCs w:val="24"/>
          <w:shd w:fill="auto" w:val="clear"/>
        </w:rPr>
        <w:t>Лот №</w:t>
      </w:r>
      <w:r>
        <w:rPr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0090-РЕМ ДОХ-2026-ГРВКК-СШФ</w:t>
      </w:r>
    </w:p>
    <w:p>
      <w:pPr>
        <w:pStyle w:val="Normal"/>
        <w:jc w:val="center"/>
        <w:rPr>
          <w:rFonts w:eastAsia="Calibri"/>
          <w:szCs w:val="26"/>
        </w:rPr>
      </w:pPr>
      <w:r>
        <w:rPr>
          <w:rFonts w:eastAsia="Calibri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Обозначения и сокращения</w:t>
        <w:tab/>
        <w:t>………………………………................................................</w:t>
        <w:tab/>
      </w:r>
      <w:r>
        <w:rPr>
          <w:b w:val="false"/>
          <w:bCs w:val="false"/>
          <w:sz w:val="24"/>
          <w:szCs w:val="24"/>
          <w:shd w:fill="auto" w:val="clear"/>
        </w:rPr>
        <w:t>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сведения</w:t>
      </w:r>
      <w:r>
        <w:rPr>
          <w:sz w:val="24"/>
          <w:szCs w:val="24"/>
        </w:rPr>
        <w:tab/>
        <w:t>…………………………………………..............................................</w:t>
        <w:tab/>
      </w:r>
      <w:r>
        <w:rPr>
          <w:sz w:val="24"/>
          <w:szCs w:val="24"/>
          <w:shd w:fill="auto" w:val="clear"/>
        </w:rPr>
        <w:t>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  <w:shd w:fill="auto" w:val="clear"/>
        </w:rPr>
        <w:t>. Наименование выполняемых работ</w:t>
        <w:tab/>
        <w:t>…...………..………………………………….….</w:t>
        <w:tab/>
        <w:t>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1.2. Заказчик…….…...………..……………………………………….………………….</w:t>
        <w:tab/>
        <w:t>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1.3. Генподрядчик …………………………………..…………………………..……………….</w:t>
        <w:tab/>
        <w:t>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1.4. Цель выполнения работ………………………..…………..………………………..…….</w:t>
        <w:tab/>
        <w:t>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1.5. Существующее положение………………..…………..………………………..…….</w:t>
        <w:tab/>
        <w:t>4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Таблица 1. Перечень объектов заказчика</w:t>
      </w:r>
      <w:r>
        <w:rPr>
          <w:sz w:val="24"/>
          <w:szCs w:val="24"/>
          <w:shd w:fill="auto" w:val="clear"/>
        </w:rPr>
        <w:tab/>
        <w:t>……………..………………………..…….</w:t>
        <w:tab/>
        <w:t>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1.6.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договора.…………………..………………………..…….</w:t>
        <w:tab/>
        <w:t>5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2. Требования к выполняемым работам</w:t>
      </w:r>
      <w:r>
        <w:rPr>
          <w:sz w:val="24"/>
          <w:szCs w:val="24"/>
          <w:shd w:fill="auto" w:val="clear"/>
        </w:rPr>
        <w:tab/>
        <w:t>…………………………………..………..</w:t>
        <w:tab/>
        <w:t>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2.1. Требования к объемам и срокам выполнения работ.………………………………….</w:t>
        <w:tab/>
        <w:t>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2.1.1. Требования к видам выполнения работ.……………...………………………….</w:t>
        <w:tab/>
        <w:t>5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Таблица 2. Перечень и объем выполняемых работ</w:t>
      </w:r>
      <w:r>
        <w:rPr>
          <w:sz w:val="24"/>
          <w:szCs w:val="24"/>
          <w:shd w:fill="auto" w:val="clear"/>
        </w:rPr>
        <w:t>.………...………………………….</w:t>
        <w:tab/>
        <w:t>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2.1.2. Требования к срокам выполнения работ.……………………..………..………….</w:t>
        <w:tab/>
        <w:t>6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Таблица 3. Требования по срокам выполнения работ</w:t>
      </w:r>
      <w:r>
        <w:rPr>
          <w:sz w:val="24"/>
          <w:szCs w:val="24"/>
          <w:shd w:fill="auto" w:val="clear"/>
        </w:rPr>
        <w:t>.………………………………….</w:t>
        <w:tab/>
        <w:t>6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2.2. Требования к качеству продукции</w:t>
        <w:tab/>
        <w:t>……...………………………….…………………</w:t>
        <w:tab/>
        <w:t>7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Таблица 4. Требования к качеству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>работ.…………………</w:t>
      </w:r>
      <w:r>
        <w:rPr>
          <w:sz w:val="24"/>
          <w:szCs w:val="24"/>
          <w:shd w:fill="auto" w:val="clear"/>
        </w:rPr>
        <w:t>..……………………….</w:t>
        <w:tab/>
        <w:t>7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3. Требования к документации по ценообразованию</w:t>
      </w:r>
      <w:r>
        <w:rPr>
          <w:b/>
          <w:bCs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на этапе закупки</w:t>
      </w:r>
      <w:r>
        <w:rPr>
          <w:sz w:val="24"/>
          <w:szCs w:val="24"/>
          <w:shd w:fill="auto" w:val="clear"/>
        </w:rPr>
        <w:tab/>
        <w:t>..…..…..…..</w:t>
        <w:tab/>
        <w:t>18</w:t>
      </w:r>
    </w:p>
    <w:p>
      <w:pPr>
        <w:pStyle w:val="Normal"/>
        <w:rPr>
          <w:b/>
          <w:bCs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4. Приложения</w:t>
      </w:r>
      <w:r>
        <w:rPr>
          <w:sz w:val="24"/>
          <w:szCs w:val="24"/>
          <w:shd w:fill="auto" w:val="clear"/>
        </w:rPr>
        <w:t>……………………………………………………………………...…..…..</w:t>
        <w:tab/>
        <w:t>18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Обозначения и сокращения</w:t>
      </w:r>
    </w:p>
    <w:p>
      <w:pPr>
        <w:pStyle w:val="Normal"/>
        <w:rPr>
          <w:rStyle w:val="Style6"/>
          <w:b w:val="false"/>
          <w:bCs/>
          <w:i w:val="false"/>
          <w:i w:val="false"/>
          <w:iCs/>
          <w:sz w:val="26"/>
          <w:szCs w:val="26"/>
        </w:rPr>
      </w:pPr>
      <w:r>
        <w:rPr>
          <w:b w:val="false"/>
          <w:bCs/>
          <w:i w:val="false"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Каскад Вилюйских ГЭС им. Е.Н. Батенчука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и ЧС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 и чрезвычайные ситуации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охраны труда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6"/>
        </w:numPr>
        <w:ind w:left="4395" w:hanging="360"/>
        <w:rPr>
          <w:caps/>
          <w:sz w:val="24"/>
          <w:szCs w:val="24"/>
        </w:rPr>
      </w:pPr>
      <w:bookmarkStart w:id="0" w:name="_Toc54646395"/>
      <w:bookmarkStart w:id="1" w:name="_Toc51339692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1"/>
        </w:numPr>
        <w:rPr/>
      </w:pPr>
      <w:r>
        <w:rPr/>
        <w:t>Наименование выполняемых работ</w:t>
      </w:r>
    </w:p>
    <w:p>
      <w:pPr>
        <w:pStyle w:val="Heading4"/>
        <w:spacing w:lineRule="auto" w:line="240"/>
        <w:ind w:left="0" w:hanging="0"/>
        <w:rPr/>
      </w:pP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>ОКПД2 33.12.11.000 Выполнение работ по капитальному ремонту генератора ст. №3  Каскада Вилюйских ГЭС имени Е.Н. Батенчука</w:t>
      </w:r>
      <w:r>
        <w:rPr>
          <w:b w:val="false"/>
          <w:bCs w:val="false"/>
        </w:rPr>
        <w:t xml:space="preserve"> (далее-Работы).</w:t>
      </w:r>
    </w:p>
    <w:p>
      <w:pPr>
        <w:pStyle w:val="Heading4"/>
        <w:numPr>
          <w:ilvl w:val="1"/>
          <w:numId w:val="1"/>
        </w:numPr>
        <w:rPr/>
      </w:pPr>
      <w:r>
        <w:rPr/>
        <w:t>Заказчик</w:t>
      </w:r>
    </w:p>
    <w:p>
      <w:pPr>
        <w:pStyle w:val="Normal"/>
        <w:widowControl w:val="false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Каскад Вилюйских ГЭС имени Е.Н. Батенчука филиал ПАО «Якутскэнерго»</w:t>
      </w:r>
    </w:p>
    <w:p>
      <w:pPr>
        <w:pStyle w:val="Heading4"/>
        <w:numPr>
          <w:ilvl w:val="1"/>
          <w:numId w:val="1"/>
        </w:numPr>
        <w:rPr/>
      </w:pPr>
      <w:r>
        <w:rPr/>
        <w:t>Генподрядчик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Саяно-Шушенский Филиал Акционерного общества «Гидроремонт-ВКК» в п. Черемушки.</w:t>
      </w:r>
    </w:p>
    <w:p>
      <w:pPr>
        <w:pStyle w:val="Heading4"/>
        <w:numPr>
          <w:ilvl w:val="1"/>
          <w:numId w:val="1"/>
        </w:numPr>
        <w:rPr/>
      </w:pPr>
      <w:r>
        <w:rPr/>
        <w:t>Цель выполнения работ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Исполнение </w:t>
      </w:r>
      <w:r>
        <w:rPr>
          <w:sz w:val="24"/>
          <w:szCs w:val="24"/>
        </w:rPr>
        <w:t>договора подряда: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Style w:val="Style6"/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ВЗЛ по Лоту № 6501-РЕМ ПРОД-2026-ЯЭ «Капитальный ремонт гидроагрегатов ст. № 3, 6 Каскада Вилюйских ГЭС» ПАО «Якутскэнерго» </w:t>
      </w:r>
      <w:r>
        <w:rPr>
          <w:rStyle w:val="Style6"/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x-none" w:bidi="ar-SA"/>
        </w:rPr>
        <w:t xml:space="preserve">от 25.11.25г. </w:t>
      </w:r>
      <w:r>
        <w:rPr>
          <w:rStyle w:val="Style6"/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заключенного между </w:t>
      </w:r>
      <w:r>
        <w:rPr>
          <w:rStyle w:val="Style6"/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x-none" w:bidi="ar-SA"/>
        </w:rPr>
        <w:t>ПАО «</w:t>
      </w:r>
      <w:r>
        <w:rPr>
          <w:rStyle w:val="Style6"/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>Якутскэнерго</w:t>
      </w:r>
      <w:r>
        <w:rPr>
          <w:rStyle w:val="Style6"/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x-none" w:bidi="ar-SA"/>
        </w:rPr>
        <w:t>»</w:t>
      </w:r>
      <w:r>
        <w:rPr>
          <w:rStyle w:val="Style6"/>
          <w:rFonts w:eastAsia="Times New Roman" w:cs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 и АО «Гидроремонт-ВКК»</w:t>
      </w:r>
      <w:r>
        <w:rPr>
          <w:rStyle w:val="Style6"/>
          <w:rFonts w:eastAsia="Times New Roman" w:cs="Times New Roman"/>
          <w:b w:val="false"/>
          <w:bCs/>
          <w:i w:val="false"/>
          <w:color w:val="000000"/>
          <w:sz w:val="24"/>
          <w:szCs w:val="24"/>
          <w:shd w:fill="auto" w:val="clear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1"/>
        </w:numPr>
        <w:rPr/>
      </w:pPr>
      <w:r>
        <w:rPr>
          <w:lang w:val="ru-RU"/>
        </w:rPr>
        <w:t>Существующее положение</w:t>
      </w:r>
    </w:p>
    <w:p>
      <w:pPr>
        <w:pStyle w:val="Normal"/>
        <w:rPr>
          <w:sz w:val="24"/>
          <w:szCs w:val="24"/>
        </w:rPr>
      </w:pPr>
      <w:bookmarkStart w:id="2" w:name="_Toc54646400"/>
      <w:r>
        <w:rPr>
          <w:sz w:val="24"/>
          <w:szCs w:val="24"/>
        </w:rPr>
        <w:t>Таблица 1. Перечень объектов заказчика</w:t>
      </w:r>
      <w:bookmarkEnd w:id="2"/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231"/>
        <w:gridCol w:w="2164"/>
        <w:gridCol w:w="1816"/>
        <w:gridCol w:w="3145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ar-SA"/>
              </w:rPr>
              <w:t>ОКПД2 33.12.11.000 Выполнение работ по капитальному ремонту генератора ст. №3  Каскада Вилюйских ГЭС имени Е.Н. Батенчука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678174, РФ, Республика Саха (Якутия), Мирнинский район, пос. Чернышевский, Каскад Вилюйских ГЭС имени Е.Н. Батенчука филиал ПАО «Якутскэнерго»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Генератор ст. №3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Условия выполнения работ: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ind w:left="319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работ в существующих зданиях и сооружениях в стесненных условиях: с наличием в зоне выполнения работ действующего технологического оборудования (станков, установок, кранов и т.п.) или загромождающих предметов (лабораторное оборудование, мебель и т.п.) или движения транспорта по внутрицеховым путям.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ind w:left="319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работ вблизи объектов, находящихся под высоким напряжением.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ind w:left="319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работ на действующих предприятиях (на производственных площадках) при наличии в зоне выполнения работ действующего технологического оборудования или разветвленной сети инженерных коммуникаций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ind w:left="319" w:hanging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 на высоте не более 10 метров.</w:t>
            </w:r>
          </w:p>
        </w:tc>
      </w:tr>
    </w:tbl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before="120" w:after="60"/>
        <w:ind w:left="0" w:hanging="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  <w:t>1.6. Информация</w:t>
      </w:r>
      <w:r>
        <w:rPr>
          <w:rFonts w:eastAsia="Calibri"/>
          <w:b/>
          <w:bCs/>
          <w:sz w:val="24"/>
          <w:szCs w:val="24"/>
          <w:lang w:val="x-none" w:eastAsia="x-none"/>
        </w:rPr>
        <w:t xml:space="preserve"> в отношении исполнения договора, </w:t>
      </w:r>
      <w:bookmarkStart w:id="3" w:name="_Hlk46492347"/>
      <w:r>
        <w:rPr>
          <w:rFonts w:eastAsia="Calibri"/>
          <w:b/>
          <w:bCs/>
          <w:sz w:val="24"/>
          <w:szCs w:val="24"/>
          <w:lang w:val="x-none" w:eastAsia="x-none"/>
        </w:rPr>
        <w:t xml:space="preserve">которая должна быть учтена при подготовке заявки </w:t>
      </w:r>
      <w:bookmarkEnd w:id="3"/>
      <w:r>
        <w:rPr>
          <w:rFonts w:eastAsia="Calibri"/>
          <w:b/>
          <w:bCs/>
          <w:sz w:val="24"/>
          <w:szCs w:val="24"/>
          <w:lang w:val="x-none" w:eastAsia="x-none"/>
        </w:rPr>
        <w:t>(в том числе перечень ресурсов, услуг и документов, предоставляемых Генподрядчиком на этапе исполнения договора)</w:t>
      </w:r>
    </w:p>
    <w:p>
      <w:pPr>
        <w:pStyle w:val="Normal"/>
        <w:numPr>
          <w:ilvl w:val="0"/>
          <w:numId w:val="0"/>
        </w:numPr>
        <w:suppressAutoHyphens w:val="false"/>
        <w:spacing w:before="120" w:after="60"/>
        <w:ind w:left="0" w:hanging="0"/>
        <w:outlineLvl w:val="3"/>
        <w:rPr>
          <w:rFonts w:eastAsia="Calibri"/>
          <w:b/>
          <w:bCs/>
          <w:sz w:val="24"/>
          <w:szCs w:val="24"/>
          <w:highlight w:val="yellow"/>
          <w:lang w:val="x-none" w:eastAsia="x-none"/>
        </w:rPr>
      </w:pPr>
      <w:r>
        <w:rPr>
          <w:rFonts w:eastAsia="Calibri"/>
          <w:b/>
          <w:bCs/>
          <w:sz w:val="24"/>
          <w:szCs w:val="24"/>
          <w:highlight w:val="yellow"/>
          <w:lang w:val="x-none"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120"/>
        <w:contextualSpacing/>
        <w:jc w:val="both"/>
        <w:rPr>
          <w:highlight w:val="none"/>
          <w:shd w:fill="auto" w:val="clear"/>
        </w:rPr>
      </w:pPr>
      <w:r>
        <w:rPr>
          <w:b/>
          <w:bCs/>
          <w:i w:val="false"/>
          <w:iCs w:val="false"/>
          <w:sz w:val="24"/>
          <w:szCs w:val="24"/>
          <w:shd w:fill="auto" w:val="clear"/>
        </w:rPr>
        <w:t>1.6.1</w:t>
      </w:r>
      <w:r>
        <w:rPr>
          <w:i w:val="false"/>
          <w:iCs w:val="false"/>
          <w:sz w:val="24"/>
          <w:szCs w:val="24"/>
          <w:shd w:fill="auto" w:val="clear"/>
        </w:rPr>
        <w:t xml:space="preserve"> Генподрядчик предоставляет Субподрядчику следующие виды ресурсов: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false"/>
        <w:spacing w:before="0" w:after="12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Вода (точки подключения водопровода и канализации к действующим сетям на период выполнения работ).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false"/>
        <w:spacing w:before="0" w:after="12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Электроэнергия (схему размещения источников электропитания на период выполнения работ).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false"/>
        <w:spacing w:before="0" w:after="120"/>
        <w:ind w:left="360" w:hanging="0"/>
        <w:contextualSpacing/>
        <w:jc w:val="both"/>
        <w:rPr/>
      </w:pPr>
      <w:r>
        <w:rPr/>
      </w:r>
    </w:p>
    <w:p>
      <w:pPr>
        <w:pStyle w:val="Heading1"/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выполняемым работам</w:t>
      </w:r>
    </w:p>
    <w:p>
      <w:pPr>
        <w:pStyle w:val="Heading4"/>
        <w:ind w:left="0" w:hanging="0"/>
        <w:rPr/>
      </w:pPr>
      <w:bookmarkStart w:id="4" w:name="_Toc54646404"/>
      <w:r>
        <w:rPr/>
        <w:t>2.1 Требования к объемам и срокам выполнения работ</w:t>
      </w:r>
      <w:bookmarkEnd w:id="4"/>
    </w:p>
    <w:p>
      <w:pPr>
        <w:pStyle w:val="Normal"/>
        <w:rPr>
          <w:rFonts w:eastAsia="Calibri"/>
          <w:b/>
          <w:sz w:val="24"/>
          <w:szCs w:val="24"/>
          <w:lang w:val="x-none"/>
        </w:rPr>
      </w:pPr>
      <w:bookmarkStart w:id="5" w:name="_Toc54646405"/>
      <w:r>
        <w:rPr>
          <w:rFonts w:eastAsia="Calibri"/>
          <w:b/>
          <w:sz w:val="24"/>
          <w:szCs w:val="24"/>
        </w:rPr>
        <w:t xml:space="preserve">2.1.1 </w:t>
      </w:r>
      <w:r>
        <w:rPr>
          <w:rFonts w:eastAsia="Calibri"/>
          <w:b/>
          <w:sz w:val="24"/>
          <w:szCs w:val="24"/>
          <w:lang w:val="x-none"/>
        </w:rPr>
        <w:t>Требования к видам и объемам работ</w:t>
      </w:r>
      <w:bookmarkEnd w:id="5"/>
    </w:p>
    <w:p>
      <w:pPr>
        <w:pStyle w:val="Normal"/>
        <w:ind w:firstLine="426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/>
        </w:rPr>
      </w:r>
    </w:p>
    <w:p>
      <w:pPr>
        <w:pStyle w:val="Normal"/>
        <w:ind w:firstLine="426"/>
        <w:rPr>
          <w:rFonts w:eastAsia="Calibri"/>
          <w:sz w:val="24"/>
          <w:szCs w:val="24"/>
          <w:lang w:val="x-none"/>
        </w:rPr>
      </w:pPr>
      <w:bookmarkStart w:id="6" w:name="_Toc54646406_Копия_1"/>
      <w:bookmarkStart w:id="7" w:name="_Toc51339695_Копия_1"/>
      <w:r>
        <w:rPr>
          <w:rFonts w:eastAsia="Calibri"/>
          <w:sz w:val="24"/>
          <w:szCs w:val="24"/>
          <w:lang w:val="x-none"/>
        </w:rPr>
        <w:t xml:space="preserve">Таблица 2. Перечень </w:t>
      </w:r>
      <w:bookmarkEnd w:id="7"/>
      <w:r>
        <w:rPr>
          <w:rFonts w:eastAsia="Calibri"/>
          <w:sz w:val="24"/>
          <w:szCs w:val="24"/>
          <w:lang w:val="x-none"/>
        </w:rPr>
        <w:t>и объем выполняемых работ</w:t>
      </w:r>
      <w:bookmarkEnd w:id="6"/>
    </w:p>
    <w:tbl>
      <w:tblPr>
        <w:tblW w:w="952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80"/>
        <w:gridCol w:w="3259"/>
        <w:gridCol w:w="2412"/>
        <w:gridCol w:w="2974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(услуг) / этапа работ (услуг)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Выполнение работ по капитальному ремонту генератора ст. №3 </w:t>
            </w: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аскада Вилюйских ГЭС им. Е.Н. Батенчука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25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1.1.1.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Капитальный ремонт. Генератор синхронный к гидравлической турбине вертикальный СВВ-780/190-32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В соответствии с разделом №1 ведомости объемов работ № 02-01-03 (Приложение №1 к настоящим ТТ)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uppressAutoHyphens w:val="fals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Этап 2</w:t>
            </w:r>
          </w:p>
        </w:tc>
      </w:tr>
      <w:tr>
        <w:trPr/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bidi w:val="0"/>
              <w:spacing w:before="0" w:after="0"/>
              <w:ind w:left="-113" w:righ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1.2.1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Капитальный ремонт. Вспомогательное оборудование генератора СВВ-780/190-32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В соответствии с разделом №2 ведомости объемов работ № 02-01-03 (Приложение №1 к настоящим ТТ)</w:t>
            </w:r>
          </w:p>
        </w:tc>
      </w:tr>
    </w:tbl>
    <w:p>
      <w:pPr>
        <w:pStyle w:val="Normal"/>
        <w:ind w:firstLine="426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/>
        </w:rPr>
      </w:r>
    </w:p>
    <w:p>
      <w:pPr>
        <w:pStyle w:val="Normal"/>
        <w:ind w:firstLine="426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/>
        </w:rPr>
      </w:r>
    </w:p>
    <w:p>
      <w:pPr>
        <w:pStyle w:val="Normal"/>
        <w:ind w:firstLine="426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/>
        </w:rPr>
      </w:r>
    </w:p>
    <w:p>
      <w:pPr>
        <w:pStyle w:val="Normal"/>
        <w:ind w:firstLine="426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</w:rPr>
        <w:t>2.1.2 Требования</w:t>
      </w:r>
      <w:r>
        <w:rPr>
          <w:rFonts w:eastAsia="Calibri"/>
          <w:b/>
          <w:sz w:val="24"/>
          <w:szCs w:val="24"/>
          <w:lang w:val="x-none"/>
        </w:rPr>
        <w:t xml:space="preserve"> к срокам выполнения работ</w:t>
      </w:r>
    </w:p>
    <w:p>
      <w:pPr>
        <w:pStyle w:val="Normal"/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8" w:name="_Toc54646408"/>
      <w:bookmarkStart w:id="9" w:name="_Toc51339697"/>
      <w:bookmarkStart w:id="10" w:name="_Toc50125127"/>
      <w:bookmarkStart w:id="11" w:name="_Toc54646408"/>
      <w:bookmarkStart w:id="12" w:name="_Toc51339697"/>
      <w:bookmarkStart w:id="13" w:name="_Toc50125127"/>
    </w:p>
    <w:p>
      <w:pPr>
        <w:pStyle w:val="Normal"/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t xml:space="preserve">Таблица </w:t>
      </w:r>
      <w:r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  <w:lang w:val="x-none"/>
        </w:rPr>
        <w:t xml:space="preserve">. </w:t>
      </w:r>
      <w:bookmarkStart w:id="14" w:name="_Hlk50465284"/>
      <w:r>
        <w:rPr>
          <w:rFonts w:eastAsia="Calibri"/>
          <w:sz w:val="24"/>
          <w:szCs w:val="24"/>
          <w:lang w:val="x-none"/>
        </w:rPr>
        <w:t xml:space="preserve">Требования по срокам </w:t>
      </w:r>
      <w:bookmarkEnd w:id="12"/>
      <w:bookmarkEnd w:id="13"/>
      <w:bookmarkEnd w:id="14"/>
      <w:r>
        <w:rPr>
          <w:rFonts w:eastAsia="Calibri"/>
          <w:sz w:val="24"/>
          <w:szCs w:val="24"/>
        </w:rPr>
        <w:t>выполнения работ</w:t>
      </w:r>
      <w:bookmarkEnd w:id="11"/>
    </w:p>
    <w:tbl>
      <w:tblPr>
        <w:tblpPr w:bottomFromText="0" w:horzAnchor="margin" w:leftFromText="180" w:rightFromText="180" w:tblpX="0" w:tblpY="310" w:topFromText="0" w:vertAnchor="text"/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7"/>
        <w:gridCol w:w="4111"/>
        <w:gridCol w:w="2560"/>
        <w:gridCol w:w="2539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работ / услуг </w:t>
              <w:br/>
              <w:t>(вид / этап (работ/ услуг)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 / оказания услуг (этапа работ / услуг)*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услуг)*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ОКПД2 33.12.11.000 Выполнение работ по капитальному ремонту генератора ст. №3  Каскада Вилюйских ГЭС имени Е.Н. Батенчука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01.05.2026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30.09.2026</w:t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0" w:leader="none"/>
        </w:tabs>
        <w:spacing w:before="120" w:after="120"/>
        <w:ind w:left="0" w:hanging="0"/>
        <w:contextualSpacing/>
        <w:jc w:val="both"/>
        <w:rPr>
          <w:rStyle w:val="Style6"/>
          <w:rFonts w:ascii="Times New Roman" w:hAnsi="Times New Roman" w:cs="Times New Roman"/>
          <w:b w:val="false"/>
          <w:i w:val="false"/>
          <w:i w:val="false"/>
          <w:shd w:fill="auto" w:val="clear"/>
        </w:rPr>
      </w:pPr>
      <w:r>
        <w:rPr>
          <w:rStyle w:val="Style6"/>
          <w:rFonts w:cs="Times New Roman" w:ascii="Times New Roman" w:hAnsi="Times New Roman"/>
          <w:bCs/>
          <w:i w:val="false"/>
          <w:shd w:fill="auto" w:val="clear"/>
        </w:rPr>
        <w:t>*Примечание:</w:t>
      </w:r>
      <w:r>
        <w:rPr>
          <w:rStyle w:val="Style6"/>
          <w:rFonts w:cs="Times New Roman" w:ascii="Times New Roman" w:hAnsi="Times New Roman"/>
          <w:b w:val="false"/>
          <w:i w:val="false"/>
          <w:shd w:fill="auto" w:val="clear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before="120" w:after="120"/>
        <w:ind w:left="0" w:hanging="0"/>
        <w:contextualSpacing/>
        <w:jc w:val="both"/>
        <w:rPr/>
      </w:pPr>
      <w:r>
        <w:rPr>
          <w:rStyle w:val="Style6"/>
          <w:rFonts w:cs="Times New Roman" w:ascii="Times New Roman" w:hAnsi="Times New Roman"/>
          <w:b w:val="false"/>
          <w:i/>
          <w:iCs/>
          <w:shd w:fill="auto" w:val="clear"/>
        </w:rPr>
        <w:t>Срок начала и окончания выполнения работ обусловлен графиком выполнения работ по ВЗЛ указанному в п.1.4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134" w:right="851" w:gutter="0" w:header="680" w:top="1134" w:footer="737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ListParagraph"/>
        <w:widowControl w:val="false"/>
        <w:tabs>
          <w:tab w:val="clear" w:pos="708"/>
          <w:tab w:val="left" w:pos="0" w:leader="none"/>
        </w:tabs>
        <w:spacing w:before="120" w:after="120"/>
        <w:ind w:left="0" w:hanging="0"/>
        <w:contextualSpacing/>
        <w:jc w:val="both"/>
        <w:rPr>
          <w:rStyle w:val="Style6"/>
          <w:rFonts w:ascii="Times New Roman" w:hAnsi="Times New Roman" w:cs="Times New Roman"/>
          <w:b w:val="false"/>
          <w:i w:val="false"/>
          <w:i w:val="false"/>
          <w:shd w:fill="auto" w:val="clear"/>
        </w:rPr>
      </w:pPr>
      <w:r>
        <w:rPr>
          <w:rStyle w:val="Style6"/>
          <w:rFonts w:cs="Times New Roman" w:ascii="Times New Roman" w:hAnsi="Times New Roman"/>
          <w:b w:val="false"/>
          <w:i w:val="false"/>
          <w:shd w:fill="auto" w:val="clear"/>
        </w:rPr>
        <w:t xml:space="preserve">Календарный график выполнения этапов работ согласуется на стадии заключения Договора с Субподрядчиком. Генподрядчик по согласованию с Субподрядчиком может изменить сроки выполнения отдельных видов работ и их очередность без изменения конечного срока выполнения Работ. По письменному согласованию Сторон допускается досрочное выполнение Работ. </w:t>
      </w:r>
    </w:p>
    <w:p>
      <w:pPr>
        <w:pStyle w:val="Heading4"/>
        <w:suppressAutoHyphens w:val="false"/>
        <w:spacing w:lineRule="auto" w:line="240"/>
        <w:ind w:left="432" w:hanging="432"/>
        <w:rPr>
          <w:lang w:val="ru-RU"/>
        </w:rPr>
      </w:pPr>
      <w:bookmarkStart w:id="15" w:name="_Toc54646410"/>
      <w:r>
        <w:rPr>
          <w:lang w:val="ru-RU"/>
        </w:rPr>
        <w:t xml:space="preserve">2.2. </w:t>
      </w:r>
      <w:r>
        <w:rPr/>
        <w:t xml:space="preserve">Требования к </w:t>
      </w:r>
      <w:r>
        <w:rPr>
          <w:lang w:val="ru-RU"/>
        </w:rPr>
        <w:t>качеству работ</w:t>
      </w:r>
    </w:p>
    <w:p>
      <w:pPr>
        <w:pStyle w:val="Normal"/>
        <w:rPr>
          <w:sz w:val="24"/>
          <w:szCs w:val="24"/>
        </w:rPr>
      </w:pPr>
      <w:bookmarkStart w:id="16" w:name="_Toc50125131"/>
      <w:bookmarkStart w:id="17" w:name="_Toc51339698"/>
      <w:r>
        <w:rPr>
          <w:sz w:val="24"/>
          <w:szCs w:val="24"/>
        </w:rPr>
        <w:t xml:space="preserve">Таблица 4. Требования к </w:t>
      </w:r>
      <w:bookmarkEnd w:id="16"/>
      <w:bookmarkEnd w:id="17"/>
      <w:r>
        <w:rPr>
          <w:sz w:val="24"/>
          <w:szCs w:val="24"/>
        </w:rPr>
        <w:t>качеству работ</w:t>
      </w:r>
      <w:bookmarkEnd w:id="15"/>
      <w:r>
        <w:rPr>
          <w:sz w:val="24"/>
          <w:szCs w:val="24"/>
        </w:rPr>
        <w:t xml:space="preserve"> </w:t>
      </w:r>
    </w:p>
    <w:p>
      <w:pPr>
        <w:pStyle w:val="Normal"/>
        <w:snapToGrid w:val="false"/>
        <w:spacing w:before="0" w:after="120"/>
        <w:contextualSpacing/>
        <w:rPr>
          <w:rStyle w:val="Style6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работ: </w:t>
      </w:r>
      <w:r>
        <w:rPr>
          <w:rStyle w:val="Style6"/>
          <w:rFonts w:eastAsia="Times New Roman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ОКПД2 33.12.11.000 Выполнение работ по капитальному ремонту генератора ст. №3  Каскада Вилюйских ГЭС имени Е.Н. Батенчука</w:t>
      </w:r>
    </w:p>
    <w:tbl>
      <w:tblPr>
        <w:tblStyle w:val="af7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2426"/>
        <w:gridCol w:w="11255"/>
      </w:tblGrid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4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1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4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1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136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Работы выполняются в соответствии со следующими документами, но не ограничиваясь ими: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 xml:space="preserve">Правила по охране труда при работе на высоте, утвержденные Приказом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Минтруда и соц. Защиты РФ от 16.11.2020 №782н</w:t>
            </w: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Градостроительный кодекс Российской Федерации;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Федеральный закон № 117-ФЗ от 21.07.1997 «О безопасности гидротехнических сооружений»;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ГОСТ 12.1.004-91 «Система стандартов безопасности труда (ССБТ). Пожарная безопасность. Общие требования»;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Правила противопожарного режима в Российской Федерации, утвержденные постановлением Правительства РФ от 16.09.2020 №1479 (с изм. от 30.03.2023)</w:t>
            </w: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Приказ Минтруда России от 11.12.2020 №883н "Об утверждении Правил по охране труда при строительстве, реконструкции и ремонте"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Правила по охране труда при эксплуатации электроустановок, утвержденные приказом Минтруда и соц. Защиты РФ от 15.12.2020 г. №903н;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Правила технической эксплуатации электрических станций и сетей Российской Федерации и о внесении изменений в приказы Минэнерго России, утвержденные Приказом Минэнерго России от 04.10.2022 №1070;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Правила устройства электроустановок, издание 7-е, утвержденные приказом Минэнерго России от 08.07.2002 № 204;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 xml:space="preserve">Правил по охране труда при погрузочно-разгрузочных работах и размещении грузов, утвержденные приказом Минтруда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 соц. Защиты РФ от 28.10.2020 №753н</w:t>
            </w: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 xml:space="preserve">Правила безопасности при работе с инструментом и приспособлениями, утвержденные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приказом Минтруда и соц. Защиты РФ от 27.11.2020 №835н</w:t>
            </w: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Правила по охране труда при выполнении электросварочных и газосварочных работ, утвержденные приказом Минтруда и соц. Защиты РФ от 11.12.2020 №884н;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Положение о Технической политике ПАО «РусГидро»;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Федеральный закон № 89-ФЗ от 24.06.1998 «Об отходах производства и потребления»;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Федеральный закон N 7-ФЗ от 10.01.2002 "Об охране окружающей среды";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Порядок проведения паспортизации отходов I - IV классов опасности, утвержденный приказом Минприроды России от 08.12.2020 №1026;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Постановление Правительства Российской Федерации от 21 июня 2010 г. №468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Приказ Минстроя России от 02.12.2022 г. № 1026/пр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54" w:hanging="34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Приказ Минстроя России от 16.05.2023 г.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      </w:r>
            <w:r>
              <w:rPr>
                <w:kern w:val="0"/>
                <w:sz w:val="24"/>
                <w:szCs w:val="24"/>
                <w:lang w:val="ru-RU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СНиП 12-03-2001 «Безопасность труда в строительстве. Часть 1. Общие требования»;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СНиП 12-04-2002 «Безопасность труда в строительстве. Часть 2. Строительное производство»;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ГОСТ 22270-2018 «Системы отопления, вентиляции и кондиционирования. Термины и определения»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ru-RU" w:bidi="ar-SA"/>
              </w:rPr>
              <w:t>Заводскими инструкциями и руководством по использованию применяемых материалов и оборудования.</w:t>
            </w:r>
          </w:p>
        </w:tc>
      </w:tr>
      <w:tr>
        <w:trPr>
          <w:trHeight w:val="131" w:hRule="atLeast"/>
        </w:trPr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1.2</w:t>
            </w:r>
          </w:p>
        </w:tc>
        <w:tc>
          <w:tcPr>
            <w:tcW w:w="136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1.2.1.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Организационно-технические мероприятия по допуску персонала Субподрядчика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Допуск персонала Субподрядчика для выполнения работ осуществляется в соответствии с «Методикой допуска персонала подрядных организаций к выполнению работ».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rStyle w:val="Hyperlink"/>
                <w:bCs/>
                <w:color w:val="000000"/>
                <w:kern w:val="0"/>
                <w:sz w:val="24"/>
                <w:szCs w:val="24"/>
                <w:u w:val="none"/>
                <w:lang w:val="ru-RU" w:bidi="ar-SA"/>
              </w:rPr>
              <w:t>Подготовку рабочих мест и допуск к выполнению работ выполняет персонал Заказчика.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1.2.2.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разработке и согласованию проекта производства работ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Субподрядчик собственными силами разрабатывает ППР на Работы, утверждает его у Генподрядчика и согласовывает с Заказчиком. Субподрядчик предоставляет на утверждение ППР в формате pdf официальным письмом. Генподрядчик в течение 3 рабочих дней рассматривает предоставленный ППР и официальным письмом уведомляет Субподрядчика об утверждении или направляет замечания. Субподрядчик, получив замечания, в течение 3 рабочих дней устраняет замечания и направляет официальным письмом на утверждение. ППР на выполнение работ разрабатывается в соответствии с МДС 12-81.2007 «Методические рекомендации по разработке и оформлению проекта организации строительства и проекта производства работ» и МДС 12-29.2006 «Методические рекомендации по разработке и оформлению технологической карты».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1.2.3.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организации работ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Работы выполняются в соответствии утвержденным проектом производства работ (ППР) и календарным графиком.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выполнения работ должны соответствовать характеру выполняемых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Согласование с Генподрядчиком мест подключения временных коммуникаций (технические условия на подключения выдаются после получения от Субподрядчика официального запроса с указанием потребных ресурсов в количественных и качественных показателях).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Инженерная подготовка и оборудование рабочей площадки, монтаж ограждений, переходов, лестниц и т.д. выполняется Субподрядчиком.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136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1.3.1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используемым запасным частям и материалам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Материалы и комплектующие, необходимые для выполнения работ поставляются за счет средств Генподрядчика.</w:t>
            </w:r>
          </w:p>
          <w:p>
            <w:pPr>
              <w:pStyle w:val="Heading3"/>
              <w:widowControl w:val="false"/>
              <w:suppressAutoHyphens w:val="true"/>
              <w:spacing w:before="120" w:after="60"/>
              <w:ind w:left="1" w:hanging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val="ru-RU" w:bidi="ar-SA"/>
              </w:rPr>
              <w:t>Генподрядчик обеспечивает наличие необходимого для выполнения работ инструмента и приспособлений.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-62" w:hanging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val="ru-RU" w:eastAsia="ru-RU" w:bidi="ar-SA"/>
              </w:rPr>
              <w:t>Все необходимые специальные работы (включая доставки необходимого оборудования и техники, материалов, аппаратуры) организуются и выполняются Генподрядчиком за счёт собственных средств.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136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контролю качества работ и материалов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1.4.1.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Контроль качества используемых запасных частей и материалов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 выполнении Работ должна применяться продукция, оборудование, материалы и вещества, соответствие которых нормативным требованиям подтверждено декларацией о соответствии или сертификатом соответствия.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1.4.2.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контролю работ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6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Заказчик и Генподрядчик имеют право контролировать ход и качество выполняемых работ в течение всего времени выполнения работ</w:t>
            </w:r>
            <w:r>
              <w:rPr>
                <w:color w:val="1A1A1A"/>
                <w:kern w:val="0"/>
                <w:sz w:val="24"/>
                <w:szCs w:val="24"/>
                <w:lang w:val="ru-RU" w:bidi="ar-SA"/>
              </w:rPr>
              <w:t xml:space="preserve">. </w:t>
            </w:r>
            <w:r>
              <w:rPr>
                <w:kern w:val="0"/>
                <w:sz w:val="24"/>
                <w:szCs w:val="24"/>
                <w:lang w:val="ru-RU" w:bidi="ar-SA"/>
              </w:rPr>
              <w:t>Текущий контроль выполняемых работ должен включать в себя надзор за правильностью и последовательностью выполнения отдельных технологических операций.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1368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персоналу Субподрядчика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1.5.1.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Требования к </w:t>
            </w: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 xml:space="preserve">Субподрядной организации, </w:t>
            </w:r>
            <w:r>
              <w:rPr>
                <w:kern w:val="0"/>
                <w:sz w:val="24"/>
                <w:szCs w:val="24"/>
                <w:lang w:val="ru-RU" w:bidi="ar-SA"/>
              </w:rPr>
              <w:t>привлекаемой к выполнению работ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Субподрядчик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- соблюдать , технологическую, производственную и трудовую дисциплину;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выполнению работ, а также представлять документы на русском языке, подтверждающие аттестацию работников на проведение соответствующих видов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проводить своевременную (ежедневную) уборку рабочих мест;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проживание, питание, доставку оборудования и персонала на объект, а также командировочные расходы организовывать за свой счет.</w:t>
            </w:r>
          </w:p>
        </w:tc>
      </w:tr>
      <w:tr>
        <w:trPr/>
        <w:tc>
          <w:tcPr>
            <w:tcW w:w="103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1.5.2.</w:t>
            </w:r>
          </w:p>
        </w:tc>
        <w:tc>
          <w:tcPr>
            <w:tcW w:w="242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Квалификация персонала Субподрядчика, привлекаемого к выполнению работ</w:t>
            </w:r>
          </w:p>
        </w:tc>
        <w:tc>
          <w:tcPr>
            <w:tcW w:w="112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Квалификация персонала должна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>- Статья 14.1. Федеральный закон от 21.07.1997 N 116-ФЗ (ред. от 14.11.2023) "О промышленной безопасности опасных производственных объектов"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Статья 28.1. Федеральный закон от 26.03.2003 N 35-ФЗ (ред. от 14.02.2024) "Об электроэнергетике"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п.19 Постановление Правительства РФ от 13.01.2023 N 13 "Об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>Для в</w:t>
            </w:r>
            <w:r>
              <w:rPr>
                <w:rFonts w:eastAsia="Calibri"/>
                <w:spacing w:val="-6"/>
                <w:kern w:val="0"/>
                <w:sz w:val="24"/>
                <w:szCs w:val="24"/>
                <w:lang w:val="ru-RU" w:eastAsia="x-none" w:bidi="ar-SA"/>
              </w:rPr>
              <w:t>ыполнения работ по техническому перевооружению</w:t>
            </w:r>
            <w:r>
              <w:rPr>
                <w:rStyle w:val="Style6"/>
                <w:rFonts w:eastAsia="Calibri"/>
                <w:b w:val="false"/>
                <w:i w:val="false"/>
                <w:spacing w:val="-6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 xml:space="preserve"> системы вентиляции плотины СШГЭС</w:t>
            </w:r>
            <w:r>
              <w:rPr>
                <w:rFonts w:eastAsia="Calibri"/>
                <w:spacing w:val="-6"/>
                <w:kern w:val="0"/>
                <w:sz w:val="24"/>
                <w:szCs w:val="24"/>
                <w:lang w:val="ru-RU" w:eastAsia="x-none" w:bidi="ar-SA"/>
              </w:rPr>
              <w:t xml:space="preserve"> р</w:t>
            </w: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>уководители, специалисты и инженерно-технические работники должны быть аттестованы в следующей области: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 xml:space="preserve">– </w:t>
            </w: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>А1 (общие требования промышленной безопасности);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 xml:space="preserve">– </w:t>
            </w:r>
            <w:r>
              <w:rPr>
                <w:color w:val="000000"/>
                <w:spacing w:val="-6"/>
                <w:kern w:val="0"/>
                <w:sz w:val="24"/>
                <w:szCs w:val="24"/>
                <w:lang w:val="ru-RU" w:bidi="ar-SA"/>
              </w:rPr>
              <w:t xml:space="preserve">Г2.3 </w:t>
            </w: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>(Эксплуатация гидроэлектростанций);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– </w:t>
            </w:r>
            <w:r>
              <w:rPr>
                <w:kern w:val="0"/>
                <w:sz w:val="24"/>
                <w:szCs w:val="24"/>
                <w:lang w:val="ru-RU" w:bidi="ar-SA"/>
              </w:rPr>
              <w:t>В2 (Гидротехнические сооружения объектов энергетики)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left"/>
              <w:rPr>
                <w:kern w:val="0"/>
                <w:lang w:bidi="ar-SA"/>
              </w:rPr>
            </w:pP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 xml:space="preserve">После заключения договора, но не позднее даты начала выполнения работ, </w:t>
            </w:r>
            <w:r>
              <w:rPr>
                <w:rFonts w:eastAsia="Calibri"/>
                <w:color w:val="000000"/>
                <w:spacing w:val="-6"/>
                <w:kern w:val="0"/>
                <w:sz w:val="24"/>
                <w:szCs w:val="24"/>
                <w:lang w:val="x-none" w:eastAsia="x-none" w:bidi="ar-SA"/>
              </w:rPr>
              <w:t>Субподрядчик</w:t>
            </w:r>
            <w:r>
              <w:rPr>
                <w:spacing w:val="-6"/>
                <w:kern w:val="0"/>
                <w:sz w:val="24"/>
                <w:szCs w:val="24"/>
                <w:lang w:val="ru-RU" w:bidi="ar-SA"/>
              </w:rPr>
              <w:t xml:space="preserve"> обязан предоставить протоколы о прохождении аттестации и копии удостоверений и протоколов проверки знаний правил работы в электроустановках.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1.6.</w:t>
            </w:r>
          </w:p>
        </w:tc>
        <w:tc>
          <w:tcPr>
            <w:tcW w:w="136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1.6.1.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безопасности выполняемых работ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1. Допуск персонала </w:t>
            </w: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>Субподрядчика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на территорию осуществляется после: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проведение вводного инструктажа по охране труда, пожарной безопасности, инструктаж по ГО и ЧС на территории (при проведении инструктажей в обязательном порядке наличие протоколов по проверке знаний для всего персонала, копии приказов о трудоустройстве с подтверждением о занимаемой должности и сроках трудоустройства, документов прохождения медосмотра и психиатрического освидетельствования, заверенными руководителем организации / уполномоченным лицом в СОТ 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проведения первичного инструктажа на рабочем месте.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2. После подписания договора, но не менее чем за 10 дней до начала выполнения работ </w:t>
            </w: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 xml:space="preserve">Субподрядчик </w:t>
            </w:r>
            <w:r>
              <w:rPr>
                <w:kern w:val="0"/>
                <w:sz w:val="24"/>
                <w:szCs w:val="24"/>
                <w:lang w:val="ru-RU" w:bidi="ar-SA"/>
              </w:rPr>
              <w:t>предоставляет Генподрядчику: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3" w:leader="none"/>
                <w:tab w:val="left" w:pos="333" w:leader="none"/>
                <w:tab w:val="left" w:pos="400" w:leader="none"/>
              </w:tabs>
              <w:suppressAutoHyphens w:val="true"/>
              <w:spacing w:before="0" w:after="0"/>
              <w:ind w:left="57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- список (утвержденный распорядительным документом) инженерно-технических специалистов, прошедших поверку знаний в соответствии с требованиями регламентирующих документов, имеющих удостоверения установленной формы и обеспечивающих в процессе выполнения работ: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left="113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- копию Приказа о назначении ответственного за соблюдение требований природоохранного законодательства Российской Федерации;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left="17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- список (утвержденный распорядительным документом ) ответственных лиц при работах по наряду-допуску и распоряжению, при выполнении специальных работ (по шаблону Заказчика).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3" w:leader="none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3. Установленный противопожарный и внутриобъектовый режим на предприятии Заказчика является обязательным для персонала </w:t>
            </w: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>Субподрядчика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и должен строго выполняться.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 При выполнении работ необходимо обеспечить безопасность зданий, сооружений, оборудования и работников, находящихся в зоне производства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5. При выполнении Работ </w:t>
            </w:r>
            <w:r>
              <w:rPr>
                <w:rFonts w:eastAsia="Calibri"/>
                <w:bCs/>
                <w:kern w:val="0"/>
                <w:sz w:val="24"/>
                <w:szCs w:val="24"/>
                <w:lang w:val="x-none" w:eastAsia="x-none" w:bidi="ar-SA"/>
              </w:rPr>
              <w:t>Субподрядчику необходимо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исключить падение монтируемых конструкций, оборудования;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обеспечить безопасность персонала Заказчика, собственного персонала, персонала Генподрядных организаций, находящегося в зоне выполнения работ в период производства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нести ответственность за сохранность оборудования, механизмов, средств, систем, конструкций, сооружений и транспортных приспособлений Заказчика и Генподрядных организаций, находящихся в зоне выполнения работ в период выполнения работ.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1.6.2.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промышленной и экологической безопасности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>Субподрядчик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на объекте должен выполнять требования законодательства в области охраны окружающей среды.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1368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1368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2.1.1.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Результат работ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Выполнение работ должно соответствовать объему работ (Приложение №1 к настоящим ТТ)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1368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2.2.1.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отчётной документации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Субподрядчик предоставляет Генподрядчику исполнительную документац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ию </w:t>
            </w:r>
            <w:r>
              <w:rPr>
                <w:kern w:val="0"/>
                <w:sz w:val="24"/>
                <w:szCs w:val="24"/>
                <w:lang w:val="ru-RU" w:bidi="ar-SA"/>
              </w:rPr>
              <w:t>в</w:t>
            </w:r>
            <w:r>
              <w:rPr>
                <w:color w:val="FF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количестве двух экземпляров на бумажном носителе информации, содержащих оригинальные подписи и печати, и один экземпляр на электронном носителе информации (цветная скан-копия бумажного экземпляра).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Перечень Актов и протоколов может уточняться Субподрядчиком у Генподрядчика за 10 дней до начала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Оформление отчётной документации по выполненным работам в соответствии с требованиями регламентирующих документов: СП 68.13330.2017 «Приемка в эксплуатацию законченных строительством объектов. Основные положения», «Правил технической эксплуатации электрических станций и сетей РФ» утвержденные приказом Минэнерго России от 19 июня 2003 года N 229,  Приказ Минстроя России от 16.05.2023 г.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136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ответственности Субподрядчика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3.1.1.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об ответственности Субподрядчика за недостатки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Все замечания, указания, предписания надзорных органов, предъявленные Генподрядчику по качеству выполнения Работ во время выполнения Работ, устраняются Субподрядчиком в указанные сроки за счет собственных средств.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1368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о сроках гарантии</w:t>
            </w:r>
          </w:p>
        </w:tc>
      </w:tr>
      <w:tr>
        <w:trPr/>
        <w:tc>
          <w:tcPr>
            <w:tcW w:w="103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4.1.1.</w:t>
            </w:r>
          </w:p>
        </w:tc>
        <w:tc>
          <w:tcPr>
            <w:tcW w:w="2426" w:type="dxa"/>
            <w:tcBorders/>
            <w:shd w:color="auto" w:fill="auto" w:val="clear"/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срокам и гарантии</w:t>
            </w:r>
          </w:p>
        </w:tc>
        <w:tc>
          <w:tcPr>
            <w:tcW w:w="11255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13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lang w:val="x-none" w:eastAsia="x-none" w:bidi="ar-SA"/>
              </w:rPr>
              <w:t>- Субподрядчик</w:t>
            </w:r>
            <w:r>
              <w:rPr>
                <w:rFonts w:cs="Times New Roman" w:ascii="Times New Roman" w:hAnsi="Times New Roman"/>
                <w:color w:val="000000"/>
                <w:kern w:val="0"/>
                <w:lang w:val="ru-RU" w:eastAsia="ru-RU" w:bidi="ar-SA"/>
              </w:rPr>
              <w:t xml:space="preserve"> гарантирует выполнить работы </w:t>
            </w:r>
            <w:r>
              <w:rPr>
                <w:rFonts w:cs="Times New Roman" w:ascii="Times New Roman" w:hAnsi="Times New Roman"/>
                <w:color w:val="000000"/>
                <w:kern w:val="0"/>
                <w:lang w:val="ru-RU" w:eastAsia="x-none" w:bidi="ar-SA"/>
              </w:rPr>
              <w:t xml:space="preserve">по </w:t>
            </w:r>
            <w:r>
              <w:rPr>
                <w:rStyle w:val="Style6"/>
                <w:rFonts w:cs="Times New Roman" w:ascii="Times New Roman" w:hAnsi="Times New Roman"/>
                <w:b w:val="false"/>
                <w:i w:val="false"/>
                <w:color w:val="000000"/>
                <w:kern w:val="0"/>
                <w:shd w:fill="auto" w:val="clear"/>
                <w:lang w:val="ru-RU" w:eastAsia="x-none" w:bidi="ar-SA"/>
              </w:rPr>
              <w:t>капитальному ремонту генератора ст. №3</w:t>
            </w:r>
            <w:r>
              <w:rPr>
                <w:rFonts w:cs="Times New Roman" w:ascii="Times New Roman" w:hAnsi="Times New Roman"/>
                <w:color w:val="000000"/>
                <w:kern w:val="0"/>
                <w:lang w:val="ru-RU" w:eastAsia="ru-RU" w:bidi="ar-SA"/>
              </w:rPr>
              <w:t xml:space="preserve"> в полном объеме и с надлежащим качеством, в сроки, указанные в настоящем Техническом требовании (таблица 3), в соответствии с требованиями настоящего Технического требования и действующих нормативных документов.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57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eastAsia="ru-RU" w:bidi="ar-SA"/>
              </w:rPr>
              <w:t>- Гарантийный срок составляет 36 (тридцать шесть) месяцев и начинает течь с даты подписания Сторонами Акта КС-11 либо с даты прекращения (расторжения) Договора. Гарантийный срок может быть продлен в соответствии с условиями Договора.</w:t>
            </w:r>
          </w:p>
        </w:tc>
      </w:tr>
      <w:tr>
        <w:trPr/>
        <w:tc>
          <w:tcPr>
            <w:tcW w:w="103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1368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требования к выполняемым работам</w:t>
            </w:r>
          </w:p>
        </w:tc>
      </w:tr>
      <w:tr>
        <w:trPr/>
        <w:tc>
          <w:tcPr>
            <w:tcW w:w="103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5.1.1.</w:t>
            </w:r>
          </w:p>
        </w:tc>
        <w:tc>
          <w:tcPr>
            <w:tcW w:w="2426" w:type="dxa"/>
            <w:tcBorders>
              <w:top w:val="nil"/>
            </w:tcBorders>
            <w:shd w:color="auto" w:fill="auto" w:val="clear"/>
          </w:tcPr>
          <w:p>
            <w:pPr>
              <w:pStyle w:val="Style14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1125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Генподрядчик оставляет за собой право корректировать объемы работ, не превышающие установленного лимита по договору с письменного уведомления Субподрядчика.</w:t>
            </w:r>
          </w:p>
        </w:tc>
      </w:tr>
    </w:tbl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992" w:right="1134" w:gutter="0" w:header="709" w:top="1134" w:footer="709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0" w:hanging="0"/>
        <w:jc w:val="center"/>
        <w:rPr>
          <w:sz w:val="24"/>
          <w:szCs w:val="24"/>
        </w:rPr>
      </w:pPr>
      <w:bookmarkStart w:id="18" w:name="_Toc46743519"/>
      <w:bookmarkStart w:id="19" w:name="_Toc51339699"/>
      <w:bookmarkStart w:id="20" w:name="_Toc54646413"/>
      <w:bookmarkStart w:id="21" w:name="_Toc54279844"/>
      <w:bookmarkStart w:id="22" w:name="_Toc54618151"/>
      <w:bookmarkStart w:id="23" w:name="_Toc54643137"/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 на этапе закупки</w:t>
      </w:r>
      <w:bookmarkEnd w:id="21"/>
      <w:bookmarkEnd w:id="22"/>
      <w:bookmarkEnd w:id="23"/>
    </w:p>
    <w:p>
      <w:pPr>
        <w:pStyle w:val="ListParagraph"/>
        <w:spacing w:before="80" w:after="0"/>
        <w:ind w:left="0" w:firstLine="284"/>
        <w:contextualSpacing/>
        <w:jc w:val="both"/>
        <w:rPr>
          <w:rFonts w:ascii="Times New Roman" w:hAnsi="Times New Roman"/>
        </w:rPr>
      </w:pPr>
      <w:r>
        <w:rPr>
          <w:rFonts w:eastAsia="MS PGothic" w:cs="Times New Roman" w:ascii="Times New Roman" w:hAnsi="Times New Roman"/>
          <w:lang w:eastAsia="ja-JP"/>
        </w:rPr>
        <w:t xml:space="preserve">3.1. </w:t>
      </w:r>
      <w:r>
        <w:rPr>
          <w:rFonts w:cs="Times New Roman" w:ascii="Times New Roman" w:hAnsi="Times New Roman"/>
          <w:iCs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</w:t>
      </w:r>
      <w:r>
        <w:rPr>
          <w:rFonts w:eastAsia="MS PGothic" w:cs="Times New Roman" w:ascii="Times New Roman" w:hAnsi="Times New Roman"/>
          <w:lang w:eastAsia="ja-JP"/>
        </w:rPr>
        <w:t>Документации о закупке .</w:t>
      </w:r>
    </w:p>
    <w:p>
      <w:pPr>
        <w:pStyle w:val="ListParagraph"/>
        <w:spacing w:before="80" w:after="0"/>
        <w:ind w:left="0" w:firstLine="284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:lang w:val="ru-RU" w:eastAsia="en-US" w:bidi="ar-SA"/>
        </w:rPr>
        <w:t>Стоимость предложений участников определяется по формуле:</w:t>
      </w:r>
    </w:p>
    <w:p>
      <w:pPr>
        <w:pStyle w:val="ListParagraph"/>
        <w:widowControl/>
        <w:tabs>
          <w:tab w:val="clear" w:pos="708"/>
          <w:tab w:val="left" w:pos="567" w:leader="none"/>
        </w:tabs>
        <w:spacing w:lineRule="auto" w:line="240" w:before="0" w:after="0"/>
        <w:ind w:left="644" w:hanging="0"/>
        <w:contextualSpacing/>
        <w:jc w:val="center"/>
        <w:rPr>
          <w:rFonts w:ascii="Times New Roman" w:hAnsi="Times New Roman" w:eastAsia="Calibri"/>
          <w:i/>
          <w:i/>
          <w:iCs/>
          <w:kern w:val="0"/>
          <w:lang w:val="ru-RU" w:eastAsia="en-US" w:bidi="ar-SA"/>
        </w:rPr>
      </w:pPr>
      <w:r>
        <w:rPr>
          <w:rFonts w:eastAsia="Calibri" w:ascii="Times New Roman" w:hAnsi="Times New Roman"/>
          <w:i/>
          <w:iCs/>
          <w:kern w:val="0"/>
          <w:sz w:val="24"/>
          <w:szCs w:val="24"/>
          <w:lang w:val="ru-RU" w:eastAsia="en-US" w:bidi="ar-SA"/>
        </w:rPr>
        <w:t>P=N*k+Цоб,</w:t>
      </w:r>
    </w:p>
    <w:p>
      <w:pPr>
        <w:pStyle w:val="ListParagraph"/>
        <w:widowControl/>
        <w:tabs>
          <w:tab w:val="clear" w:pos="708"/>
          <w:tab w:val="left" w:pos="567" w:leader="none"/>
        </w:tabs>
        <w:spacing w:lineRule="auto" w:line="240" w:before="0" w:after="0"/>
        <w:ind w:left="644" w:hanging="0"/>
        <w:contextualSpacing/>
        <w:rPr>
          <w:rFonts w:ascii="Times New Roman" w:hAnsi="Times New Roman" w:eastAsia="Calibri"/>
          <w:i/>
          <w:i/>
          <w:iCs/>
          <w:kern w:val="0"/>
          <w:lang w:val="ru-RU" w:eastAsia="en-US" w:bidi="ar-SA"/>
        </w:rPr>
      </w:pPr>
      <w:r>
        <w:rPr>
          <w:rFonts w:eastAsia="Calibri" w:ascii="Times New Roman" w:hAnsi="Times New Roman"/>
          <w:i/>
          <w:iCs/>
          <w:kern w:val="0"/>
          <w:sz w:val="24"/>
          <w:szCs w:val="24"/>
          <w:lang w:val="ru-RU" w:eastAsia="en-US" w:bidi="ar-SA"/>
        </w:rPr>
        <w:t>где P – стоимость предложения участника;</w:t>
      </w:r>
    </w:p>
    <w:p>
      <w:pPr>
        <w:pStyle w:val="ListParagraph"/>
        <w:widowControl/>
        <w:tabs>
          <w:tab w:val="clear" w:pos="708"/>
          <w:tab w:val="left" w:pos="567" w:leader="none"/>
        </w:tabs>
        <w:spacing w:lineRule="auto" w:line="240" w:before="0" w:after="0"/>
        <w:ind w:left="644" w:hanging="0"/>
        <w:contextualSpacing/>
        <w:rPr>
          <w:rFonts w:ascii="Times New Roman" w:hAnsi="Times New Roman" w:eastAsia="Calibri"/>
          <w:i/>
          <w:i/>
          <w:iCs/>
          <w:kern w:val="0"/>
          <w:lang w:val="ru-RU" w:eastAsia="en-US" w:bidi="ar-SA"/>
        </w:rPr>
      </w:pPr>
      <w:r>
        <w:rPr>
          <w:rFonts w:eastAsia="Calibri" w:ascii="Times New Roman" w:hAnsi="Times New Roman"/>
          <w:i/>
          <w:iCs/>
          <w:kern w:val="0"/>
          <w:sz w:val="24"/>
          <w:szCs w:val="24"/>
          <w:lang w:val="ru-RU" w:eastAsia="en-US" w:bidi="ar-SA"/>
        </w:rPr>
        <w:t>N – стоимость работ;</w:t>
      </w:r>
    </w:p>
    <w:p>
      <w:pPr>
        <w:pStyle w:val="ListParagraph"/>
        <w:widowControl/>
        <w:tabs>
          <w:tab w:val="clear" w:pos="708"/>
          <w:tab w:val="left" w:pos="567" w:leader="none"/>
        </w:tabs>
        <w:spacing w:lineRule="auto" w:line="240" w:before="0" w:after="0"/>
        <w:ind w:left="644" w:hanging="0"/>
        <w:contextualSpacing/>
        <w:rPr>
          <w:rFonts w:ascii="Times New Roman" w:hAnsi="Times New Roman" w:eastAsia="Calibri"/>
          <w:i/>
          <w:i/>
          <w:iCs/>
          <w:kern w:val="0"/>
          <w:lang w:val="ru-RU" w:eastAsia="en-US" w:bidi="ar-SA"/>
        </w:rPr>
      </w:pPr>
      <w:r>
        <w:rPr>
          <w:rFonts w:eastAsia="Calibri" w:ascii="Times New Roman" w:hAnsi="Times New Roman"/>
          <w:i/>
          <w:iCs/>
          <w:kern w:val="0"/>
          <w:sz w:val="24"/>
          <w:szCs w:val="24"/>
          <w:lang w:val="ru-RU" w:eastAsia="en-US" w:bidi="ar-SA"/>
        </w:rPr>
        <w:t>k – понижающий коэффициент, заявленный участником в расчете цены заявки, величину данного коэффициента рекомендуется учитывать с округлением до 7 знаков после запятой;</w:t>
      </w:r>
    </w:p>
    <w:p>
      <w:pPr>
        <w:pStyle w:val="ListParagraph"/>
        <w:spacing w:before="80" w:after="0"/>
        <w:ind w:left="0" w:firstLine="284"/>
        <w:contextualSpacing/>
        <w:jc w:val="both"/>
        <w:rPr>
          <w:rFonts w:ascii="Times New Roman" w:hAnsi="Times New Roman" w:eastAsia="Calibri"/>
          <w:i/>
          <w:i/>
          <w:iCs/>
          <w:kern w:val="0"/>
          <w:lang w:val="ru-RU" w:eastAsia="en-US" w:bidi="ar-SA"/>
        </w:rPr>
      </w:pPr>
      <w:r>
        <w:rPr>
          <w:rFonts w:eastAsia="MS PGothic" w:cs="Times New Roman" w:ascii="Times New Roman" w:hAnsi="Times New Roman"/>
          <w:i/>
          <w:iCs/>
          <w:kern w:val="0"/>
          <w:sz w:val="24"/>
          <w:szCs w:val="24"/>
          <w:lang w:val="ru-RU" w:eastAsia="ja-JP" w:bidi="ar-SA"/>
        </w:rPr>
        <w:t>Цоб – цена оборудования, предложенная Участником.</w:t>
      </w:r>
    </w:p>
    <w:p>
      <w:pPr>
        <w:pStyle w:val="ListParagraph"/>
        <w:spacing w:before="80" w:after="0"/>
        <w:ind w:left="0" w:firstLine="284"/>
        <w:contextualSpacing/>
        <w:jc w:val="both"/>
        <w:rPr>
          <w:rFonts w:ascii="Times New Roman" w:hAnsi="Times New Roman"/>
        </w:rPr>
      </w:pPr>
      <w:r>
        <w:rPr>
          <w:rFonts w:eastAsia="MS PGothic" w:cs="Times New Roman" w:ascii="Times New Roman" w:hAnsi="Times New Roman"/>
          <w:lang w:eastAsia="ja-JP"/>
        </w:rPr>
        <w:t>3.2. Дополнительные документы по ценообразованию (сметная документация) в состав заявки Участника не включаются. Сметная документация предоставляется Генподрядчиком (Приложение №2).</w:t>
      </w:r>
    </w:p>
    <w:p>
      <w:pPr>
        <w:pStyle w:val="ListParagraph"/>
        <w:widowControl/>
        <w:numPr>
          <w:ilvl w:val="1"/>
        </w:numPr>
        <w:tabs>
          <w:tab w:val="clear" w:pos="708"/>
          <w:tab w:val="left" w:pos="567" w:leader="none"/>
        </w:tabs>
        <w:suppressAutoHyphens w:val="true"/>
        <w:bidi w:val="0"/>
        <w:spacing w:lineRule="auto" w:line="240" w:before="0" w:after="0"/>
        <w:ind w:left="0" w:right="0" w:firstLine="283"/>
        <w:contextualSpacing/>
        <w:jc w:val="both"/>
        <w:rPr>
          <w:rFonts w:ascii="Times New Roman" w:hAnsi="Times New Roman" w:eastAsia="MS PGothic" w:cs="Times New Roman"/>
          <w:color w:val="auto"/>
          <w:kern w:val="0"/>
          <w:sz w:val="24"/>
          <w:szCs w:val="24"/>
          <w:lang w:val="ru-RU" w:eastAsia="ja-JP" w:bidi="ar-SA"/>
        </w:rPr>
      </w:pPr>
      <w:r>
        <w:rPr>
          <w:rFonts w:eastAsia="MS PGothic" w:cs="Times New Roman" w:ascii="Times New Roman" w:hAnsi="Times New Roman"/>
          <w:color w:val="auto"/>
          <w:kern w:val="0"/>
          <w:sz w:val="24"/>
          <w:szCs w:val="24"/>
          <w:lang w:val="ru-RU" w:eastAsia="ja-JP" w:bidi="ar-SA"/>
        </w:rPr>
      </w:r>
    </w:p>
    <w:p>
      <w:pPr>
        <w:pStyle w:val="Normal"/>
        <w:rPr>
          <w:rFonts w:ascii="Times New Roman" w:hAnsi="Times New Roman" w:eastAsia="MS PGothic" w:cs="Times New Roman"/>
          <w:bCs/>
          <w:iCs/>
          <w:sz w:val="24"/>
          <w:szCs w:val="24"/>
          <w:lang w:eastAsia="x-none"/>
        </w:rPr>
      </w:pPr>
      <w:r>
        <w:rPr>
          <w:rFonts w:eastAsia="MS PGothic" w:cs="Times New Roman"/>
          <w:bCs/>
          <w:iCs/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4. </w:t>
      </w:r>
      <w:r>
        <w:rPr>
          <w:sz w:val="24"/>
          <w:szCs w:val="24"/>
        </w:rPr>
        <w:t>Приложения</w:t>
      </w:r>
      <w:bookmarkEnd w:id="18"/>
      <w:bookmarkEnd w:id="19"/>
      <w:bookmarkEnd w:id="20"/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Приложение №1 Ведомость объёмов работ  №02-01-03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 xml:space="preserve">«Капитальный ремонт генератора ст.№3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К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аскада Вилюйских ГЭС им. Е.Н. Батенчука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/>
          <w:sz w:val="24"/>
          <w:szCs w:val="24"/>
        </w:rPr>
        <w:t>»;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Calibri"/>
          <w:sz w:val="24"/>
          <w:szCs w:val="24"/>
          <w:lang w:val="x-none"/>
        </w:rPr>
        <w:t>Приложение №2: Сметная документация.</w:t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w="11906" w:h="16838"/>
      <w:pgMar w:left="1134" w:right="851" w:gutter="0" w:header="709" w:top="1134" w:footer="709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73209081"/>
    </w:sdtPr>
    <w:sdtContent>
      <w:p>
        <w:pPr>
          <w:pStyle w:val="Footer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6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30676929"/>
    </w:sdtPr>
    <w:sdtContent>
      <w:p>
        <w:pPr>
          <w:pStyle w:val="Footer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1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131303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63825444"/>
    </w:sdtPr>
    <w:sdtContent>
      <w:p>
        <w:pPr>
          <w:pStyle w:val="Footer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7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1286996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33858716"/>
    </w:sdtPr>
    <w:sdtContent>
      <w:p>
        <w:pPr>
          <w:pStyle w:val="Footer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13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eastAsia="Calibri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eastAsia="Calibri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9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46124f"/>
    <w:pPr>
      <w:keepLines w:val="false"/>
      <w:tabs>
        <w:tab w:val="clear" w:pos="708"/>
        <w:tab w:val="left" w:pos="0" w:leader="none"/>
      </w:tabs>
      <w:spacing w:lineRule="auto" w:line="360" w:before="120" w:after="60"/>
      <w:ind w:left="1224" w:hanging="504"/>
      <w:outlineLvl w:val="0"/>
    </w:pPr>
    <w:rPr>
      <w:rFonts w:ascii="Times New Roman" w:hAnsi="Times New Roman" w:eastAsia="Calibri" w:cs="Times New Roman"/>
      <w:b/>
      <w:color w:val="auto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07a4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6124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46124f"/>
    <w:pPr>
      <w:keepLines w:val="false"/>
      <w:tabs>
        <w:tab w:val="clear" w:pos="708"/>
        <w:tab w:val="left" w:pos="0" w:leader="none"/>
      </w:tabs>
      <w:spacing w:lineRule="auto" w:line="360" w:before="120" w:after="60"/>
      <w:ind w:left="1224" w:hanging="504"/>
      <w:outlineLvl w:val="3"/>
    </w:pPr>
    <w:rPr>
      <w:rFonts w:ascii="Times New Roman" w:hAnsi="Times New Roman" w:eastAsia="Calibri" w:cs="Times New Roman"/>
      <w:b/>
      <w:bCs/>
      <w:color w:val="auto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46124f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46124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Абзац списка Знак"/>
    <w:link w:val="ListParagraph"/>
    <w:uiPriority w:val="34"/>
    <w:qFormat/>
    <w:locked/>
    <w:rsid w:val="0046124f"/>
    <w:rPr>
      <w:rFonts w:eastAsia="Calibri"/>
      <w:sz w:val="24"/>
      <w:szCs w:val="24"/>
    </w:rPr>
  </w:style>
  <w:style w:type="character" w:styleId="Style6" w:customStyle="1">
    <w:name w:val="комментарий"/>
    <w:qFormat/>
    <w:rsid w:val="0046124f"/>
    <w:rPr>
      <w:b/>
      <w:i/>
      <w:shd w:fill="FFFF99" w:val="clear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6124f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ru-RU"/>
    </w:rPr>
  </w:style>
  <w:style w:type="character" w:styleId="Strong">
    <w:name w:val="Strong"/>
    <w:uiPriority w:val="22"/>
    <w:qFormat/>
    <w:rsid w:val="00fc6a38"/>
    <w:rPr>
      <w:b/>
      <w:bCs/>
    </w:rPr>
  </w:style>
  <w:style w:type="character" w:styleId="Style7" w:customStyle="1">
    <w:name w:val="Верхний колонтитул Знак"/>
    <w:basedOn w:val="DefaultParagraphFont"/>
    <w:uiPriority w:val="99"/>
    <w:qFormat/>
    <w:rsid w:val="009944f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qFormat/>
    <w:rsid w:val="009944f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7d4257"/>
    <w:rPr/>
  </w:style>
  <w:style w:type="character" w:styleId="2" w:customStyle="1">
    <w:name w:val="Заголовок 2 Знак"/>
    <w:basedOn w:val="DefaultParagraphFont"/>
    <w:uiPriority w:val="9"/>
    <w:semiHidden/>
    <w:qFormat/>
    <w:rsid w:val="00207a4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9" w:customStyle="1">
    <w:name w:val="Заголовок Знак"/>
    <w:basedOn w:val="DefaultParagraphFont"/>
    <w:uiPriority w:val="10"/>
    <w:qFormat/>
    <w:rsid w:val="005302b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Hyperlink">
    <w:name w:val="Hyperlink"/>
    <w:rPr>
      <w:color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9"/>
    <w:uiPriority w:val="10"/>
    <w:qFormat/>
    <w:rsid w:val="005302ba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link w:val="Style5"/>
    <w:uiPriority w:val="34"/>
    <w:qFormat/>
    <w:rsid w:val="0046124f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hAnsiTheme="minorHAnsi"/>
      <w:sz w:val="24"/>
      <w:szCs w:val="24"/>
      <w:lang w:eastAsia="en-US"/>
    </w:rPr>
  </w:style>
  <w:style w:type="paragraph" w:styleId="Style1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nhideWhenUsed/>
    <w:rsid w:val="009944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unhideWhenUsed/>
    <w:rsid w:val="009944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3" w:customStyle="1">
    <w:name w:val="Таблица шапка"/>
    <w:basedOn w:val="Normal"/>
    <w:qFormat/>
    <w:rsid w:val="00c13c9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4" w:customStyle="1">
    <w:name w:val="Таблица"/>
    <w:basedOn w:val="Normal"/>
    <w:qFormat/>
    <w:rsid w:val="007d4257"/>
    <w:pPr>
      <w:keepNext w:val="true"/>
      <w:suppressAutoHyphens w:val="fals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5" w:customStyle="1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7d425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3C27-9A0B-4F85-9433-234FAE17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Application>AlterOffice/3.4.0.9$Linux_X86_64 LibreOffice_project/b8daf9e823b1a5463a2f48435ddc2e8696e7d4fc</Application>
  <AppVersion>15.0000</AppVersion>
  <Pages>13</Pages>
  <Words>2473</Words>
  <Characters>17712</Characters>
  <CharactersWithSpaces>19902</CharactersWithSpaces>
  <Paragraphs>271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2024-04-01T02:52:00Z</dcterms:created>
  <dc:creator>Попадьина Светлана Алексеевна</dc:creator>
  <dc:description/>
  <dc:language>ru-RU</dc:language>
  <cp:lastModifiedBy>kuzmichevatav@corp.gidroogk.com</cp:lastModifiedBy>
  <dcterms:modified xsi:type="dcterms:W3CDTF">2026-05-13T16:27:00Z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