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B3" w:rsidRDefault="00F90BB3">
      <w:pPr>
        <w:rPr>
          <w:sz w:val="24"/>
        </w:rPr>
      </w:pPr>
    </w:p>
    <w:p w:rsidR="00E6749E" w:rsidRDefault="00E6749E" w:rsidP="00E6749E">
      <w:pPr>
        <w:spacing w:line="360" w:lineRule="auto"/>
        <w:ind w:firstLine="567"/>
        <w:rPr>
          <w:sz w:val="24"/>
        </w:rPr>
      </w:pPr>
      <w:r>
        <w:rPr>
          <w:sz w:val="24"/>
        </w:rPr>
        <w:t>Информируем Вас о том, что ПАО «Ростелеком» проводит анализ рынка на</w:t>
      </w:r>
      <w:r w:rsidR="00C616D2">
        <w:rPr>
          <w:sz w:val="24"/>
        </w:rPr>
        <w:t xml:space="preserve"> поставку ПО и серверного оборудования </w:t>
      </w:r>
      <w:proofErr w:type="gramStart"/>
      <w:r w:rsidR="00C616D2">
        <w:rPr>
          <w:sz w:val="24"/>
        </w:rPr>
        <w:t>для выполнение</w:t>
      </w:r>
      <w:proofErr w:type="gramEnd"/>
      <w:r w:rsidR="00C616D2">
        <w:rPr>
          <w:sz w:val="24"/>
        </w:rPr>
        <w:t xml:space="preserve"> работ по расширению комплексной информационной системы АПК «Безопасный город» в Томской области</w:t>
      </w:r>
      <w:r>
        <w:rPr>
          <w:sz w:val="24"/>
        </w:rPr>
        <w:t>,</w:t>
      </w:r>
      <w:r w:rsidR="00C616D2">
        <w:rPr>
          <w:sz w:val="24"/>
        </w:rPr>
        <w:t xml:space="preserve"> </w:t>
      </w:r>
      <w:r>
        <w:rPr>
          <w:sz w:val="24"/>
        </w:rPr>
        <w:t>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sz w:val="24"/>
        </w:rPr>
        <w:t xml:space="preserve">с целью формирования начальной максимальной цены расходного договора. </w:t>
      </w:r>
    </w:p>
    <w:p w:rsidR="00E6749E" w:rsidRDefault="00E6749E" w:rsidP="00E6749E">
      <w:pPr>
        <w:spacing w:line="360" w:lineRule="auto"/>
        <w:ind w:firstLine="567"/>
        <w:rPr>
          <w:sz w:val="24"/>
        </w:rPr>
      </w:pPr>
      <w:r>
        <w:rPr>
          <w:szCs w:val="26"/>
        </w:rPr>
        <w:t>Просим вас предоставить технико-коммерческое предложение для запланированной закупки</w:t>
      </w:r>
      <w:r w:rsidRPr="001977D2">
        <w:rPr>
          <w:sz w:val="24"/>
        </w:rPr>
        <w:t xml:space="preserve"> </w:t>
      </w:r>
      <w:r>
        <w:rPr>
          <w:sz w:val="24"/>
        </w:rPr>
        <w:t>на</w:t>
      </w:r>
      <w:r w:rsidRPr="00E6749E">
        <w:rPr>
          <w:sz w:val="24"/>
        </w:rPr>
        <w:t xml:space="preserve"> </w:t>
      </w:r>
      <w:r>
        <w:rPr>
          <w:sz w:val="24"/>
        </w:rPr>
        <w:t xml:space="preserve">поставку ПО и серверного оборудования </w:t>
      </w:r>
      <w:proofErr w:type="gramStart"/>
      <w:r>
        <w:rPr>
          <w:sz w:val="24"/>
        </w:rPr>
        <w:t>для выполнение</w:t>
      </w:r>
      <w:proofErr w:type="gramEnd"/>
      <w:r>
        <w:rPr>
          <w:sz w:val="24"/>
        </w:rPr>
        <w:t xml:space="preserve"> работ по расширению комплексной информационной системы АПК «Безопасный город» в Томской области.</w:t>
      </w:r>
    </w:p>
    <w:p w:rsidR="00F90BB3" w:rsidRDefault="00C616D2">
      <w:pPr>
        <w:rPr>
          <w:sz w:val="24"/>
        </w:rPr>
      </w:pPr>
      <w:r>
        <w:rPr>
          <w:sz w:val="24"/>
        </w:rPr>
        <w:t xml:space="preserve">Таблица 1. Общие условия </w:t>
      </w:r>
    </w:p>
    <w:p w:rsidR="00F90BB3" w:rsidRDefault="00F90BB3">
      <w:pPr>
        <w:rPr>
          <w:sz w:val="24"/>
        </w:rPr>
      </w:pPr>
    </w:p>
    <w:tbl>
      <w:tblPr>
        <w:tblStyle w:val="af5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F90BB3">
        <w:tc>
          <w:tcPr>
            <w:tcW w:w="9067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F90BB3">
        <w:tc>
          <w:tcPr>
            <w:tcW w:w="9067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</w:tcPr>
          <w:p w:rsidR="00F90BB3" w:rsidRDefault="00C616D2" w:rsidP="000D4DAB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0D4DAB">
              <w:rPr>
                <w:i/>
                <w:sz w:val="24"/>
              </w:rPr>
              <w:t>9</w:t>
            </w:r>
            <w:r>
              <w:rPr>
                <w:i/>
                <w:sz w:val="24"/>
              </w:rPr>
              <w:t>.05.2026 17:00 МСК</w:t>
            </w:r>
          </w:p>
        </w:tc>
      </w:tr>
    </w:tbl>
    <w:p w:rsidR="00F90BB3" w:rsidRDefault="00F90BB3">
      <w:pPr>
        <w:rPr>
          <w:sz w:val="24"/>
        </w:rPr>
      </w:pPr>
    </w:p>
    <w:p w:rsidR="00F90BB3" w:rsidRDefault="00C616D2">
      <w:pPr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F90BB3" w:rsidRDefault="00F90BB3">
      <w:pPr>
        <w:rPr>
          <w:sz w:val="24"/>
        </w:rPr>
      </w:pPr>
    </w:p>
    <w:tbl>
      <w:tblPr>
        <w:tblStyle w:val="af5"/>
        <w:tblW w:w="14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437"/>
        <w:gridCol w:w="1754"/>
        <w:gridCol w:w="2618"/>
        <w:gridCol w:w="2154"/>
        <w:gridCol w:w="1500"/>
        <w:gridCol w:w="1900"/>
        <w:gridCol w:w="1828"/>
      </w:tblGrid>
      <w:tr w:rsidR="00F90BB3">
        <w:tc>
          <w:tcPr>
            <w:tcW w:w="560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436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754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618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</w:t>
            </w:r>
            <w:r>
              <w:rPr>
                <w:b/>
                <w:sz w:val="24"/>
              </w:rPr>
              <w:lastRenderedPageBreak/>
              <w:t>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4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00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0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F90BB3" w:rsidRDefault="00F90BB3">
            <w:pPr>
              <w:jc w:val="center"/>
              <w:rPr>
                <w:b/>
                <w:sz w:val="24"/>
              </w:rPr>
            </w:pPr>
          </w:p>
          <w:p w:rsidR="00F90BB3" w:rsidRDefault="00F90BB3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8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F90BB3" w:rsidRDefault="00F90BB3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F90BB3">
        <w:tc>
          <w:tcPr>
            <w:tcW w:w="560" w:type="dxa"/>
          </w:tcPr>
          <w:p w:rsidR="00F90BB3" w:rsidRDefault="00F90BB3">
            <w:pPr>
              <w:pStyle w:val="ListParagraph11"/>
              <w:numPr>
                <w:ilvl w:val="0"/>
                <w:numId w:val="1"/>
              </w:numPr>
              <w:ind w:firstLine="0"/>
              <w:rPr>
                <w:sz w:val="24"/>
              </w:rPr>
            </w:pPr>
          </w:p>
        </w:tc>
        <w:tc>
          <w:tcPr>
            <w:tcW w:w="2436" w:type="dxa"/>
          </w:tcPr>
          <w:p w:rsidR="00F90BB3" w:rsidRDefault="00E6749E" w:rsidP="00E6749E">
            <w:pPr>
              <w:ind w:firstLine="0"/>
            </w:pPr>
            <w:r>
              <w:t>Оборудование</w:t>
            </w:r>
          </w:p>
        </w:tc>
        <w:tc>
          <w:tcPr>
            <w:tcW w:w="1754" w:type="dxa"/>
          </w:tcPr>
          <w:p w:rsidR="00F90BB3" w:rsidRDefault="00E6749E">
            <w:pPr>
              <w:ind w:firstLine="0"/>
              <w:rPr>
                <w:sz w:val="24"/>
              </w:rPr>
            </w:pPr>
            <w:r w:rsidRPr="00E6749E">
              <w:rPr>
                <w:sz w:val="24"/>
              </w:rPr>
              <w:t>Поставка ПО и серверного оборудования  для выполнение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2618" w:type="dxa"/>
          </w:tcPr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Оплата осуществляется Заказчиком в следующем порядке:</w:t>
            </w:r>
          </w:p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Исполнителя в течение 45 (сорок пять)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Исполнителя в течение 7 (Семи) рабочих дней. </w:t>
            </w:r>
          </w:p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Исполнителем предоставляется обеспечение исполнения Договора (банковская гарантия или денежное обеспечение) – в размере 15% от цены Договора. </w:t>
            </w:r>
          </w:p>
          <w:p w:rsidR="00F90BB3" w:rsidRDefault="00C616D2">
            <w:pPr>
              <w:pStyle w:val="ConsPlusNormal1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поставки: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Томск</w:t>
            </w:r>
          </w:p>
          <w:p w:rsidR="00F90BB3" w:rsidRDefault="00C616D2">
            <w:pPr>
              <w:pStyle w:val="ConsPlusNormal1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Ср</w:t>
            </w:r>
            <w:r>
              <w:rPr>
                <w:rFonts w:ascii="Times New Roman" w:hAnsi="Times New Roman"/>
                <w:b/>
                <w:sz w:val="24"/>
              </w:rPr>
              <w:t>ок поставки: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PT Astra Serif" w:hAnsi="PT Astra Serif"/>
              </w:rPr>
              <w:t>с даты заключения Договора 60 календарных дней</w:t>
            </w:r>
          </w:p>
        </w:tc>
        <w:tc>
          <w:tcPr>
            <w:tcW w:w="2154" w:type="dxa"/>
          </w:tcPr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500" w:type="dxa"/>
          </w:tcPr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0" w:type="dxa"/>
          </w:tcPr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28" w:type="dxa"/>
          </w:tcPr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F90BB3" w:rsidRDefault="00F90BB3">
      <w:pPr>
        <w:rPr>
          <w:sz w:val="24"/>
        </w:rPr>
      </w:pPr>
    </w:p>
    <w:p w:rsidR="00E6749E" w:rsidRDefault="00E6749E" w:rsidP="00E6749E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E6749E" w:rsidRDefault="00E6749E" w:rsidP="00E6749E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анкета участника;</w:t>
      </w:r>
    </w:p>
    <w:p w:rsidR="00E6749E" w:rsidRDefault="00E6749E" w:rsidP="00E6749E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E6749E" w:rsidRDefault="00E6749E" w:rsidP="00E6749E">
      <w:pPr>
        <w:ind w:left="1069" w:firstLine="0"/>
        <w:rPr>
          <w:i/>
        </w:rPr>
      </w:pPr>
    </w:p>
    <w:p w:rsidR="00E6749E" w:rsidRDefault="00E6749E" w:rsidP="00E6749E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E6749E" w:rsidRDefault="00E6749E" w:rsidP="00E6749E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E6749E" w:rsidRDefault="00E6749E" w:rsidP="00E6749E">
      <w:pPr>
        <w:ind w:left="1069" w:firstLine="0"/>
        <w:rPr>
          <w:i/>
        </w:rPr>
      </w:pPr>
    </w:p>
    <w:p w:rsidR="00E6749E" w:rsidRDefault="00E6749E" w:rsidP="00E6749E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E6749E" w:rsidRDefault="00E6749E" w:rsidP="00E6749E">
      <w:pPr>
        <w:spacing w:line="360" w:lineRule="auto"/>
        <w:ind w:firstLine="567"/>
        <w:jc w:val="left"/>
      </w:pPr>
    </w:p>
    <w:p w:rsidR="00E6749E" w:rsidRDefault="00E6749E" w:rsidP="00E6749E">
      <w:pPr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17-00 1</w:t>
      </w:r>
      <w:r w:rsidR="000D4DAB">
        <w:rPr>
          <w:b/>
        </w:rPr>
        <w:t>9</w:t>
      </w:r>
      <w:bookmarkStart w:id="0" w:name="_GoBack"/>
      <w:bookmarkEnd w:id="0"/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9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9"/>
            <w:rFonts w:ascii="Times New Roman;Times;serif" w:hAnsi="Times New Roman;Times;serif"/>
            <w:b/>
            <w:i/>
          </w:rPr>
          <w:t>https://lot-online.ru/</w:t>
        </w:r>
      </w:hyperlink>
    </w:p>
    <w:p w:rsidR="00E6749E" w:rsidRDefault="00E6749E" w:rsidP="00E6749E">
      <w:r>
        <w:t xml:space="preserve"> В теме письма </w:t>
      </w:r>
      <w:proofErr w:type="gramStart"/>
      <w:r>
        <w:t>указать:  «</w:t>
      </w:r>
      <w:proofErr w:type="gramEnd"/>
      <w:r>
        <w:t xml:space="preserve">RFI № ___________:  </w:t>
      </w:r>
      <w:r w:rsidRPr="00E6749E">
        <w:rPr>
          <w:sz w:val="24"/>
        </w:rPr>
        <w:t>Поставк</w:t>
      </w:r>
      <w:r>
        <w:rPr>
          <w:sz w:val="24"/>
        </w:rPr>
        <w:t xml:space="preserve">а ПО и серверного оборудования </w:t>
      </w:r>
      <w:r>
        <w:t>.</w:t>
      </w:r>
    </w:p>
    <w:p w:rsidR="00E6749E" w:rsidRDefault="00E6749E" w:rsidP="00E6749E">
      <w:pPr>
        <w:spacing w:line="360" w:lineRule="auto"/>
        <w:ind w:firstLine="567"/>
        <w:jc w:val="left"/>
        <w:rPr>
          <w:sz w:val="20"/>
        </w:rPr>
      </w:pPr>
    </w:p>
    <w:p w:rsidR="00E6749E" w:rsidRDefault="00E6749E" w:rsidP="00E6749E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F90BB3" w:rsidRDefault="00F90BB3" w:rsidP="00E6749E">
      <w:pPr>
        <w:ind w:firstLine="0"/>
        <w:rPr>
          <w:sz w:val="24"/>
        </w:rPr>
      </w:pPr>
    </w:p>
    <w:sectPr w:rsidR="00F90BB3">
      <w:pgSz w:w="16838" w:h="11906" w:orient="landscape"/>
      <w:pgMar w:top="851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3D" w:rsidRDefault="00C616D2">
      <w:r>
        <w:separator/>
      </w:r>
    </w:p>
  </w:endnote>
  <w:endnote w:type="continuationSeparator" w:id="0">
    <w:p w:rsidR="00ED233D" w:rsidRDefault="00C6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B3" w:rsidRDefault="00C616D2">
      <w:r>
        <w:separator/>
      </w:r>
    </w:p>
  </w:footnote>
  <w:footnote w:type="continuationSeparator" w:id="0">
    <w:p w:rsidR="00F90BB3" w:rsidRDefault="00C616D2">
      <w:r>
        <w:continuationSeparator/>
      </w:r>
    </w:p>
  </w:footnote>
  <w:footnote w:id="1">
    <w:p w:rsidR="00F90BB3" w:rsidRDefault="00C616D2">
      <w:pPr>
        <w:pStyle w:val="Footnote11"/>
      </w:pPr>
      <w:r>
        <w:rPr>
          <w:rStyle w:val="a7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786F"/>
    <w:multiLevelType w:val="multilevel"/>
    <w:tmpl w:val="1C2C36B2"/>
    <w:lvl w:ilvl="0">
      <w:start w:val="1"/>
      <w:numFmt w:val="bullet"/>
      <w:pStyle w:val="NVGBullet11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CF5BE4"/>
    <w:multiLevelType w:val="multilevel"/>
    <w:tmpl w:val="007C044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" w15:restartNumberingAfterBreak="0">
    <w:nsid w:val="6BD5185A"/>
    <w:multiLevelType w:val="multilevel"/>
    <w:tmpl w:val="D00CEE3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3" w15:restartNumberingAfterBreak="0">
    <w:nsid w:val="6DE959DF"/>
    <w:multiLevelType w:val="multilevel"/>
    <w:tmpl w:val="1DB27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B3"/>
    <w:rsid w:val="000D4DAB"/>
    <w:rsid w:val="002F5B8C"/>
    <w:rsid w:val="00C616D2"/>
    <w:rsid w:val="00E6749E"/>
    <w:rsid w:val="00ED233D"/>
    <w:rsid w:val="00F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46A2"/>
  <w15:docId w15:val="{C1E0BEB2-3CEF-478F-9B98-25F3F45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sz w:val="26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body">
    <w:name w:val="Text body"/>
    <w:qFormat/>
  </w:style>
  <w:style w:type="character" w:customStyle="1" w:styleId="Contents1">
    <w:name w:val="Contents 1"/>
    <w:link w:val="Contents12"/>
    <w:qFormat/>
    <w:rPr>
      <w:rFonts w:ascii="XO Thames" w:hAnsi="XO Thames"/>
      <w:b/>
      <w:sz w:val="28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Heading71">
    <w:name w:val="Heading 71"/>
    <w:qFormat/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Textbodyindent">
    <w:name w:val="Text body indent"/>
    <w:link w:val="Textbodyindent2"/>
    <w:qFormat/>
    <w:rPr>
      <w:sz w:val="24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color w:val="4F81BD" w:themeColor="accent1"/>
    </w:rPr>
  </w:style>
  <w:style w:type="character" w:customStyle="1" w:styleId="ContentsHeading">
    <w:name w:val="Contents Heading"/>
    <w:basedOn w:val="Heading12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0">
    <w:name w:val="Указатель1"/>
    <w:link w:val="11"/>
    <w:qFormat/>
  </w:style>
  <w:style w:type="character" w:customStyle="1" w:styleId="copytarget1">
    <w:name w:val="copy_target1"/>
    <w:basedOn w:val="DefaultParagraphFont1"/>
    <w:link w:val="copytarget11"/>
    <w:qFormat/>
    <w:rPr>
      <w:rFonts w:ascii="Times New Roman" w:hAnsi="Times New Roman"/>
      <w:color w:val="000000"/>
      <w:spacing w:val="0"/>
      <w:sz w:val="26"/>
    </w:rPr>
  </w:style>
  <w:style w:type="character" w:customStyle="1" w:styleId="Emphasis1">
    <w:name w:val="Emphasis1"/>
    <w:basedOn w:val="DefaultParagraphFont1"/>
    <w:link w:val="Emphasis11"/>
    <w:qFormat/>
    <w:rPr>
      <w:rFonts w:ascii="Times New Roman" w:hAnsi="Times New Roman"/>
      <w:i/>
      <w:color w:val="000000"/>
      <w:spacing w:val="0"/>
      <w:sz w:val="26"/>
    </w:rPr>
  </w:style>
  <w:style w:type="character" w:customStyle="1" w:styleId="FootnoteSymbol">
    <w:name w:val="Footnote Symbol"/>
    <w:link w:val="FootnoteSymbol1"/>
    <w:qFormat/>
    <w:rPr>
      <w:rFonts w:ascii="Times New Roman" w:hAnsi="Times New Roman"/>
      <w:color w:val="000000"/>
      <w:spacing w:val="0"/>
      <w:sz w:val="26"/>
      <w:vertAlign w:val="superscript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Heading11">
    <w:name w:val="Heading 11"/>
    <w:link w:val="Heading111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Internetlink">
    <w:name w:val="Internet link"/>
    <w:basedOn w:val="DefaultParagraphFont1"/>
    <w:link w:val="Internetlink1"/>
    <w:qFormat/>
    <w:rPr>
      <w:rFonts w:ascii="Times New Roman" w:hAnsi="Times New Roman"/>
      <w:color w:val="0563C1"/>
      <w:spacing w:val="0"/>
      <w:sz w:val="26"/>
      <w:u w:val="single"/>
    </w:rPr>
  </w:style>
  <w:style w:type="character" w:customStyle="1" w:styleId="12">
    <w:name w:val="Заголовок1"/>
    <w:link w:val="13"/>
    <w:qFormat/>
    <w:rPr>
      <w:rFonts w:ascii="Liberation Sans" w:hAnsi="Liberation Sans"/>
      <w:sz w:val="28"/>
    </w:rPr>
  </w:style>
  <w:style w:type="character" w:styleId="a3">
    <w:name w:val="Emphasis"/>
    <w:basedOn w:val="DefaultParagraphFont1"/>
    <w:qFormat/>
    <w:rPr>
      <w:rFonts w:ascii="Times New Roman" w:hAnsi="Times New Roman"/>
      <w:i/>
      <w:color w:val="000000"/>
      <w:spacing w:val="0"/>
      <w:sz w:val="26"/>
    </w:rPr>
  </w:style>
  <w:style w:type="character" w:customStyle="1" w:styleId="Times121">
    <w:name w:val="Times 121"/>
    <w:link w:val="Times1211"/>
    <w:qFormat/>
  </w:style>
  <w:style w:type="character" w:customStyle="1" w:styleId="Heading61">
    <w:name w:val="Heading 61"/>
    <w:link w:val="Heading611"/>
    <w:qFormat/>
    <w:rPr>
      <w:i/>
    </w:rPr>
  </w:style>
  <w:style w:type="character" w:customStyle="1" w:styleId="a4">
    <w:name w:val="Содержимое врезки"/>
    <w:link w:val="14"/>
    <w:qFormat/>
  </w:style>
  <w:style w:type="character" w:customStyle="1" w:styleId="Heading51">
    <w:name w:val="Heading 51"/>
    <w:qFormat/>
    <w:rPr>
      <w:b/>
      <w:i/>
    </w:rPr>
  </w:style>
  <w:style w:type="character" w:customStyle="1" w:styleId="Heading21">
    <w:name w:val="Heading 21"/>
    <w:link w:val="Heading211"/>
    <w:qFormat/>
    <w:rPr>
      <w:rFonts w:asciiTheme="majorHAnsi" w:hAnsiTheme="majorHAnsi"/>
      <w:b/>
      <w:color w:val="4F81BD" w:themeColor="accent1"/>
    </w:rPr>
  </w:style>
  <w:style w:type="character" w:customStyle="1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styleId="a5">
    <w:name w:val="Strong"/>
    <w:basedOn w:val="DefaultParagraphFont1"/>
    <w:qFormat/>
    <w:rPr>
      <w:rFonts w:ascii="Times New Roman" w:hAnsi="Times New Roman"/>
      <w:b/>
      <w:color w:val="000000"/>
      <w:spacing w:val="0"/>
      <w:sz w:val="26"/>
    </w:rPr>
  </w:style>
  <w:style w:type="character" w:customStyle="1" w:styleId="Heading12">
    <w:name w:val="Heading 12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6">
    <w:name w:val="Символ концевой сноски"/>
    <w:link w:val="15"/>
    <w:qFormat/>
    <w:rPr>
      <w:vertAlign w:val="superscript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a7">
    <w:name w:val="Символ сноски"/>
    <w:link w:val="16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styleId="a9">
    <w:name w:val="Hyperlink"/>
    <w:basedOn w:val="DefaultParagraphFont1"/>
    <w:link w:val="17"/>
    <w:rPr>
      <w:rFonts w:ascii="Times New Roman" w:hAnsi="Times New Roman"/>
      <w:color w:val="0563C1"/>
      <w:spacing w:val="0"/>
      <w:sz w:val="26"/>
      <w:u w:val="single"/>
    </w:rPr>
  </w:style>
  <w:style w:type="character" w:customStyle="1" w:styleId="Footnote">
    <w:name w:val="Footnote"/>
    <w:link w:val="Footnote2"/>
    <w:qFormat/>
  </w:style>
  <w:style w:type="character" w:customStyle="1" w:styleId="Heading81">
    <w:name w:val="Heading 81"/>
    <w:qFormat/>
    <w:rPr>
      <w:b/>
    </w:rPr>
  </w:style>
  <w:style w:type="character" w:customStyle="1" w:styleId="ConsPlusNormal1">
    <w:name w:val="ConsPlusNormal1"/>
    <w:link w:val="ConsPlusNormal11"/>
    <w:qFormat/>
    <w:rPr>
      <w:rFonts w:ascii="Calibri" w:hAnsi="Calibri"/>
      <w:color w:val="000000"/>
      <w:spacing w:val="0"/>
      <w:sz w:val="22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41">
    <w:name w:val="Heading 41"/>
    <w:link w:val="Heading411"/>
    <w:qFormat/>
    <w:rPr>
      <w:rFonts w:asciiTheme="majorHAnsi" w:hAnsiTheme="majorHAnsi"/>
      <w:b/>
      <w:i/>
      <w:color w:val="4F81BD" w:themeColor="accent1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StrongEmphasis">
    <w:name w:val="Strong Emphasis"/>
    <w:basedOn w:val="DefaultParagraphFont1"/>
    <w:link w:val="StrongEmphasis2"/>
    <w:qFormat/>
    <w:rPr>
      <w:rFonts w:ascii="Times New Roman" w:hAnsi="Times New Roman"/>
      <w:b/>
      <w:color w:val="000000"/>
      <w:spacing w:val="0"/>
      <w:sz w:val="26"/>
    </w:rPr>
  </w:style>
  <w:style w:type="character" w:customStyle="1" w:styleId="white-space-normal1">
    <w:name w:val="white-space-normal1"/>
    <w:basedOn w:val="DefaultParagraphFont1"/>
    <w:link w:val="white-space-normal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6"/>
    </w:rPr>
  </w:style>
  <w:style w:type="character" w:customStyle="1" w:styleId="NVGBullet1">
    <w:name w:val="NVG Bullet1"/>
    <w:link w:val="NVGBullet11"/>
    <w:qFormat/>
    <w:rPr>
      <w:rFonts w:ascii="Arial" w:hAnsi="Arial"/>
      <w:sz w:val="24"/>
    </w:rPr>
  </w:style>
  <w:style w:type="character" w:customStyle="1" w:styleId="List1">
    <w:name w:val="List1"/>
    <w:basedOn w:val="Textbody"/>
    <w:qFormat/>
  </w:style>
  <w:style w:type="character" w:customStyle="1" w:styleId="aa">
    <w:name w:val="Колонтитулы"/>
    <w:link w:val="18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Heading511">
    <w:name w:val="Heading 511"/>
    <w:link w:val="Heading512"/>
    <w:qFormat/>
    <w:rPr>
      <w:b/>
      <w:i/>
    </w:rPr>
  </w:style>
  <w:style w:type="character" w:customStyle="1" w:styleId="Textbodyindent1">
    <w:name w:val="Text body indent1"/>
    <w:qFormat/>
    <w:rPr>
      <w:sz w:val="24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Contents91">
    <w:name w:val="Contents 91"/>
    <w:link w:val="Contents92"/>
    <w:qFormat/>
    <w:rPr>
      <w:rFonts w:ascii="XO Thames" w:hAnsi="XO Thames"/>
      <w:sz w:val="28"/>
    </w:rPr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text1">
    <w:name w:val="text1"/>
    <w:basedOn w:val="DefaultParagraphFont1"/>
    <w:link w:val="text11"/>
    <w:qFormat/>
    <w:rPr>
      <w:rFonts w:ascii="Times New Roman" w:hAnsi="Times New Roman"/>
      <w:color w:val="000000"/>
      <w:spacing w:val="0"/>
      <w:sz w:val="26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ContentsHeading1">
    <w:name w:val="Contents Heading1"/>
    <w:basedOn w:val="Heading11"/>
    <w:link w:val="ContentsHeading2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311">
    <w:name w:val="Heading 311"/>
    <w:link w:val="Heading312"/>
    <w:qFormat/>
    <w:rPr>
      <w:rFonts w:asciiTheme="majorHAnsi" w:hAnsiTheme="majorHAnsi"/>
      <w:b/>
      <w:color w:val="4F81BD" w:themeColor="accent1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styleId="ab">
    <w:name w:val="endnote reference"/>
    <w:rPr>
      <w:vertAlign w:val="superscript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711">
    <w:name w:val="Heading 711"/>
    <w:link w:val="Heading712"/>
    <w:qFormat/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Theme="majorHAnsi" w:hAnsiTheme="majorHAnsi"/>
      <w:b/>
      <w:i/>
      <w:color w:val="4F81BD" w:themeColor="accent1"/>
    </w:rPr>
  </w:style>
  <w:style w:type="character" w:customStyle="1" w:styleId="Footnote1">
    <w:name w:val="Footnote1"/>
    <w:link w:val="Footnote11"/>
    <w:qFormat/>
    <w:rPr>
      <w:sz w:val="20"/>
    </w:rPr>
  </w:style>
  <w:style w:type="character" w:customStyle="1" w:styleId="Heading811">
    <w:name w:val="Heading 811"/>
    <w:link w:val="Heading812"/>
    <w:qFormat/>
    <w:rPr>
      <w:b/>
    </w:rPr>
  </w:style>
  <w:style w:type="character" w:customStyle="1" w:styleId="Heading22">
    <w:name w:val="Heading 22"/>
    <w:qFormat/>
    <w:rPr>
      <w:rFonts w:asciiTheme="majorHAnsi" w:hAnsiTheme="majorHAnsi"/>
      <w:b/>
      <w:color w:val="4F81BD" w:themeColor="accent1"/>
    </w:rPr>
  </w:style>
  <w:style w:type="character" w:customStyle="1" w:styleId="ListParagraph1">
    <w:name w:val="List Paragraph1"/>
    <w:link w:val="ListParagraph11"/>
    <w:qFormat/>
  </w:style>
  <w:style w:type="character" w:customStyle="1" w:styleId="IndexHeading1">
    <w:name w:val="Index Heading1"/>
    <w:basedOn w:val="12"/>
    <w:qFormat/>
    <w:rPr>
      <w:rFonts w:ascii="Liberation Sans" w:hAnsi="Liberation Sans"/>
      <w:sz w:val="28"/>
    </w:rPr>
  </w:style>
  <w:style w:type="character" w:customStyle="1" w:styleId="Heading62">
    <w:name w:val="Heading 62"/>
    <w:qFormat/>
    <w:rPr>
      <w:i/>
    </w:rPr>
  </w:style>
  <w:style w:type="paragraph" w:customStyle="1" w:styleId="13">
    <w:name w:val="Заголовок1"/>
    <w:basedOn w:val="a"/>
    <w:next w:val="ac"/>
    <w:link w:val="1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11">
    <w:name w:val="Указатель1"/>
    <w:basedOn w:val="a"/>
    <w:link w:val="10"/>
    <w:qFormat/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styleId="20">
    <w:name w:val="toc 2"/>
    <w:next w:val="a"/>
    <w:uiPriority w:val="39"/>
    <w:rPr>
      <w:rFonts w:ascii="XO Thames" w:hAnsi="XO Thames"/>
      <w:sz w:val="28"/>
    </w:rPr>
  </w:style>
  <w:style w:type="paragraph" w:styleId="40">
    <w:name w:val="toc 4"/>
    <w:next w:val="a"/>
    <w:uiPriority w:val="39"/>
    <w:rPr>
      <w:rFonts w:ascii="XO Thames" w:hAnsi="XO Thames"/>
      <w:sz w:val="28"/>
    </w:rPr>
  </w:style>
  <w:style w:type="paragraph" w:customStyle="1" w:styleId="16">
    <w:name w:val="Символ сноски1"/>
    <w:link w:val="a7"/>
    <w:qFormat/>
    <w:rPr>
      <w:vertAlign w:val="superscript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styleId="60">
    <w:name w:val="toc 6"/>
    <w:next w:val="a"/>
    <w:uiPriority w:val="39"/>
    <w:rPr>
      <w:rFonts w:ascii="XO Thames" w:hAnsi="XO Thames"/>
      <w:sz w:val="28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styleId="70">
    <w:name w:val="toc 7"/>
    <w:next w:val="a"/>
    <w:uiPriority w:val="39"/>
    <w:rPr>
      <w:rFonts w:ascii="XO Thames" w:hAnsi="XO Thames"/>
      <w:sz w:val="28"/>
    </w:rPr>
  </w:style>
  <w:style w:type="paragraph" w:customStyle="1" w:styleId="Textbodyindent2">
    <w:name w:val="Text body indent2"/>
    <w:link w:val="Textbodyindent"/>
    <w:qFormat/>
    <w:rPr>
      <w:sz w:val="24"/>
    </w:rPr>
  </w:style>
  <w:style w:type="paragraph" w:customStyle="1" w:styleId="15">
    <w:name w:val="Символ концевой сноски1"/>
    <w:link w:val="a6"/>
    <w:qFormat/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f">
    <w:name w:val="index heading"/>
    <w:basedOn w:val="13"/>
  </w:style>
  <w:style w:type="paragraph" w:styleId="af0">
    <w:name w:val="TOC Heading"/>
    <w:basedOn w:val="1"/>
    <w:next w:val="a"/>
    <w:qFormat/>
    <w:pPr>
      <w:spacing w:line="276" w:lineRule="auto"/>
      <w:outlineLvl w:val="8"/>
    </w:pPr>
  </w:style>
  <w:style w:type="paragraph" w:customStyle="1" w:styleId="copytarget11">
    <w:name w:val="copy_target11"/>
    <w:basedOn w:val="DefaultParagraphFont11"/>
    <w:link w:val="copytarget1"/>
    <w:qFormat/>
  </w:style>
  <w:style w:type="paragraph" w:customStyle="1" w:styleId="Emphasis11">
    <w:name w:val="Emphasis11"/>
    <w:basedOn w:val="DefaultParagraphFont11"/>
    <w:link w:val="Emphasis1"/>
    <w:qFormat/>
    <w:rPr>
      <w:i/>
    </w:rPr>
  </w:style>
  <w:style w:type="paragraph" w:customStyle="1" w:styleId="FootnoteSymbol1">
    <w:name w:val="Footnote Symbol1"/>
    <w:link w:val="FootnoteSymbol"/>
    <w:qFormat/>
    <w:pPr>
      <w:ind w:firstLine="709"/>
      <w:jc w:val="both"/>
    </w:pPr>
    <w:rPr>
      <w:vertAlign w:val="superscript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Heading111">
    <w:name w:val="Heading 111"/>
    <w:link w:val="Heading11"/>
    <w:qFormat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user1">
    <w:name w:val="Указатель (user)"/>
    <w:basedOn w:val="a"/>
    <w:qFormat/>
  </w:style>
  <w:style w:type="paragraph" w:styleId="30">
    <w:name w:val="toc 3"/>
    <w:next w:val="a"/>
    <w:uiPriority w:val="39"/>
    <w:rPr>
      <w:rFonts w:ascii="XO Thames" w:hAnsi="XO Thames"/>
      <w:sz w:val="28"/>
    </w:rPr>
  </w:style>
  <w:style w:type="paragraph" w:customStyle="1" w:styleId="Internetlink1">
    <w:name w:val="Internet link1"/>
    <w:basedOn w:val="DefaultParagraphFont11"/>
    <w:link w:val="Internetlink"/>
    <w:qFormat/>
    <w:rPr>
      <w:color w:val="0563C1"/>
      <w:u w:val="single"/>
    </w:rPr>
  </w:style>
  <w:style w:type="paragraph" w:customStyle="1" w:styleId="user2">
    <w:name w:val="Заголовок (user)"/>
    <w:basedOn w:val="a"/>
    <w:next w:val="ac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Emphasis2">
    <w:name w:val="Emphasis2"/>
    <w:basedOn w:val="DefaultParagraphFont11"/>
    <w:qFormat/>
    <w:rPr>
      <w:i/>
    </w:rPr>
  </w:style>
  <w:style w:type="paragraph" w:customStyle="1" w:styleId="Times1211">
    <w:name w:val="Times 1211"/>
    <w:basedOn w:val="a"/>
    <w:link w:val="Times121"/>
    <w:qFormat/>
    <w:pPr>
      <w:ind w:firstLine="567"/>
    </w:pPr>
  </w:style>
  <w:style w:type="paragraph" w:customStyle="1" w:styleId="Heading611">
    <w:name w:val="Heading 611"/>
    <w:link w:val="Heading61"/>
    <w:qFormat/>
    <w:rPr>
      <w:i/>
    </w:rPr>
  </w:style>
  <w:style w:type="paragraph" w:customStyle="1" w:styleId="user3">
    <w:name w:val="Содержимое врезки (user)"/>
    <w:basedOn w:val="a"/>
    <w:qFormat/>
  </w:style>
  <w:style w:type="paragraph" w:customStyle="1" w:styleId="Heading211">
    <w:name w:val="Heading 211"/>
    <w:link w:val="Heading21"/>
    <w:qFormat/>
    <w:rPr>
      <w:rFonts w:asciiTheme="majorHAnsi" w:hAnsiTheme="majorHAnsi"/>
      <w:b/>
      <w:color w:val="4F81BD" w:themeColor="accent1"/>
    </w:rPr>
  </w:style>
  <w:style w:type="paragraph" w:customStyle="1" w:styleId="Default11">
    <w:name w:val="Default11"/>
    <w:link w:val="Default1"/>
    <w:qFormat/>
    <w:rPr>
      <w:sz w:val="24"/>
    </w:rPr>
  </w:style>
  <w:style w:type="paragraph" w:customStyle="1" w:styleId="StrongEmphasis1">
    <w:name w:val="Strong Emphasis1"/>
    <w:basedOn w:val="DefaultParagraphFont11"/>
    <w:qFormat/>
    <w:rPr>
      <w:b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FootnoteSymbol2">
    <w:name w:val="Footnote Symbol2"/>
    <w:qFormat/>
    <w:rPr>
      <w:vertAlign w:val="superscript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14">
    <w:name w:val="Содержимое врезки1"/>
    <w:basedOn w:val="a"/>
    <w:link w:val="a4"/>
    <w:qFormat/>
  </w:style>
  <w:style w:type="paragraph" w:customStyle="1" w:styleId="Internetlink2">
    <w:name w:val="Internet link2"/>
    <w:basedOn w:val="DefaultParagraphFont11"/>
    <w:qFormat/>
    <w:rPr>
      <w:color w:val="0563C1"/>
      <w:u w:val="single"/>
    </w:rPr>
  </w:style>
  <w:style w:type="paragraph" w:customStyle="1" w:styleId="Footnote2">
    <w:name w:val="Footnote2"/>
    <w:basedOn w:val="a"/>
    <w:link w:val="Footnote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Calibri" w:hAnsi="Calibri"/>
      <w:sz w:val="22"/>
    </w:rPr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ing411">
    <w:name w:val="Heading 411"/>
    <w:link w:val="Heading41"/>
    <w:qFormat/>
    <w:rPr>
      <w:rFonts w:asciiTheme="majorHAnsi" w:hAnsiTheme="majorHAnsi"/>
      <w:b/>
      <w:i/>
      <w:color w:val="4F81BD" w:themeColor="accent1"/>
    </w:rPr>
  </w:style>
  <w:style w:type="paragraph" w:customStyle="1" w:styleId="18">
    <w:name w:val="Колонтитулы1"/>
    <w:link w:val="aa"/>
    <w:qFormat/>
    <w:pPr>
      <w:ind w:firstLine="709"/>
      <w:jc w:val="both"/>
    </w:pPr>
    <w:rPr>
      <w:rFonts w:ascii="XO Thames" w:hAnsi="XO Thames"/>
      <w:sz w:val="28"/>
    </w:rPr>
  </w:style>
  <w:style w:type="paragraph" w:customStyle="1" w:styleId="StrongEmphasis2">
    <w:name w:val="Strong Emphasis2"/>
    <w:basedOn w:val="DefaultParagraphFont11"/>
    <w:link w:val="StrongEmphasis"/>
    <w:qFormat/>
    <w:rPr>
      <w:b/>
    </w:rPr>
  </w:style>
  <w:style w:type="paragraph" w:customStyle="1" w:styleId="white-space-normal11">
    <w:name w:val="white-space-normal11"/>
    <w:basedOn w:val="DefaultParagraphFont11"/>
    <w:link w:val="white-space-normal1"/>
    <w:qFormat/>
  </w:style>
  <w:style w:type="paragraph" w:styleId="9">
    <w:name w:val="toc 9"/>
    <w:next w:val="a"/>
    <w:uiPriority w:val="39"/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  <w:pPr>
      <w:ind w:firstLine="709"/>
      <w:jc w:val="both"/>
    </w:pPr>
  </w:style>
  <w:style w:type="paragraph" w:customStyle="1" w:styleId="NVGBullet11">
    <w:name w:val="NVG Bullet11"/>
    <w:basedOn w:val="a"/>
    <w:link w:val="NVGBullet1"/>
    <w:qFormat/>
    <w:pPr>
      <w:numPr>
        <w:numId w:val="3"/>
      </w:numPr>
      <w:spacing w:before="120"/>
    </w:pPr>
    <w:rPr>
      <w:rFonts w:ascii="Arial" w:hAnsi="Arial"/>
      <w:sz w:val="24"/>
    </w:rPr>
  </w:style>
  <w:style w:type="paragraph" w:styleId="80">
    <w:name w:val="toc 8"/>
    <w:next w:val="a"/>
    <w:uiPriority w:val="39"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512">
    <w:name w:val="Heading 512"/>
    <w:link w:val="Heading511"/>
    <w:qFormat/>
    <w:rPr>
      <w:b/>
      <w:i/>
    </w:rPr>
  </w:style>
  <w:style w:type="paragraph" w:styleId="af1">
    <w:name w:val="Body Text Indent"/>
    <w:basedOn w:val="a"/>
    <w:pPr>
      <w:spacing w:after="120"/>
      <w:ind w:firstLine="0"/>
    </w:pPr>
    <w:rPr>
      <w:sz w:val="24"/>
    </w:rPr>
  </w:style>
  <w:style w:type="paragraph" w:styleId="50">
    <w:name w:val="toc 5"/>
    <w:next w:val="a"/>
    <w:uiPriority w:val="39"/>
    <w:rPr>
      <w:rFonts w:ascii="XO Thames" w:hAnsi="XO Thames"/>
      <w:sz w:val="28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text11">
    <w:name w:val="text11"/>
    <w:basedOn w:val="DefaultParagraphFont11"/>
    <w:link w:val="text1"/>
    <w:qFormat/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ContentsHeading2">
    <w:name w:val="Contents Heading2"/>
    <w:basedOn w:val="Heading111"/>
    <w:link w:val="ContentsHeading1"/>
    <w:qFormat/>
  </w:style>
  <w:style w:type="paragraph" w:customStyle="1" w:styleId="Heading312">
    <w:name w:val="Heading 312"/>
    <w:link w:val="Heading311"/>
    <w:qFormat/>
    <w:rPr>
      <w:rFonts w:asciiTheme="majorHAnsi" w:hAnsiTheme="majorHAnsi"/>
      <w:b/>
      <w:color w:val="4F81BD" w:themeColor="accent1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EndnoteSymbol">
    <w:name w:val="Endnote Symbol"/>
    <w:qFormat/>
    <w:rPr>
      <w:vertAlign w:val="superscript"/>
    </w:rPr>
  </w:style>
  <w:style w:type="paragraph" w:styleId="af2">
    <w:name w:val="Subtitle"/>
    <w:next w:val="a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paragraph" w:customStyle="1" w:styleId="Heading712">
    <w:name w:val="Heading 712"/>
    <w:link w:val="Heading711"/>
    <w:qFormat/>
  </w:style>
  <w:style w:type="paragraph" w:styleId="af3">
    <w:name w:val="Title"/>
    <w:next w:val="a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paragraph" w:customStyle="1" w:styleId="Footnote11">
    <w:name w:val="Footnote11"/>
    <w:basedOn w:val="a"/>
    <w:link w:val="Footnote1"/>
    <w:qFormat/>
    <w:pPr>
      <w:ind w:firstLine="0"/>
    </w:pPr>
    <w:rPr>
      <w:sz w:val="20"/>
    </w:rPr>
  </w:style>
  <w:style w:type="paragraph" w:customStyle="1" w:styleId="Heading812">
    <w:name w:val="Heading 812"/>
    <w:link w:val="Heading811"/>
    <w:qFormat/>
    <w:rPr>
      <w:b/>
    </w:rPr>
  </w:style>
  <w:style w:type="paragraph" w:customStyle="1" w:styleId="ListParagraph11">
    <w:name w:val="List Paragraph11"/>
    <w:basedOn w:val="a"/>
    <w:link w:val="ListParagraph1"/>
    <w:qFormat/>
    <w:pPr>
      <w:contextualSpacing/>
    </w:pPr>
  </w:style>
  <w:style w:type="paragraph" w:styleId="af4">
    <w:name w:val="footnote text"/>
    <w:basedOn w:val="a"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Гиперссылка1"/>
    <w:link w:val="a9"/>
    <w:rsid w:val="00E6749E"/>
    <w:pPr>
      <w:suppressAutoHyphens w:val="0"/>
    </w:pPr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Марина Сергеевна</dc:creator>
  <dc:description/>
  <cp:lastModifiedBy>Акимова Марина Сергеевна</cp:lastModifiedBy>
  <cp:revision>8</cp:revision>
  <cp:lastPrinted>2026-05-13T08:17:00Z</cp:lastPrinted>
  <dcterms:created xsi:type="dcterms:W3CDTF">2024-12-17T12:07:00Z</dcterms:created>
  <dcterms:modified xsi:type="dcterms:W3CDTF">2026-05-15T11:24:00Z</dcterms:modified>
  <dc:language>ru-RU</dc:language>
</cp:coreProperties>
</file>