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</w:rPr>
      </w:pPr>
      <w:r>
        <w:rPr>
          <w:b/>
        </w:rPr>
        <w:t xml:space="preserve">ТЕХНИЧЕСКИЕ ТРЕБОВАНИЯ </w:t>
      </w:r>
    </w:p>
    <w:p>
      <w:pPr>
        <w:pStyle w:val="Normal"/>
        <w:keepNext w:val="true"/>
        <w:keepLines/>
        <w:tabs>
          <w:tab w:val="clear" w:pos="708"/>
          <w:tab w:val="left" w:pos="284" w:leader="none"/>
        </w:tabs>
        <w:spacing w:lineRule="atLeast" w:line="100"/>
        <w:jc w:val="center"/>
        <w:rPr>
          <w:i/>
          <w:i/>
        </w:rPr>
      </w:pPr>
      <w:r>
        <w:rPr>
          <w:b/>
          <w:bCs/>
          <w:i/>
          <w:iCs/>
          <w:szCs w:val="24"/>
        </w:rPr>
        <w:t>ОКПД2 [61.90.10] «Оказание услуг по мониторингу и технической поддержке систем спутникового мониторинга Глонасс/</w:t>
      </w:r>
      <w:r>
        <w:rPr>
          <w:b/>
          <w:bCs/>
          <w:i/>
          <w:iCs/>
          <w:szCs w:val="24"/>
          <w:lang w:val="en-US"/>
        </w:rPr>
        <w:t>GPS</w:t>
      </w:r>
      <w:r>
        <w:rPr>
          <w:b/>
          <w:bCs/>
          <w:i/>
          <w:iCs/>
          <w:szCs w:val="24"/>
        </w:rPr>
        <w:t xml:space="preserve">, установленных на транспортных средствах Жигулевского филиала АО «Гидроремонт-ВКК» в г.Жигулевск с использование программного обеспечения </w:t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Лот № </w:t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</w:rPr>
      </w:pPr>
      <w:r>
        <w:rPr>
          <w:b/>
          <w:bCs/>
          <w:i/>
        </w:rPr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b/>
          <w:caps/>
          <w:sz w:val="24"/>
          <w:szCs w:val="24"/>
        </w:rPr>
      </w:pPr>
      <w:bookmarkStart w:id="0" w:name="_Toc54643694"/>
      <w:r>
        <w:rPr>
          <w:b/>
          <w:sz w:val="24"/>
          <w:szCs w:val="24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567" w:hanging="432"/>
        <w:rPr/>
      </w:pPr>
      <w:bookmarkStart w:id="1" w:name="_Toc46743506"/>
      <w:bookmarkStart w:id="2" w:name="_Toc54643696"/>
      <w:r>
        <w:rPr>
          <w:b/>
        </w:rPr>
        <w:t>Наименование закупаемой продукции</w:t>
      </w:r>
      <w:bookmarkEnd w:id="1"/>
      <w:bookmarkEnd w:id="2"/>
      <w:r>
        <w:rPr>
          <w:b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hanging="6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bCs/>
          <w:sz w:val="24"/>
          <w:szCs w:val="24"/>
          <w:lang w:eastAsia="x-none"/>
        </w:rPr>
        <w:t xml:space="preserve">ОКПД2 [61.90.10] </w:t>
      </w:r>
      <w:r>
        <w:rPr>
          <w:rFonts w:eastAsia="Calibri"/>
          <w:iCs/>
          <w:sz w:val="24"/>
          <w:szCs w:val="24"/>
          <w:lang w:eastAsia="x-none"/>
        </w:rPr>
        <w:t>«</w:t>
      </w:r>
      <w:r>
        <w:rPr>
          <w:rFonts w:eastAsia="Calibri"/>
          <w:bCs/>
          <w:iCs/>
          <w:sz w:val="24"/>
          <w:szCs w:val="24"/>
          <w:lang w:eastAsia="x-none"/>
        </w:rPr>
        <w:t>Оказание услуг по мониторингу и технической поддержке систем спутникового мониторинга Глонасс/</w:t>
      </w:r>
      <w:r>
        <w:rPr>
          <w:rFonts w:eastAsia="Calibri"/>
          <w:bCs/>
          <w:iCs/>
          <w:sz w:val="24"/>
          <w:szCs w:val="24"/>
          <w:lang w:val="en-US" w:eastAsia="x-none"/>
        </w:rPr>
        <w:t>GPS</w:t>
      </w:r>
      <w:r>
        <w:rPr>
          <w:rFonts w:eastAsia="Calibri"/>
          <w:bCs/>
          <w:iCs/>
          <w:sz w:val="24"/>
          <w:szCs w:val="24"/>
          <w:lang w:eastAsia="x-none"/>
        </w:rPr>
        <w:t>, установленных на транспортных средствах</w:t>
      </w:r>
      <w:r>
        <w:rPr>
          <w:rFonts w:eastAsia="Calibri"/>
          <w:iCs/>
          <w:sz w:val="22"/>
          <w:szCs w:val="24"/>
          <w:lang w:eastAsia="x-none"/>
        </w:rPr>
        <w:t xml:space="preserve"> </w:t>
      </w:r>
      <w:r>
        <w:rPr>
          <w:rFonts w:eastAsia="Calibri"/>
          <w:iCs/>
          <w:sz w:val="24"/>
          <w:szCs w:val="24"/>
          <w:lang w:eastAsia="x-none"/>
        </w:rPr>
        <w:t xml:space="preserve">Жигулевского филиала АО «Гидроремонт-ВКК» в г. Жигулевск» </w:t>
      </w:r>
      <w:r>
        <w:rPr>
          <w:rFonts w:eastAsia="Calibri"/>
          <w:bCs/>
          <w:iCs/>
          <w:sz w:val="24"/>
          <w:szCs w:val="24"/>
          <w:lang w:eastAsia="x-none"/>
        </w:rPr>
        <w:t>с использованием программного обеспечения</w:t>
      </w:r>
      <w:r>
        <w:rPr>
          <w:rFonts w:eastAsia="Calibri"/>
          <w:iCs/>
          <w:sz w:val="24"/>
          <w:szCs w:val="24"/>
          <w:lang w:eastAsia="x-none"/>
        </w:rPr>
        <w:t>.</w:t>
      </w:r>
      <w:bookmarkStart w:id="3" w:name="_Toc46743507"/>
    </w:p>
    <w:p>
      <w:pPr>
        <w:pStyle w:val="Heading4"/>
        <w:numPr>
          <w:ilvl w:val="1"/>
          <w:numId w:val="3"/>
        </w:numPr>
        <w:ind w:left="567" w:hanging="432"/>
        <w:rPr>
          <w:b/>
        </w:rPr>
      </w:pPr>
      <w:bookmarkStart w:id="4" w:name="_Toc54643697"/>
      <w:r>
        <w:rPr>
          <w:b/>
        </w:rPr>
        <w:t xml:space="preserve">Цель </w:t>
      </w:r>
      <w:bookmarkEnd w:id="3"/>
      <w:r>
        <w:rPr>
          <w:b/>
        </w:rPr>
        <w:t xml:space="preserve">оказания услуг </w:t>
      </w:r>
      <w:bookmarkEnd w:id="4"/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color w:val="000000" w:themeColor="text1"/>
          <w:sz w:val="22"/>
          <w:szCs w:val="24"/>
        </w:rPr>
      </w:pPr>
      <w:r>
        <w:rPr>
          <w:bCs/>
          <w:iCs/>
          <w:sz w:val="24"/>
          <w:szCs w:val="24"/>
        </w:rPr>
        <w:t xml:space="preserve">Обеспечение </w:t>
      </w:r>
      <w:r>
        <w:rPr>
          <w:iCs/>
          <w:sz w:val="24"/>
          <w:szCs w:val="24"/>
        </w:rPr>
        <w:t xml:space="preserve">непрерывного </w:t>
      </w:r>
      <w:r>
        <w:rPr>
          <w:iCs/>
          <w:sz w:val="24"/>
          <w:szCs w:val="24"/>
          <w:lang w:val="en-US"/>
        </w:rPr>
        <w:t>on</w:t>
      </w:r>
      <w:r>
        <w:rPr>
          <w:iCs/>
          <w:sz w:val="24"/>
          <w:szCs w:val="24"/>
        </w:rPr>
        <w:t>-</w:t>
      </w:r>
      <w:r>
        <w:rPr>
          <w:iCs/>
          <w:sz w:val="24"/>
          <w:szCs w:val="24"/>
          <w:lang w:val="en-US"/>
        </w:rPr>
        <w:t>Line</w:t>
      </w:r>
      <w:r>
        <w:rPr>
          <w:iCs/>
          <w:sz w:val="24"/>
          <w:szCs w:val="24"/>
        </w:rPr>
        <w:t xml:space="preserve"> контроля работы транспорта</w:t>
      </w:r>
      <w:r>
        <w:rPr>
          <w:bCs/>
          <w:iCs/>
          <w:sz w:val="24"/>
          <w:szCs w:val="24"/>
        </w:rPr>
        <w:t xml:space="preserve"> Жигулевского филиала АО «Гидроремонт-ВКК» в г. Жигулевск </w:t>
      </w:r>
      <w:r>
        <w:rPr>
          <w:iCs/>
          <w:sz w:val="24"/>
          <w:szCs w:val="24"/>
        </w:rPr>
        <w:t>системой мониторинга учета и контроля автотранспорта</w:t>
      </w:r>
      <w:r>
        <w:rPr>
          <w:iCs/>
          <w:color w:val="000000" w:themeColor="text1"/>
          <w:sz w:val="22"/>
          <w:szCs w:val="24"/>
        </w:rPr>
        <w:t>.</w:t>
      </w:r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0"/>
        </w:numPr>
        <w:ind w:left="567" w:hanging="0"/>
        <w:jc w:val="center"/>
        <w:rPr>
          <w:b/>
        </w:rPr>
      </w:pPr>
      <w:r>
        <w:rPr>
          <w:b/>
          <w:lang w:val="ru-RU"/>
        </w:rPr>
        <w:t>2. Требования к продукции.</w:t>
      </w:r>
    </w:p>
    <w:p>
      <w:pPr>
        <w:pStyle w:val="Normal"/>
        <w:ind w:left="567" w:hanging="432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left="567" w:hanging="43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  Требования к объемам и срокам оказания</w:t>
      </w:r>
    </w:p>
    <w:p>
      <w:pPr>
        <w:pStyle w:val="Normal"/>
        <w:ind w:left="567" w:hanging="432"/>
        <w:rPr>
          <w:b/>
          <w:sz w:val="24"/>
          <w:szCs w:val="24"/>
        </w:rPr>
      </w:pPr>
      <w:r>
        <w:rPr>
          <w:b/>
          <w:sz w:val="24"/>
          <w:szCs w:val="24"/>
        </w:rPr>
        <w:t>2.1.1.</w:t>
        <w:tab/>
        <w:t>Требования к перечню и объему услуг</w:t>
      </w:r>
    </w:p>
    <w:p>
      <w:pPr>
        <w:pStyle w:val="Normal"/>
        <w:ind w:left="567" w:hanging="432"/>
        <w:rPr>
          <w:sz w:val="24"/>
          <w:szCs w:val="24"/>
        </w:rPr>
      </w:pPr>
      <w:r>
        <w:rPr>
          <w:sz w:val="24"/>
          <w:szCs w:val="24"/>
        </w:rPr>
        <w:t>Таблица 2. Перечень и объем оказываемых услуг</w:t>
      </w:r>
    </w:p>
    <w:p>
      <w:pPr>
        <w:pStyle w:val="Normal"/>
        <w:ind w:left="567" w:hanging="432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12" w:type="dxa"/>
        <w:jc w:val="left"/>
        <w:tblInd w:w="2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3"/>
        <w:gridCol w:w="6117"/>
        <w:gridCol w:w="1433"/>
        <w:gridCol w:w="1418"/>
      </w:tblGrid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/>
            </w:pPr>
            <w:r>
              <w:rPr>
                <w:rStyle w:val="Strong"/>
                <w:b w:val="false"/>
              </w:rPr>
              <w:t>Мониториг и техническая поддержка</w:t>
            </w:r>
            <w:r>
              <w:rPr>
                <w:bCs w:val="false"/>
              </w:rPr>
              <w:t xml:space="preserve"> автотранспорта </w:t>
            </w:r>
            <w:r>
              <w:rPr>
                <w:rStyle w:val="Strong"/>
                <w:b w:val="false"/>
              </w:rPr>
              <w:t>в целях определения местоположения транспортных средств (далее ТС) Заказчика и предоставления отчетов  программного обеспечения,  путем записи времени и маршрута в виде точек с географическими координатами и передачи данных на сервер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2.</w:t>
            </w:r>
          </w:p>
        </w:tc>
        <w:tc>
          <w:tcPr>
            <w:tcW w:w="6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/>
            </w:pPr>
            <w:r>
              <w:rPr>
                <w:rStyle w:val="Strong"/>
                <w:b w:val="false"/>
              </w:rPr>
              <w:t>Создание личного доступа Заказчику к Web-интерфейсу,  к месту хранения и просмотру информации о местонахождении ТС Заказчика с различным разграничением прав доступа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3.</w:t>
            </w:r>
          </w:p>
        </w:tc>
        <w:tc>
          <w:tcPr>
            <w:tcW w:w="6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/>
            </w:pPr>
            <w:r>
              <w:rPr>
                <w:rStyle w:val="Strong"/>
                <w:b w:val="false"/>
              </w:rPr>
              <w:t>Предоставление учетной записи Web-интерфейса для мониторинга ТС Заказчика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4.</w:t>
            </w:r>
          </w:p>
        </w:tc>
        <w:tc>
          <w:tcPr>
            <w:tcW w:w="6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/>
            </w:pPr>
            <w:r>
              <w:rPr>
                <w:rStyle w:val="Strong"/>
                <w:b w:val="false"/>
              </w:rPr>
              <w:t>Сервисноое обслуживанию терминалов, установленных на ТС Заказчика для устранения неполадок в работе оборудования (при условии наличия в месте эксплуатации ТС устойчивого сигнала сотовой связи, установленной в навигационном оборудовании)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5.</w:t>
            </w:r>
          </w:p>
        </w:tc>
        <w:tc>
          <w:tcPr>
            <w:tcW w:w="6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keepNext w:val="false"/>
              <w:widowControl w:val="false"/>
              <w:numPr>
                <w:ilvl w:val="0"/>
              </w:numPr>
              <w:spacing w:before="0" w:after="0"/>
              <w:ind w:left="0" w:hanging="0"/>
              <w:rPr/>
            </w:pPr>
            <w:r>
              <w:rPr>
                <w:rStyle w:val="Strong"/>
                <w:b w:val="false"/>
              </w:rPr>
              <w:t>Диагностика работы терминалов при проведении плановых осмотров в присутствии представителя Заказчика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6.</w:t>
            </w:r>
          </w:p>
        </w:tc>
        <w:tc>
          <w:tcPr>
            <w:tcW w:w="6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/>
            </w:pPr>
            <w:r>
              <w:rPr>
                <w:rStyle w:val="Strong"/>
                <w:b w:val="false"/>
              </w:rPr>
              <w:t>Восстановление работоспособности терминалов, в том числе монтаж/демонтаж (если потребуется)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7.</w:t>
            </w:r>
          </w:p>
        </w:tc>
        <w:tc>
          <w:tcPr>
            <w:tcW w:w="6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keepNext w:val="false"/>
              <w:widowControl w:val="false"/>
              <w:numPr>
                <w:ilvl w:val="0"/>
              </w:numPr>
              <w:spacing w:before="0" w:after="0"/>
              <w:ind w:left="0" w:hanging="0"/>
              <w:rPr/>
            </w:pPr>
            <w:r>
              <w:rPr>
                <w:rStyle w:val="Strong"/>
                <w:b w:val="false"/>
                <w:lang w:val="ru-RU"/>
              </w:rPr>
              <w:t>П</w:t>
            </w:r>
            <w:r>
              <w:rPr>
                <w:rStyle w:val="Strong"/>
                <w:b w:val="false"/>
              </w:rPr>
              <w:t>редоставление SIM –карт, замена SIM –карты терминала если потребуется</w:t>
            </w:r>
            <w:r>
              <w:rPr>
                <w:rStyle w:val="Strong"/>
                <w:b w:val="false"/>
                <w:lang w:val="ru-RU"/>
              </w:rPr>
              <w:t>.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8.</w:t>
            </w:r>
          </w:p>
        </w:tc>
        <w:tc>
          <w:tcPr>
            <w:tcW w:w="6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>
                <w:lang w:val="ru-RU"/>
              </w:rPr>
            </w:pPr>
            <w:r>
              <w:rPr/>
              <w:t>Устранение неисправностей и сбоев программного обеспечения, реагирование в течении 1 часа (удаленная проверка, а при необходимости – выезд специалиста для устранения неполадок, совершения всех необходимых действий по восстановлению работоспособности оборудования в течении 1 рабочего дня с момента обращения Заказчика)</w:t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>
      <w:pPr>
        <w:pStyle w:val="Normal"/>
        <w:ind w:left="567" w:hanging="43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67" w:hanging="432"/>
        <w:rPr>
          <w:rStyle w:val="Style8"/>
          <w:b w:val="false"/>
          <w:i w:val="false"/>
          <w:i w:val="false"/>
          <w:color w:val="000000" w:themeColor="text1"/>
          <w:shd w:fill="auto" w:val="clear"/>
        </w:rPr>
      </w:pPr>
      <w:r>
        <w:rPr>
          <w:b w:val="false"/>
          <w:i w:val="false"/>
          <w:color w:val="000000" w:themeColor="text1"/>
          <w:shd w:fill="auto" w:val="clear"/>
        </w:rPr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>
          <w:rStyle w:val="Style8"/>
          <w:b w:val="false"/>
          <w:bCs/>
          <w:color w:val="000000" w:themeColor="text1"/>
          <w:sz w:val="24"/>
          <w:szCs w:val="24"/>
        </w:rPr>
      </w:pPr>
      <w:bookmarkStart w:id="5" w:name="_Toc54643699"/>
      <w:r>
        <w:rPr>
          <w:sz w:val="24"/>
          <w:szCs w:val="24"/>
        </w:rPr>
        <w:t>Перечень объектов заказчика</w:t>
      </w:r>
      <w:bookmarkEnd w:id="5"/>
      <w:r>
        <w:rPr>
          <w:sz w:val="24"/>
          <w:szCs w:val="24"/>
        </w:rPr>
        <w:t>.</w:t>
      </w:r>
    </w:p>
    <w:p>
      <w:pPr>
        <w:pStyle w:val="Normal"/>
        <w:rPr>
          <w:rStyle w:val="Style8"/>
          <w:b w:val="false"/>
          <w:bCs/>
          <w:color w:val="000000" w:themeColor="text1"/>
          <w:sz w:val="24"/>
          <w:szCs w:val="24"/>
        </w:rPr>
      </w:pPr>
      <w:r>
        <w:rPr>
          <w:b w:val="false"/>
          <w:bCs/>
          <w:color w:val="000000" w:themeColor="text1"/>
          <w:sz w:val="24"/>
          <w:szCs w:val="24"/>
        </w:rPr>
      </w:r>
    </w:p>
    <w:tbl>
      <w:tblPr>
        <w:tblW w:w="9887" w:type="dxa"/>
        <w:jc w:val="left"/>
        <w:tblInd w:w="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4963"/>
        <w:gridCol w:w="2685"/>
        <w:gridCol w:w="1563"/>
      </w:tblGrid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 xml:space="preserve">№ </w:t>
            </w:r>
            <w:r>
              <w:rPr>
                <w:sz w:val="24"/>
                <w:szCs w:val="24"/>
                <w:lang w:eastAsia="x-none"/>
              </w:rPr>
              <w:t>п/п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  <w:lang w:val="x-none" w:eastAsia="x-none"/>
              </w:rPr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VIN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4"/>
                <w:szCs w:val="24"/>
              </w:rPr>
              <w:t>Рег.знак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1.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X9L212300B0368794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р474вх163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JTNBV58E003530535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о704ск163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3.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JTNBV58E20J149958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р373вх163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4.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r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AMRY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XW7BK4FK40S000633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е920хе763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5.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Volkswagen 7HC Caravelle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WV2ZZZ7HZDH033352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с810нн163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6.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РЕНО MEGANE II EXE 16110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VF1LM180H37928761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а916мм163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7.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ВИС 234700-40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X6D234700C1009524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р826ху163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8.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GAZelle NEXT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X96A32R33M0917767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е887ак763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9.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GAZelle NEXT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X96A22R33M282455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е838ак763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10.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ГАЗ 330232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X96330202B2422550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н914ух163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11.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ГАЗ 33022Z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X9U33022Z60002924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е420ер163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12.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ГАЗ 330232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X96330232A0690172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н691он163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13.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ГАЗ-САЗ-35071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X3E350710B0009209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р141вх163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14.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К2030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ХТС536055М1450450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е113на763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15.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5328 МН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XUY5328MHE0000044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у172ар163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16.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Амкодор 342В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Y342B0000122311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63СУ8870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17.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ЭБП-9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0021/00802414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63СУ2432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18.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Мини-погрузчик ANT-1000.01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ANT-2254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63АХ5052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19.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CP-LF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XJGAMACPLFL600386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к595мм763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20.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278813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Х8В278813В0007579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к985ср763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21.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CHERY RF244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RF-GP02798H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76ХН1799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eastAsia="x-none"/>
              </w:rPr>
              <w:t>22.</w:t>
            </w:r>
          </w:p>
        </w:tc>
        <w:tc>
          <w:tcPr>
            <w:tcW w:w="49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Чайка-Сервис</w:t>
            </w:r>
          </w:p>
        </w:tc>
        <w:tc>
          <w:tcPr>
            <w:tcW w:w="2685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  <w:lang w:val="en-US"/>
              </w:rPr>
              <w:t>XUB2784RF0000004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</w:rPr>
              <w:t>х774ау763</w:t>
            </w:r>
          </w:p>
        </w:tc>
      </w:tr>
    </w:tbl>
    <w:p>
      <w:pPr>
        <w:pStyle w:val="Normal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>
          <w:b/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ru-RU"/>
        </w:rPr>
        <w:t xml:space="preserve">2.1.2. </w:t>
      </w:r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r>
        <w:rPr>
          <w:b/>
          <w:sz w:val="24"/>
          <w:szCs w:val="24"/>
          <w:lang w:val="ru-RU"/>
        </w:rPr>
        <w:t>оказания услуг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3. </w:t>
      </w:r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r>
        <w:rPr>
          <w:sz w:val="24"/>
          <w:szCs w:val="24"/>
          <w:lang w:val="ru-RU"/>
        </w:rPr>
        <w:t>оказания услуг</w:t>
      </w:r>
    </w:p>
    <w:tbl>
      <w:tblPr>
        <w:tblW w:w="10093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6"/>
        <w:gridCol w:w="4819"/>
        <w:gridCol w:w="2422"/>
        <w:gridCol w:w="2255"/>
      </w:tblGrid>
      <w:tr>
        <w:trPr>
          <w:trHeight w:val="1052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793" w:hRule="atLeast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Cs/>
                <w:sz w:val="24"/>
                <w:szCs w:val="24"/>
              </w:rPr>
              <w:t>ОКПД2 [61.90.10] «Оказание услуг по мониторингу и технической поддержке систем спутникового мониторинга Глонасс/</w:t>
            </w:r>
            <w:r>
              <w:rPr>
                <w:bCs/>
                <w:sz w:val="24"/>
                <w:szCs w:val="24"/>
                <w:lang w:val="en-US"/>
              </w:rPr>
              <w:t>GPS</w:t>
            </w:r>
            <w:r>
              <w:rPr>
                <w:bCs/>
                <w:sz w:val="24"/>
                <w:szCs w:val="24"/>
              </w:rPr>
              <w:t>, установленных на транспортных средствах</w:t>
            </w:r>
            <w:r>
              <w:rPr>
                <w:sz w:val="24"/>
                <w:szCs w:val="24"/>
              </w:rPr>
              <w:t xml:space="preserve"> Жигулевского филиала АО «Гидроремонт-ВКК» в г. Жигулевск </w:t>
            </w:r>
            <w:r>
              <w:rPr>
                <w:bCs/>
                <w:sz w:val="24"/>
                <w:szCs w:val="24"/>
              </w:rPr>
              <w:t>с использованием программного обеспечения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(двенадцать) месяцев с даты начала оказания услуг.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2.2. Требования к качеству оказания услуг</w:t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suppressAutoHyphens w:val="false"/>
        <w:rPr>
          <w:sz w:val="24"/>
          <w:szCs w:val="24"/>
        </w:rPr>
      </w:pPr>
      <w:r>
        <w:rPr>
          <w:b/>
          <w:sz w:val="24"/>
          <w:szCs w:val="24"/>
        </w:rPr>
        <w:t xml:space="preserve">Таблица 4. Требования к качеству услуг </w:t>
      </w:r>
      <w:r>
        <w:rPr>
          <w:sz w:val="24"/>
          <w:szCs w:val="24"/>
        </w:rPr>
        <w:t xml:space="preserve"> </w:t>
      </w:r>
    </w:p>
    <w:p>
      <w:pPr>
        <w:pStyle w:val="Annotationtext"/>
        <w:rPr>
          <w:lang w:val="x-none"/>
        </w:rPr>
      </w:pPr>
      <w:r>
        <w:rPr>
          <w:lang w:val="x-none"/>
        </w:rPr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b/>
          <w:sz w:val="24"/>
          <w:szCs w:val="24"/>
        </w:rPr>
        <w:t xml:space="preserve">Требования к услугам: </w:t>
      </w:r>
      <w:r>
        <w:rPr>
          <w:bCs/>
          <w:sz w:val="24"/>
          <w:szCs w:val="24"/>
        </w:rPr>
        <w:t>ОКПД2 [61.90.10] «Оказание услуг по мониторингу и технической поддержке систем спутникового мониторинга Глонасс/</w:t>
      </w:r>
      <w:r>
        <w:rPr>
          <w:bCs/>
          <w:sz w:val="24"/>
          <w:szCs w:val="24"/>
          <w:lang w:val="en-US"/>
        </w:rPr>
        <w:t>GPS</w:t>
      </w:r>
      <w:r>
        <w:rPr>
          <w:bCs/>
          <w:sz w:val="24"/>
          <w:szCs w:val="24"/>
        </w:rPr>
        <w:t>, установленных на транспортных средствах</w:t>
      </w:r>
      <w:r>
        <w:rPr>
          <w:sz w:val="24"/>
          <w:szCs w:val="24"/>
        </w:rPr>
        <w:t xml:space="preserve"> Жигулевского филиала АО «Гидроремонт-ВКК» в г. Жигулевск </w:t>
      </w:r>
      <w:r>
        <w:rPr>
          <w:bCs/>
          <w:sz w:val="24"/>
          <w:szCs w:val="24"/>
        </w:rPr>
        <w:t>с использованием программного обеспечения</w:t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101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3"/>
        <w:gridCol w:w="3944"/>
        <w:gridCol w:w="5302"/>
      </w:tblGrid>
      <w:tr>
        <w:trPr>
          <w:trHeight w:val="315" w:hRule="atLeast"/>
        </w:trPr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5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</w:tr>
      <w:tr>
        <w:trPr>
          <w:trHeight w:val="315" w:hRule="atLeast"/>
        </w:trPr>
        <w:tc>
          <w:tcPr>
            <w:tcW w:w="953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94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530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4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оказанию услуг</w:t>
            </w:r>
          </w:p>
        </w:tc>
      </w:tr>
      <w:tr>
        <w:trPr>
          <w:trHeight w:val="390" w:hRule="atLeast"/>
        </w:trPr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924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Общие требования к оказанию услуг</w:t>
            </w:r>
          </w:p>
        </w:tc>
      </w:tr>
      <w:tr>
        <w:trPr>
          <w:trHeight w:val="60" w:hRule="atLeast"/>
        </w:trPr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9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0" w:after="0"/>
              <w:ind w:left="432" w:hanging="432"/>
              <w:rPr>
                <w:lang w:val="ru-RU"/>
              </w:rPr>
            </w:pPr>
            <w:bookmarkStart w:id="6" w:name="_GoBack"/>
            <w:bookmarkEnd w:id="6"/>
            <w:r>
              <w:rPr>
                <w:color w:val="000000"/>
              </w:rPr>
              <w:t>Характеристика оказываемых услуг</w:t>
            </w:r>
          </w:p>
        </w:tc>
        <w:tc>
          <w:tcPr>
            <w:tcW w:w="53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rPr/>
            </w:pPr>
            <w:r>
              <w:rPr/>
              <w:t>- Полный контроль передвижения и параметров движения транспортных средств в режиме реального времени (географические координаты, скорость движения, маршруты, остановки, стоянки);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Оперативное получение отчетности за любой отрезок времени из баз данных;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Сопровождение и абонентское обслуживание систем в период действия договора, при необходимости настройка и инсталляция систем спутникового мониторинга (программное обеспечение, бортовые блоки (терминалы), сим-карты)</w:t>
            </w:r>
          </w:p>
        </w:tc>
      </w:tr>
      <w:tr>
        <w:trPr>
          <w:trHeight w:val="444" w:hRule="atLeast"/>
        </w:trPr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9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услугам</w:t>
            </w:r>
          </w:p>
        </w:tc>
      </w:tr>
      <w:tr>
        <w:trPr>
          <w:trHeight w:val="1245" w:hRule="atLeast"/>
        </w:trPr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9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Heading4"/>
              <w:widowControl w:val="false"/>
              <w:numPr>
                <w:ilvl w:val="0"/>
              </w:numPr>
              <w:spacing w:before="120" w:after="60"/>
              <w:ind w:left="0" w:hanging="0"/>
              <w:rPr/>
            </w:pPr>
            <w:r>
              <w:rPr/>
              <w:t>Оказываемые услуги должны соответствовать требованиям следующих нормативно-правовых актов:</w:t>
            </w:r>
          </w:p>
        </w:tc>
        <w:tc>
          <w:tcPr>
            <w:tcW w:w="5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Гражданскому кодексу Российской Федерации;</w:t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Федеральному закону от 10.12.1995 № 196-ФЗ «О безопасности дорожного движения»;</w:t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Федеральному закону от 27.07.2006 № 149-ФЗ «Об информации, информационных технологиях и защите информации»;</w:t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Постановление Правительства РФ от 25.08.2008 N 641 (ред. от 17.12.2010) "Об оснащении транспортных, технических средств и систем аппаратурой спутниковой навигации ГЛОНАСС или ГЛОНАСС/GPS";</w:t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Приказ Минтранса РФ от 07.10.2020 N 413 "Об утверждении Перечня видов автомобильных транспортных средств, используемых для перевозки пассажиров и опасных грузов, подлежащих оснащению аппаратурой спутниковой навигации ГЛОНАСС или ГЛОНАСС/GPS" (Зарегистрировано в Минюсте РФ 13.11.2020 N 60892);</w:t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Указ Президента РФ от 17.05.2007 N 638 (ред. от 12.04.2019) "Об использовании глобальной навигационной спутниковой системы ГЛОНАСС в интересах социально-экономического развития Российской Федерации";</w:t>
            </w:r>
          </w:p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Постановление Правительства РФ от 30.04.2008 N 323 (ред. от 19.01.2021) "Об утверждении Положения о полномочиях федеральных органов исполнительной власти по поддержанию, развитию и использованию глобальной навигационной спутниковой системы ГЛОНАСС в интересах обеспечения обороны и безопасности государства, социально-экономического развития Российской Федерации и расширения международного сотрудничества, а также в научных целях".</w:t>
            </w:r>
          </w:p>
        </w:tc>
      </w:tr>
      <w:tr>
        <w:trPr>
          <w:trHeight w:val="1245" w:hRule="atLeast"/>
        </w:trPr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9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Heading4"/>
              <w:widowControl w:val="false"/>
              <w:numPr>
                <w:ilvl w:val="0"/>
              </w:numPr>
              <w:spacing w:before="120" w:after="60"/>
              <w:ind w:left="0" w:hanging="0"/>
              <w:rPr/>
            </w:pPr>
            <w:r>
              <w:rPr/>
              <w:t>Стоимость абонентского обслуживания за 1 единицу транспорта</w:t>
            </w:r>
          </w:p>
        </w:tc>
        <w:tc>
          <w:tcPr>
            <w:tcW w:w="5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Стоимость абонентского обслуживания является фиксированной и постоянной на протяжении всего срока действия договора</w:t>
            </w:r>
          </w:p>
        </w:tc>
      </w:tr>
      <w:tr>
        <w:trPr>
          <w:trHeight w:val="544" w:hRule="atLeast"/>
        </w:trPr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246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1245" w:hRule="atLeast"/>
        </w:trPr>
        <w:tc>
          <w:tcPr>
            <w:tcW w:w="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94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начала оказания Услуг в рамках исполнения Договора, </w:t>
            </w:r>
            <w:r>
              <w:rPr>
                <w:color w:val="000000"/>
                <w:sz w:val="24"/>
                <w:szCs w:val="24"/>
              </w:rPr>
              <w:t xml:space="preserve">по требованию заказчика </w:t>
            </w:r>
            <w:r>
              <w:rPr>
                <w:sz w:val="24"/>
                <w:szCs w:val="24"/>
              </w:rPr>
              <w:t xml:space="preserve">исполнитель представляет </w:t>
            </w:r>
            <w:r>
              <w:rPr>
                <w:color w:val="000000"/>
                <w:sz w:val="24"/>
                <w:szCs w:val="24"/>
              </w:rPr>
              <w:t>следующие документы:</w:t>
            </w:r>
          </w:p>
        </w:tc>
        <w:tc>
          <w:tcPr>
            <w:tcW w:w="530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Письмо от производителя ПО подтверждающие право использования ПО в своей коммерческой и хозяйственной деятельности, включая предоставление услуг третьим лицам на территории РФ - подтверждается предоставлением копии письма в виде отсканированного документа;</w:t>
            </w:r>
          </w:p>
        </w:tc>
      </w:tr>
    </w:tbl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Механик </w:t>
      </w:r>
    </w:p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Жигулевского Филиала </w:t>
      </w:r>
    </w:p>
    <w:p>
      <w:pPr>
        <w:pStyle w:val="Normal"/>
        <w:keepNext w:val="true"/>
        <w:keepLines/>
        <w:widowControl w:val="false"/>
        <w:rPr>
          <w:rFonts w:eastAsia="Calibri"/>
          <w:iCs/>
          <w:caps/>
          <w:sz w:val="24"/>
          <w:szCs w:val="24"/>
          <w:lang w:eastAsia="x-none"/>
        </w:rPr>
      </w:pPr>
      <w:r>
        <w:rPr>
          <w:sz w:val="24"/>
          <w:szCs w:val="24"/>
        </w:rPr>
        <w:t xml:space="preserve">АО «Гидроремонт-ВКК» в г.Жигулевск                                                                     Д.Г.Власов </w:t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680" w:top="851" w:footer="737" w:bottom="993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5700769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1317e8"/>
    <w:pPr>
      <w:keepNext w:val="true"/>
      <w:numPr>
        <w:ilvl w:val="2"/>
        <w:numId w:val="3"/>
      </w:numPr>
      <w:tabs>
        <w:tab w:val="clear" w:pos="708"/>
        <w:tab w:val="left" w:pos="851" w:leader="none"/>
        <w:tab w:val="left" w:pos="993" w:leader="none"/>
      </w:tabs>
      <w:spacing w:before="120" w:after="60"/>
      <w:ind w:left="567" w:hanging="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left" w:pos="0" w:leader="none"/>
        <w:tab w:val="left" w:pos="851" w:leader="none"/>
        <w:tab w:val="left" w:pos="993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1317e8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10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13" w:customStyle="1">
    <w:name w:val="Основной шрифт абзаца1"/>
    <w:qFormat/>
    <w:rsid w:val="003b25ce"/>
    <w:rPr/>
  </w:style>
  <w:style w:type="character" w:styleId="Apple-converted-space" w:customStyle="1">
    <w:name w:val="apple-converted-space"/>
    <w:basedOn w:val="DefaultParagraphFont"/>
    <w:qFormat/>
    <w:rsid w:val="00dc6170"/>
    <w:rPr/>
  </w:style>
  <w:style w:type="character" w:styleId="Style16" w:customStyle="1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left" w:pos="567" w:leader="none"/>
        <w:tab w:val="left" w:pos="851" w:leader="none"/>
        <w:tab w:val="left" w:pos="993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3955B-FD46-488E-9454-687618D8B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AlterOffice/3.4.0.9$Linux_X86_64 LibreOffice_project/b8daf9e823b1a5463a2f48435ddc2e8696e7d4fc</Application>
  <AppVersion>15.0000</AppVersion>
  <Pages>5</Pages>
  <Words>896</Words>
  <Characters>6383</Characters>
  <CharactersWithSpaces>7160</CharactersWithSpaces>
  <Paragraphs>198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2024-11-05T10:30:00Z</dcterms:created>
  <dc:creator>Быстров Олег Геннадьевич</dc:creator>
  <dc:description/>
  <dc:language>ru-RU</dc:language>
  <cp:lastModifiedBy>vlasovdg@corp.gidroogk.com</cp:lastModifiedBy>
  <cp:lastPrinted>2024-10-29T06:55:00Z</cp:lastPrinted>
  <dcterms:modified xsi:type="dcterms:W3CDTF">2026-05-18T07:39:33Z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