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before="0" w:after="120"/>
        <w:jc w:val="right"/>
        <w:rPr>
          <w:rFonts w:eastAsia="Calibri"/>
          <w:b/>
          <w:sz w:val="26"/>
          <w:szCs w:val="26"/>
        </w:rPr>
      </w:pPr>
      <w:r>
        <w:rPr>
          <w:sz w:val="26"/>
          <w:szCs w:val="26"/>
        </w:rPr>
        <w:t>Приложение №1 к ДоЗ</w:t>
      </w:r>
    </w:p>
    <w:p>
      <w:pPr>
        <w:pStyle w:val="Normal"/>
        <w:keepNext w:val="true"/>
        <w:keepLines/>
        <w:spacing w:before="0" w:after="12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spacing w:before="0" w:after="12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Требования к Участнику закупки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b/>
          <w:i/>
          <w:i/>
          <w:sz w:val="26"/>
          <w:szCs w:val="26"/>
          <w:shd w:fill="FFFF99" w:val="clear"/>
        </w:rPr>
      </w:pPr>
      <w:r>
        <w:rPr>
          <w:sz w:val="26"/>
          <w:szCs w:val="26"/>
        </w:rPr>
        <w:t xml:space="preserve">Поставка горюче-смазочных материалов для нужд Жигулевского филиала </w:t>
        <w:br/>
        <w:t>АО «Гидроремонт-ВКК» в г. Жигулевск</w:t>
      </w:r>
    </w:p>
    <w:p>
      <w:pPr>
        <w:pStyle w:val="Normal"/>
        <w:keepNext w:val="true"/>
        <w:keepLines/>
        <w:jc w:val="center"/>
        <w:rPr>
          <w:rFonts w:eastAsia="Calibri"/>
          <w:i/>
          <w:i/>
          <w:sz w:val="26"/>
          <w:szCs w:val="26"/>
        </w:rPr>
      </w:pPr>
      <w:r>
        <w:rPr>
          <w:rFonts w:eastAsia="Calibri"/>
          <w:sz w:val="26"/>
          <w:szCs w:val="26"/>
        </w:rPr>
        <w:t xml:space="preserve">Лот № </w:t>
      </w:r>
    </w:p>
    <w:p>
      <w:pPr>
        <w:pStyle w:val="ListParagraph"/>
        <w:keepNext w:val="true"/>
        <w:numPr>
          <w:ilvl w:val="0"/>
          <w:numId w:val="6"/>
        </w:numPr>
        <w:spacing w:before="60" w:after="240"/>
        <w:ind w:left="567" w:hanging="567"/>
        <w:contextualSpacing w:val="false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Квалификационные требования</w:t>
      </w:r>
    </w:p>
    <w:p>
      <w:pPr>
        <w:pStyle w:val="Normal"/>
        <w:keepNext w:val="true"/>
        <w:spacing w:before="6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Таблица 1. Перечень квалификационных требований</w:t>
      </w:r>
    </w:p>
    <w:tbl>
      <w:tblPr>
        <w:tblW w:w="1031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6"/>
        <w:gridCol w:w="3374"/>
        <w:gridCol w:w="6379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Участникам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i/>
                <w:iCs/>
                <w:sz w:val="24"/>
                <w:szCs w:val="24"/>
                <w:shd w:fill="FFFF99" w:val="clear"/>
              </w:rPr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документам, подтверждающим соответствие Участника установленным требованиям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Требования к наличию опыта поставок.</w:t>
            </w:r>
          </w:p>
          <w:p>
            <w:pPr>
              <w:pStyle w:val="Normal"/>
              <w:widowControl w:val="false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оценки предпочтительности заявок Участников по оценочному критерию «Опыт поставок» будет рассматриваться наличие опыта поставок горюче-смазочных материалов за последние 5 (пять) лет, предшествующие дате окончания срока подачи заявок на участие в конкурентной закупке, а также за текущий период незавершенного года.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240"/>
              <w:jc w:val="both"/>
              <w:rPr>
                <w:rFonts w:eastAsia="Calibri"/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составе заявки Участник должен предоставить сведения о ранее выполненных договорах по форме «Справка об опыте Участника», приведенной в Документации о закупке, с обязательным предоставлением подтверждающих наличие требуемого опыта документов, а именно:</w:t>
            </w:r>
          </w:p>
          <w:p>
            <w:pPr>
              <w:pStyle w:val="Normal"/>
              <w:widowControl w:val="false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копии договоров, подписанных с обеих сторон;</w:t>
            </w:r>
          </w:p>
          <w:p>
            <w:pPr>
              <w:pStyle w:val="Normal"/>
              <w:widowControl w:val="false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копии документов, предусмотренных требованиями договора, подтверждающих факт его исполнения, с указанием стоимости и наименования предмета договора, подписанных с обеих сторон.</w:t>
            </w:r>
          </w:p>
          <w:p>
            <w:pPr>
              <w:pStyle w:val="Normal"/>
              <w:widowControl w:val="false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Участника.»</w:t>
            </w:r>
          </w:p>
          <w:p>
            <w:pPr>
              <w:pStyle w:val="Normal"/>
              <w:widowControl w:val="false"/>
              <w:spacing w:before="0" w:after="60"/>
              <w:ind w:left="28" w:hanging="0"/>
              <w:jc w:val="both"/>
              <w:rPr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Calibri"/>
                <w:sz w:val="24"/>
                <w:szCs w:val="24"/>
              </w:rPr>
              <w:t>Непредставление указанных документов, подтверждающих опыт, не будет служить основанием для отклонения заявки участника. В случае непредставления документов предпочтительность заявке участника предоставлена не будет.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Требования к наличию МТР: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240"/>
              <w:jc w:val="both"/>
              <w:rPr>
                <w:rFonts w:eastAsia="Calibri"/>
                <w:i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Участник должен иметь в наличии (на правах собственности аренды / лизинга / ином законном праве владения)</w:t>
            </w:r>
            <w:r>
              <w:rPr>
                <w:rFonts w:eastAsia="Calibri"/>
                <w:iCs/>
                <w:sz w:val="24"/>
                <w:szCs w:val="24"/>
              </w:rPr>
              <w:t xml:space="preserve"> АЗС, необходимые для заправки автотранспортных средств Заказчика горюче-смазочными материалами указанными в Технических требованиях. </w:t>
            </w:r>
            <w:r>
              <w:rPr>
                <w:rFonts w:eastAsia="Calibri"/>
                <w:sz w:val="24"/>
                <w:szCs w:val="24"/>
                <w:lang w:val="en-US"/>
              </w:rPr>
              <w:t>*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ind w:left="28" w:hanging="0"/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/>
                <w:iCs/>
                <w:sz w:val="24"/>
                <w:szCs w:val="24"/>
              </w:rPr>
              <w:t>2</w:t>
            </w:r>
            <w:r>
              <w:rPr>
                <w:rFonts w:eastAsia="Calibri"/>
                <w:bCs/>
                <w:iCs/>
                <w:sz w:val="24"/>
                <w:szCs w:val="24"/>
              </w:rPr>
              <w:t>.1. Участник должен иметь собственные, либо привлеченные на законных основаниях у третьих лиц стационарные АЗС и/или сеть АЗС для обеспечения ГСМ по средствам Карт Покупателя (с учетом условий п.2.2 и п.2.3 ниже).</w:t>
            </w:r>
          </w:p>
          <w:p>
            <w:pPr>
              <w:pStyle w:val="Normal"/>
              <w:widowControl w:val="false"/>
              <w:spacing w:before="0" w:after="60"/>
              <w:ind w:left="28" w:hanging="0"/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2.2. Стационарные АЗС и/или ближайшие АЗС сети АЗС Участника должны располагаться в следующих городах:</w:t>
            </w:r>
          </w:p>
          <w:p>
            <w:pPr>
              <w:pStyle w:val="Normal"/>
              <w:widowControl w:val="false"/>
              <w:spacing w:before="0" w:after="60"/>
              <w:ind w:left="28" w:hanging="0"/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 xml:space="preserve">- </w:t>
            </w:r>
            <w:bookmarkStart w:id="0" w:name="_Hlk175129219"/>
            <w:r>
              <w:rPr>
                <w:rFonts w:eastAsia="Calibri"/>
                <w:bCs/>
                <w:iCs/>
                <w:sz w:val="24"/>
                <w:szCs w:val="24"/>
              </w:rPr>
              <w:t>Самарская обл. г. Жигулевск;</w:t>
            </w:r>
            <w:bookmarkEnd w:id="0"/>
          </w:p>
          <w:p>
            <w:pPr>
              <w:pStyle w:val="Normal"/>
              <w:widowControl w:val="false"/>
              <w:spacing w:before="0" w:after="60"/>
              <w:ind w:left="28" w:hanging="0"/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- Самарская обл. г. Тольятти;</w:t>
            </w:r>
          </w:p>
          <w:p>
            <w:pPr>
              <w:pStyle w:val="Normal"/>
              <w:widowControl w:val="false"/>
              <w:spacing w:before="0" w:after="60"/>
              <w:ind w:left="28" w:hanging="0"/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- Самарская обл. г. Самара;</w:t>
            </w:r>
          </w:p>
          <w:p>
            <w:pPr>
              <w:pStyle w:val="Normal"/>
              <w:widowControl w:val="false"/>
              <w:spacing w:before="0" w:after="60"/>
              <w:ind w:left="28" w:hanging="0"/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- Самарская обл. г. Сызрань;</w:t>
            </w:r>
          </w:p>
          <w:p>
            <w:pPr>
              <w:pStyle w:val="Normal"/>
              <w:widowControl w:val="false"/>
              <w:spacing w:before="0" w:after="60"/>
              <w:ind w:left="28" w:hanging="0"/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- Ярославская обл. г. Углич;</w:t>
            </w:r>
          </w:p>
          <w:p>
            <w:pPr>
              <w:pStyle w:val="Normal"/>
              <w:widowControl w:val="false"/>
              <w:spacing w:before="0" w:after="60"/>
              <w:ind w:left="28" w:hanging="0"/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- Ярославская обл. г. Рыбинск;</w:t>
            </w:r>
          </w:p>
          <w:p>
            <w:pPr>
              <w:pStyle w:val="Normal"/>
              <w:widowControl w:val="false"/>
              <w:spacing w:before="0" w:after="60"/>
              <w:ind w:left="28" w:hanging="0"/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- Московская обл. п.г.т. Богородское;</w:t>
            </w:r>
          </w:p>
          <w:p>
            <w:pPr>
              <w:pStyle w:val="Normal"/>
              <w:widowControl w:val="false"/>
              <w:spacing w:before="0" w:after="60"/>
              <w:ind w:left="28" w:hanging="0"/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2.3. Соответствие установленным в п.2.1 - 2.2 требованиям подтверждается путем представления Участником закупки в составе заявки:</w:t>
            </w:r>
          </w:p>
          <w:p>
            <w:pPr>
              <w:pStyle w:val="Normal"/>
              <w:widowControl w:val="false"/>
              <w:spacing w:before="0" w:after="60"/>
              <w:ind w:left="28" w:hanging="0"/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- сведений по форме «Справка о материально-технических ресурсах», приведенной в Документации о закупке. В справке Участник должен указать фактические адреса места нахождения АЗС и/или ближайшие АЗС сети АЗС, указанных в п.2.2. п.2 «Требования к наличию МТР».</w:t>
            </w:r>
          </w:p>
          <w:p>
            <w:pPr>
              <w:pStyle w:val="Normal"/>
              <w:widowControl w:val="false"/>
              <w:spacing w:before="0" w:after="60"/>
              <w:ind w:left="28" w:hanging="0"/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- копий документов (выписок из ЕГРП, договоров и т.п.), подтверждающих законное право пользования Участником стационарных АЗС, которые указаны Участником в «Справке о материально-технических ресурсах». В случае отсутствия у Участника на момент подачи заявки подтверждающих законное право пользования стационарных АЗС и/или сети АЗС документов, Участник в составе заявки предоставляет Гарантийное письмо об обязательстве заключения Договоров поставки ГСМ со стационарными АЗС и/или сети АЗС, к моменту заключения договора по результатам настоящей закупочной процедуры (в соответствии с п. 2.2)</w:t>
            </w:r>
          </w:p>
          <w:p>
            <w:pPr>
              <w:pStyle w:val="Normal"/>
              <w:widowControl w:val="false"/>
              <w:spacing w:before="0" w:after="60"/>
              <w:ind w:left="28" w:hanging="0"/>
              <w:jc w:val="both"/>
              <w:rPr>
                <w:rFonts w:eastAsia="Calibri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2.4. Во избежание неверного толкования положений раздела 2 «</w:t>
            </w:r>
            <w:r>
              <w:rPr>
                <w:rFonts w:eastAsia="Calibri"/>
                <w:sz w:val="24"/>
                <w:szCs w:val="24"/>
              </w:rPr>
              <w:t>Требования к наличию МТР»</w:t>
            </w:r>
            <w:r>
              <w:rPr>
                <w:rFonts w:eastAsia="Calibri"/>
                <w:bCs/>
                <w:iCs/>
                <w:sz w:val="24"/>
                <w:szCs w:val="24"/>
              </w:rPr>
              <w:t>, поясняем, что указанные в пунктах 2.1-2.3. требования являются отборочными критериями для допуска Участника к участию в закупке. Невыполнение одного и более требований, указанных в п. 2.1. - 2.3, является основанием для отклонения заявки Участника.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 w:val="false"/>
          <w:i w:val="false"/>
          <w:iCs/>
          <w:color w:val="000000" w:themeColor="text1"/>
          <w:sz w:val="22"/>
          <w:szCs w:val="22"/>
        </w:rPr>
      </w:pPr>
      <w:r>
        <w:rPr>
          <w:rStyle w:val="Style8"/>
          <w:i w:val="false"/>
          <w:iCs/>
          <w:color w:val="000000" w:themeColor="text1"/>
          <w:sz w:val="22"/>
          <w:szCs w:val="22"/>
          <w:shd w:fill="auto" w:val="clear"/>
        </w:rPr>
        <w:t>*</w:t>
      </w:r>
      <w:r>
        <w:rPr>
          <w:rStyle w:val="Style8"/>
          <w:b w:val="false"/>
          <w:i w:val="false"/>
          <w:iCs/>
          <w:color w:val="000000" w:themeColor="text1"/>
          <w:sz w:val="22"/>
          <w:szCs w:val="22"/>
          <w:shd w:fill="auto" w:val="clear"/>
        </w:rPr>
        <w:t xml:space="preserve">  Обязательное наличие АЗС в черте данных городов.</w:t>
      </w:r>
      <w:r>
        <w:rPr>
          <w:rStyle w:val="Style8"/>
          <w:b w:val="false"/>
          <w:i w:val="false"/>
          <w:iCs/>
          <w:color w:val="000000" w:themeColor="text1"/>
          <w:sz w:val="22"/>
          <w:szCs w:val="22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 w:val="false"/>
          <w:i w:val="false"/>
          <w:iCs/>
          <w:color w:val="000000" w:themeColor="text1"/>
          <w:sz w:val="22"/>
          <w:szCs w:val="22"/>
        </w:rPr>
      </w:pPr>
      <w:r>
        <w:rPr>
          <w:rStyle w:val="Style8"/>
          <w:b w:val="false"/>
          <w:i w:val="false"/>
          <w:iCs/>
          <w:color w:val="000000" w:themeColor="text1"/>
          <w:sz w:val="22"/>
          <w:szCs w:val="22"/>
          <w:shd w:fill="auto" w:val="clear"/>
        </w:rPr>
        <w:t>1. Самарская область, г.Жигулевск – фактическое местонахождение филиала;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 w:val="false"/>
          <w:i w:val="false"/>
          <w:iCs/>
          <w:color w:val="000000" w:themeColor="text1"/>
          <w:sz w:val="22"/>
          <w:szCs w:val="22"/>
        </w:rPr>
      </w:pPr>
      <w:r>
        <w:rPr>
          <w:rStyle w:val="Style8"/>
          <w:b w:val="false"/>
          <w:i w:val="false"/>
          <w:iCs/>
          <w:color w:val="000000" w:themeColor="text1"/>
          <w:sz w:val="22"/>
          <w:szCs w:val="22"/>
          <w:shd w:fill="auto" w:val="clear"/>
        </w:rPr>
        <w:t>2. Самарская область, г.Тольятти, г.Самара, г.Сызрань – фактическое нахождение контрагентов обеспечивающие филиал строительными материалами и оборудованием, а так же фактическое нахождение подконтрольных организаций (Гостехнадзор, Ростехнадзор, ГИБДД и т.д.);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 w:val="false"/>
          <w:i w:val="false"/>
          <w:iCs/>
          <w:color w:val="000000" w:themeColor="text1"/>
          <w:sz w:val="22"/>
          <w:szCs w:val="22"/>
        </w:rPr>
      </w:pPr>
      <w:r>
        <w:rPr>
          <w:rStyle w:val="Style8"/>
          <w:b w:val="false"/>
          <w:i w:val="false"/>
          <w:iCs/>
          <w:color w:val="000000" w:themeColor="text1"/>
          <w:sz w:val="22"/>
          <w:szCs w:val="22"/>
          <w:shd w:fill="auto" w:val="clear"/>
        </w:rPr>
        <w:t>3. Ярославская область, г.Углич – фактическое местонахождение производственного участка филиала;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 w:val="false"/>
          <w:i w:val="false"/>
          <w:iCs/>
          <w:color w:val="000000" w:themeColor="text1"/>
          <w:sz w:val="22"/>
          <w:szCs w:val="22"/>
        </w:rPr>
      </w:pPr>
      <w:r>
        <w:rPr>
          <w:rStyle w:val="Style8"/>
          <w:b w:val="false"/>
          <w:i w:val="false"/>
          <w:iCs/>
          <w:color w:val="000000" w:themeColor="text1"/>
          <w:sz w:val="22"/>
          <w:szCs w:val="22"/>
          <w:shd w:fill="auto" w:val="clear"/>
        </w:rPr>
        <w:t>4. Ярославская область, г.Рыбинск – фактическое местонахождение производственного участка филиала;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 w:val="false"/>
          <w:i w:val="false"/>
          <w:iCs/>
          <w:color w:val="000000" w:themeColor="text1"/>
          <w:sz w:val="22"/>
          <w:szCs w:val="22"/>
        </w:rPr>
      </w:pPr>
      <w:r>
        <w:rPr>
          <w:rStyle w:val="Style8"/>
          <w:b w:val="false"/>
          <w:i w:val="false"/>
          <w:iCs/>
          <w:color w:val="000000" w:themeColor="text1"/>
          <w:sz w:val="22"/>
          <w:szCs w:val="22"/>
          <w:shd w:fill="auto" w:val="clear"/>
        </w:rPr>
        <w:t>5. Московская область, п.г.т.Богородское – фактическое местонахождение Загорского филиала АО «Гидроремонт-ВКК» куда организовываются частые командировки на автотранспорте.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 w:val="false"/>
          <w:i w:val="false"/>
          <w:iCs/>
          <w:color w:val="000000" w:themeColor="text1"/>
          <w:sz w:val="22"/>
          <w:szCs w:val="22"/>
        </w:rPr>
      </w:pPr>
      <w:r>
        <w:rPr>
          <w:rStyle w:val="Style8"/>
          <w:b w:val="false"/>
          <w:i w:val="false"/>
          <w:iCs/>
          <w:color w:val="000000" w:themeColor="text1"/>
          <w:sz w:val="22"/>
          <w:szCs w:val="22"/>
          <w:shd w:fill="auto" w:val="clear"/>
        </w:rPr>
        <w:t>Отсутствие АЗС в черте вышеуказанных городов или их удаленность более 10км, влечет к увеличению времени и маршрутов затрачиваемые на заправку автотранспорта, доставку рабочих бригад, строительных материалов, механизмов и обору</w:t>
      </w:r>
      <w:bookmarkStart w:id="1" w:name="_GoBack"/>
      <w:bookmarkEnd w:id="1"/>
      <w:r>
        <w:rPr>
          <w:rStyle w:val="Style8"/>
          <w:b w:val="false"/>
          <w:i w:val="false"/>
          <w:iCs/>
          <w:color w:val="000000" w:themeColor="text1"/>
          <w:sz w:val="22"/>
          <w:szCs w:val="22"/>
          <w:shd w:fill="auto" w:val="clear"/>
        </w:rPr>
        <w:t>дования к месту производства работ.</w:t>
      </w:r>
    </w:p>
    <w:sectPr>
      <w:headerReference w:type="even" r:id="rId2"/>
      <w:headerReference w:type="default" r:id="rId3"/>
      <w:headerReference w:type="first" r:id="rId4"/>
      <w:footerReference w:type="first" r:id="rId5"/>
      <w:type w:val="nextPage"/>
      <w:pgSz w:w="11906" w:h="16838"/>
      <w:pgMar w:left="1134" w:right="851" w:gutter="0" w:header="680" w:top="1135" w:footer="737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76544519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trackedChanges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014f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uiPriority w:val="99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basedOn w:val="DefaultParagraphFont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Нижний колонтитул Знак"/>
    <w:basedOn w:val="DefaultParagraphFont"/>
    <w:uiPriority w:val="99"/>
    <w:qFormat/>
    <w:rsid w:val="002e457f"/>
    <w:rPr>
      <w:sz w:val="28"/>
      <w:szCs w:val="28"/>
    </w:rPr>
  </w:style>
  <w:style w:type="character" w:styleId="Style15" w:customStyle="1">
    <w:name w:val="Основной текст_"/>
    <w:link w:val="19"/>
    <w:uiPriority w:val="99"/>
    <w:qFormat/>
    <w:locked/>
    <w:rsid w:val="00a45068"/>
    <w:rPr>
      <w:sz w:val="28"/>
      <w:szCs w:val="28"/>
      <w:shd w:fill="FFFFFF" w:val="clear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4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46ad8"/>
    <w:pPr>
      <w:tabs>
        <w:tab w:val="clear" w:pos="708"/>
        <w:tab w:val="left" w:pos="851" w:leader="none"/>
        <w:tab w:val="right" w:pos="9911" w:leader="dot"/>
      </w:tabs>
      <w:spacing w:before="120" w:after="0"/>
      <w:ind w:left="426" w:hanging="426"/>
    </w:pPr>
    <w:rPr>
      <w:sz w:val="24"/>
    </w:rPr>
  </w:style>
  <w:style w:type="paragraph" w:styleId="TOC3">
    <w:name w:val="TOC 3"/>
    <w:basedOn w:val="Normal"/>
    <w:next w:val="Normal"/>
    <w:autoRedefine/>
    <w:uiPriority w:val="39"/>
    <w:rsid w:val="00b42701"/>
    <w:pPr>
      <w:ind w:left="560" w:hanging="0"/>
    </w:pPr>
    <w:rPr>
      <w:sz w:val="24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246ad8"/>
    <w:pPr>
      <w:tabs>
        <w:tab w:val="clear" w:pos="708"/>
        <w:tab w:val="left" w:pos="993" w:leader="none"/>
        <w:tab w:val="right" w:pos="9911" w:leader="dot"/>
      </w:tabs>
      <w:spacing w:before="120" w:after="0"/>
      <w:ind w:firstLine="567"/>
    </w:pPr>
    <w:rPr>
      <w:sz w:val="24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uiPriority w:val="99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2240" w:hanging="0"/>
    </w:pPr>
    <w:rPr/>
  </w:style>
  <w:style w:type="paragraph" w:styleId="TOC5">
    <w:name w:val="TOC 5"/>
    <w:basedOn w:val="Normal"/>
    <w:next w:val="Normal"/>
    <w:autoRedefine/>
    <w:semiHidden/>
    <w:rsid w:val="00f57628"/>
    <w:pPr>
      <w:ind w:left="1120" w:hanging="0"/>
    </w:pPr>
    <w:rPr/>
  </w:style>
  <w:style w:type="paragraph" w:styleId="TOC4">
    <w:name w:val="TOC 4"/>
    <w:basedOn w:val="Normal"/>
    <w:next w:val="Normal"/>
    <w:autoRedefine/>
    <w:uiPriority w:val="39"/>
    <w:rsid w:val="00f57628"/>
    <w:pPr>
      <w:ind w:left="840" w:hanging="0"/>
    </w:pPr>
    <w:rPr/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3" w:customStyle="1">
    <w:name w:val="List 3"/>
    <w:basedOn w:val="Normal"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19" w:customStyle="1">
    <w:name w:val="Основной текст1"/>
    <w:basedOn w:val="Normal"/>
    <w:link w:val="Style15"/>
    <w:uiPriority w:val="99"/>
    <w:qFormat/>
    <w:rsid w:val="00a45068"/>
    <w:pPr>
      <w:widowControl w:val="false"/>
      <w:shd w:val="clear" w:color="auto" w:fill="FFFFFF"/>
      <w:spacing w:lineRule="exact" w:line="302"/>
    </w:pPr>
    <w:rPr/>
  </w:style>
  <w:style w:type="paragraph" w:styleId="Style3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06619-5225-44D8-8486-22FB15C50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AlterOffice/3.4.0.9$Linux_X86_64 LibreOffice_project/b8daf9e823b1a5463a2f48435ddc2e8696e7d4fc</Application>
  <AppVersion>15.0000</AppVersion>
  <Pages>2</Pages>
  <Words>598</Words>
  <Characters>4143</Characters>
  <CharactersWithSpaces>4706</CharactersWithSpaces>
  <Paragraphs>43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2024-08-21T06:53:00Z</dcterms:created>
  <dc:creator>Быстров Олег Геннадьевич</dc:creator>
  <dc:description/>
  <dc:language>ru-RU</dc:language>
  <cp:lastModifiedBy>vlasovdg@corp.gidroogk.com</cp:lastModifiedBy>
  <cp:lastPrinted>2006-07-26T14:04:00Z</cp:lastPrinted>
  <dcterms:modified xsi:type="dcterms:W3CDTF">2025-06-02T12:36:11Z</dcterms:modified>
  <cp:revision>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