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firstLine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firstLine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firstLine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b w:val="false"/>
        </w:rPr>
      </w:pPr>
      <w:r>
        <w:rPr>
          <w:b/>
        </w:rPr>
        <w:t>«ОКПД2 [19.20.21] Поставка горюче-смазочных материалов для нужд Жигулевского филиала»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709" w:hanging="567"/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Cs/>
                <w:sz w:val="24"/>
                <w:szCs w:val="24"/>
              </w:rPr>
              <w:t>АЗС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автозаправочная 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горюче – смазочные материалы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  <w:r>
              <w:rPr>
                <w:rStyle w:val="Style8"/>
                <w:b w:val="false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  <w:r>
        <w:rPr>
          <w:lang w:val="ru-RU"/>
        </w:rPr>
        <w:t>.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426" w:leader="none"/>
        </w:tabs>
        <w:spacing w:before="0" w:after="0"/>
        <w:ind w:left="0" w:hanging="0"/>
        <w:jc w:val="both"/>
        <w:rPr>
          <w:b w:val="false"/>
        </w:rPr>
      </w:pPr>
      <w:bookmarkStart w:id="6" w:name="_Hlk174968183"/>
      <w:r>
        <w:rPr>
          <w:b w:val="false"/>
        </w:rPr>
        <w:t>ОКПД2 [19.20.21] Поставка горюче-смазочных материалов для нужд Жигулевского филиала.</w:t>
      </w:r>
      <w:bookmarkEnd w:id="6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>
          <w:lang w:val="ru-RU"/>
        </w:rPr>
      </w:pPr>
      <w:bookmarkStart w:id="7" w:name="_Toc75446569"/>
      <w:bookmarkStart w:id="8" w:name="_Toc46743507"/>
      <w:r>
        <w:rPr/>
        <w:t xml:space="preserve">Цель </w:t>
      </w:r>
      <w:bookmarkEnd w:id="8"/>
      <w:r>
        <w:rPr>
          <w:lang w:val="ru-RU"/>
        </w:rPr>
        <w:t xml:space="preserve">использования закупаемой продукции. </w:t>
      </w:r>
      <w:bookmarkEnd w:id="7"/>
    </w:p>
    <w:p>
      <w:pPr>
        <w:pStyle w:val="Normal"/>
        <w:tabs>
          <w:tab w:val="clear" w:pos="708"/>
          <w:tab w:val="left" w:pos="426" w:leader="none"/>
          <w:tab w:val="left" w:pos="11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Заправка собственного автотранспорта, машин и механизмов Жигулевского филиала АО «Гидроремонт-ВКК» в г. Жигулевск.</w:t>
      </w:r>
    </w:p>
    <w:p>
      <w:pPr>
        <w:pStyle w:val="Normal"/>
        <w:tabs>
          <w:tab w:val="clear" w:pos="708"/>
          <w:tab w:val="left" w:pos="426" w:leader="none"/>
          <w:tab w:val="left" w:pos="11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jc w:val="both"/>
        <w:rPr>
          <w:lang w:val="ru-RU"/>
        </w:rPr>
      </w:pPr>
      <w:bookmarkStart w:id="9" w:name="_Toc75446572"/>
      <w:bookmarkStart w:id="10" w:name="_Toc50125126"/>
      <w:bookmarkEnd w:id="10"/>
      <w:r>
        <w:rPr>
          <w:lang w:val="ru-RU"/>
        </w:rPr>
        <w:t xml:space="preserve"> </w:t>
      </w:r>
      <w:bookmarkStart w:id="11" w:name="_Hlk49857604"/>
      <w:bookmarkStart w:id="12" w:name="_Toc46743509"/>
      <w:bookmarkEnd w:id="9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r>
        <w:rPr>
          <w:lang w:val="ru-RU"/>
        </w:rPr>
        <w:t>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1.4.1. Стоимость ГСМ, получаемых по Картам на АЗС, не должна превышать стоимость ГСМ, указанную на стеле АЗС в день заправки транспортного средства с учетом итоговой скидки, предложенной в ходе проведения закупки Победителем закупки (Поставщиком).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1.4.2. Наличие программного обеспечения для проведения полного комплекса операций по отпуску ГСМ с использованием Карт.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1.4.3. Ежемесячное представление отчета об объеме отпуска ГСМ с детализацией по Картам.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1.4.4. Предоставление доступа в личный кабинет Пользователя (Покупателя) посредством регистрации на официальном сайте Поставщика в сети Интернет с целью получения информации о состоянии лицевого счета и совершенным операциям по Картам в режиме реального времени.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1.4.5. Необходимое количество Карт определяется Покупателем самостоятельно, исходя из текущей потребности, и предоставляются Поставщику на основании письменной заявки. Ориентировочная потребность Покупателя в Картах составляет 20 штук.</w:t>
      </w:r>
      <w:r>
        <w:rPr/>
        <w:t xml:space="preserve"> </w:t>
      </w:r>
      <w:bookmarkStart w:id="14" w:name="_Hlk174968299"/>
      <w:r>
        <w:rPr>
          <w:bCs/>
          <w:kern w:val="2"/>
          <w:sz w:val="24"/>
          <w:szCs w:val="24"/>
        </w:rPr>
        <w:t>Топливные карты предоставляются Поставщиком бесплатно</w:t>
      </w:r>
      <w:bookmarkEnd w:id="14"/>
      <w:r>
        <w:rPr>
          <w:bCs/>
          <w:kern w:val="2"/>
          <w:sz w:val="24"/>
          <w:szCs w:val="24"/>
        </w:rPr>
        <w:t>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1.4.6. Карта должна обеспечить получение ГСМ с учетом установленных Покупателем лимитов, либо с отсутствием таковых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1.4.7. Поставщику необходимо обеспечить возможность удаленного блокирования Карт как через сервис поддержки Поставщика, так и через личный кабинет Пользователя (Покупателя).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1.4.8. Поставщик обязан блокировать / разблокировать Карты в течение 6 (шести) часов с момента получения соответствующего обращения Покупателя через личный кабинет Пользователя или по телефону «Горячей линии» Поставщика.</w:t>
      </w:r>
    </w:p>
    <w:p>
      <w:pPr>
        <w:pStyle w:val="Normal"/>
        <w:widowControl w:val="false"/>
        <w:spacing w:before="0" w:after="0"/>
        <w:contextualSpacing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1.4.10. После каждой операции с использованием Карты Покупателю на АЗС в обязательном порядке выдается чек терминала. В случае успешного обслуживания – чек о совершенной операции. В случае неуспешной операции с Картой – чек отказа с указанием причины отказа в совершении операции.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1.4.11. Продукция должна отпускаться Покупателю согласно условиям договора.</w:t>
      </w:r>
    </w:p>
    <w:p>
      <w:pPr>
        <w:pStyle w:val="Standard"/>
        <w:tabs>
          <w:tab w:val="clear" w:pos="708"/>
          <w:tab w:val="left" w:pos="851" w:leader="none"/>
        </w:tabs>
        <w:jc w:val="both"/>
        <w:rPr>
          <w:rFonts w:cs="Times New Roman"/>
        </w:rPr>
      </w:pPr>
      <w:r>
        <w:rPr>
          <w:rFonts w:cs="Times New Roman"/>
        </w:rPr>
        <w:t>1.4.12. Получение продукции Покупателем производится на АЗС Поставщика через топливно-раздаточные колонки путем налива в бак автомобиля, подаваемого Покупателем, либо его доверенным лицом. В аналогичном порядке, отпуск продукции может производиться в тару Покупателя, разрешенную к использованию на АЗС.</w:t>
      </w:r>
    </w:p>
    <w:p>
      <w:pPr>
        <w:pStyle w:val="Standard"/>
        <w:tabs>
          <w:tab w:val="clear" w:pos="708"/>
          <w:tab w:val="left" w:pos="851" w:leader="none"/>
        </w:tabs>
        <w:jc w:val="both"/>
        <w:rPr>
          <w:rFonts w:cs="Times New Roman"/>
          <w:bCs/>
        </w:rPr>
      </w:pPr>
      <w:r>
        <w:rPr>
          <w:rFonts w:cs="Times New Roman"/>
        </w:rPr>
        <w:t xml:space="preserve">1.4.13. </w:t>
      </w:r>
      <w:r>
        <w:rPr>
          <w:rFonts w:cs="Times New Roman"/>
          <w:bCs/>
        </w:rPr>
        <w:t>Обеспечение ГСМ транспортных средств Покупателя должно осуществляться ежедневно, в круглосуточном режиме, включая выходные и праздничные дни, на период действия договора, на стационарных автозаправочных станциях (далее – АЗС).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/>
          <w:i/>
          <w:iCs/>
          <w:sz w:val="22"/>
          <w:szCs w:val="22"/>
        </w:rPr>
      </w:pPr>
      <w:r>
        <w:rPr>
          <w:bCs/>
          <w:sz w:val="24"/>
          <w:szCs w:val="24"/>
        </w:rPr>
        <w:t>1.4.14.</w:t>
      </w:r>
      <w:r>
        <w:rPr>
          <w:rFonts w:eastAsia="Calibri"/>
          <w:bCs/>
          <w:i/>
          <w:iCs/>
          <w:sz w:val="22"/>
          <w:szCs w:val="22"/>
        </w:rPr>
        <w:t xml:space="preserve"> </w:t>
      </w:r>
      <w:r>
        <w:rPr>
          <w:rFonts w:eastAsia="Calibri"/>
          <w:bCs/>
          <w:iCs/>
          <w:sz w:val="22"/>
          <w:szCs w:val="22"/>
        </w:rPr>
        <w:t xml:space="preserve">Стационарные АЗС и/или ближайшие АЗС сети АЗС Поставщика должны располагаться вдоль федеральных, региональных автодорог на территории всех субъектов Российской Федерации и </w:t>
      </w:r>
      <w:r>
        <w:rPr>
          <w:bCs/>
          <w:iCs/>
          <w:sz w:val="24"/>
          <w:szCs w:val="24"/>
        </w:rPr>
        <w:t xml:space="preserve">в обязательном порядке на территории </w:t>
      </w:r>
      <w:r>
        <w:rPr>
          <w:rFonts w:eastAsia="Calibri"/>
          <w:bCs/>
          <w:iCs/>
          <w:sz w:val="24"/>
          <w:szCs w:val="24"/>
        </w:rPr>
        <w:t>следующих городов: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Самарская обл. г. Жигулевск;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Самарская обл. г. Тольятти;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Самарская обл. г. Самара;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Самарская обл. г. Сызрань;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Ярославская обл. г. Углич;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Ярославская обл. г. Рыбинск;</w:t>
      </w:r>
    </w:p>
    <w:p>
      <w:pPr>
        <w:pStyle w:val="Normal"/>
        <w:spacing w:before="0" w:after="60"/>
        <w:ind w:left="28" w:hanging="0"/>
        <w:jc w:val="both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- Московская обл. п.г.т. Богородское;</w:t>
      </w:r>
    </w:p>
    <w:p>
      <w:pPr>
        <w:pStyle w:val="Standard"/>
        <w:tabs>
          <w:tab w:val="clear" w:pos="708"/>
          <w:tab w:val="left" w:pos="851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rPr>
          <w:iCs/>
          <w:caps/>
          <w:sz w:val="24"/>
          <w:szCs w:val="24"/>
          <w:lang w:val="ru-RU"/>
        </w:rPr>
      </w:pPr>
      <w:bookmarkStart w:id="15" w:name="_Toc75446573"/>
      <w:bookmarkStart w:id="16" w:name="_Toc51339693"/>
      <w:r>
        <w:rPr>
          <w:iCs/>
          <w:sz w:val="24"/>
          <w:szCs w:val="24"/>
        </w:rPr>
        <w:t>Требования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1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>
      <w:pPr>
        <w:pStyle w:val="Heading3"/>
        <w:numPr>
          <w:ilvl w:val="2"/>
          <w:numId w:val="3"/>
        </w:numPr>
        <w:rPr/>
      </w:pPr>
      <w:bookmarkStart w:id="18" w:name="_Toc75446575"/>
      <w:r>
        <w:rPr>
          <w:lang w:val="ru-RU"/>
        </w:rPr>
        <w:t>Перечень и объем закупаемой продукции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75446576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4"/>
        <w:gridCol w:w="6131"/>
        <w:gridCol w:w="1422"/>
        <w:gridCol w:w="1414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cs="font231"/>
                <w:sz w:val="24"/>
                <w:szCs w:val="24"/>
              </w:rPr>
              <w:t>ГОСТ 32513-2023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25 900,00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cs="font231"/>
                <w:sz w:val="24"/>
                <w:szCs w:val="24"/>
              </w:rPr>
              <w:t>ГОСТ 32513-2023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8 900,00</w:t>
            </w:r>
          </w:p>
        </w:tc>
      </w:tr>
      <w:tr>
        <w:trPr>
          <w:trHeight w:val="396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Дизельное топливо (по сезонности) </w:t>
            </w:r>
            <w:r>
              <w:rPr>
                <w:rFonts w:cs="font231"/>
                <w:sz w:val="24"/>
                <w:szCs w:val="24"/>
              </w:rPr>
              <w:t>ГОСТ 32511-2013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26 000,00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1" w:name="_Toc75446578"/>
      <w:bookmarkStart w:id="22" w:name="_Toc513396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поставки продукции и оказания сопутствующих услуг</w:t>
      </w:r>
      <w:bookmarkEnd w:id="2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75446579"/>
      <w:bookmarkStart w:id="24" w:name="_Toc50125127"/>
      <w:bookmarkStart w:id="25" w:name="_Toc51339697"/>
      <w:bookmarkStart w:id="26" w:name="_Toc50125126_Копия_1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4"/>
        <w:gridCol w:w="3123"/>
        <w:gridCol w:w="2693"/>
        <w:gridCol w:w="2977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8" w:name="_Toc46743510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(двенадцать) месяцев с даты начала поставки продукции.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АИ-95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(по сезонности)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9" w:name="_Toc51339698"/>
      <w:bookmarkStart w:id="30" w:name="_Toc75446581"/>
      <w:bookmarkStart w:id="31" w:name="_Toc46743511"/>
      <w:r>
        <w:rPr/>
        <w:t xml:space="preserve">Требования к </w:t>
      </w:r>
      <w:bookmarkEnd w:id="31"/>
      <w:r>
        <w:rPr>
          <w:lang w:val="ru-RU"/>
        </w:rPr>
        <w:t>качеству продукции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contextualSpacing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3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bookmarkEnd w:id="32"/>
      <w:r>
        <w:rPr>
          <w:sz w:val="24"/>
          <w:szCs w:val="24"/>
          <w:lang w:val="ru-RU"/>
        </w:rPr>
        <w:t xml:space="preserve">: </w:t>
      </w:r>
      <w:r>
        <w:rPr>
          <w:b w:val="false"/>
          <w:sz w:val="24"/>
          <w:szCs w:val="24"/>
          <w:lang w:val="ru-RU"/>
        </w:rPr>
        <w:t>«ОКПД2 [19.20.21] Поставка горюче-смазочных материалов для нужд Жигулевского филиала»</w:t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Style w:val="af"/>
        <w:tblW w:w="14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7"/>
        <w:gridCol w:w="3969"/>
        <w:gridCol w:w="3403"/>
        <w:gridCol w:w="3543"/>
        <w:gridCol w:w="2834"/>
        <w:gridCol w:w="19"/>
      </w:tblGrid>
      <w:tr>
        <w:trPr/>
        <w:tc>
          <w:tcPr>
            <w:tcW w:w="9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9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39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543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8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36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Физико-химические и эксплуатационные показатели бензинов АИ-92, АИ-95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64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Октановое число (исследовательский метод), не менее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022" w:hRule="atLeast"/>
        </w:trPr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Октановое число (исследовательский метод), не менее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95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Плотность при 15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С, кг/см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725 до 780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Концентрация свинца, мг/дм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Концентрация марганца, мг/дм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Отсутствует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Концентрация железа, мг/дм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Отсутствует 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Внешний вид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Чистый, прозрачный</w:t>
            </w:r>
          </w:p>
        </w:tc>
        <w:tc>
          <w:tcPr>
            <w:tcW w:w="35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12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ГОСТ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32513-2013</w:t>
            </w:r>
          </w:p>
        </w:tc>
        <w:tc>
          <w:tcPr>
            <w:tcW w:w="3543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Физико-химические и эксплуатационные показатели дизельного топлива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Цетановое число, не менее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3543" w:type="dxa"/>
            <w:vMerge w:val="restart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Массовая доля серы, мг/кг,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2000</w:t>
            </w:r>
          </w:p>
        </w:tc>
        <w:tc>
          <w:tcPr>
            <w:tcW w:w="354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водорастворимых кислот и щелочей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Отсутствует </w:t>
            </w:r>
          </w:p>
        </w:tc>
        <w:tc>
          <w:tcPr>
            <w:tcW w:w="354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Зольность, %,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0,01</w:t>
            </w:r>
          </w:p>
        </w:tc>
        <w:tc>
          <w:tcPr>
            <w:tcW w:w="354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Коксуемость, 10%-го остатка, %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0,20</w:t>
            </w:r>
          </w:p>
        </w:tc>
        <w:tc>
          <w:tcPr>
            <w:tcW w:w="354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воды, мг/кг, не более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354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Плотность при 15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С, кг/см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820 до 845</w:t>
            </w:r>
          </w:p>
        </w:tc>
        <w:tc>
          <w:tcPr>
            <w:tcW w:w="354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284" w:hanging="26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ГОСТ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32511-2013</w:t>
            </w:r>
          </w:p>
        </w:tc>
        <w:tc>
          <w:tcPr>
            <w:tcW w:w="3543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качеству продукции</w:t>
            </w:r>
          </w:p>
        </w:tc>
        <w:tc>
          <w:tcPr>
            <w:tcW w:w="3543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Продукция должна соответствовать требованиям ГОСТ 32513-2023 и Техническому регламенту таможенного союза ТР ТС 013/2011 «О требованиях к автомобильному и авиационному бензину, дизельному и судовому топливу, топливу для реактивных двигателей и мазуту» принятого решением Комиссии Таможенного союза от 18.10.2011г. №826 (с изменениями на 19 декабря 2019 года)</w:t>
            </w:r>
          </w:p>
        </w:tc>
        <w:tc>
          <w:tcPr>
            <w:tcW w:w="354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В случаях поставки ГСМ с отступлениями от условий, указанных в настоящих технических требованиях, ухудшившими результат обеспечения ГСМ, или с иными недостатками, которые делают ГСМ непригодными для предусмотренного в Договоре использования, Покупатель вправе потребовать от Поставщика безвозмездного устранения недостатков. Предоставление некачественных ГСМ приравнивается к их не предоставлению</w:t>
            </w:r>
          </w:p>
        </w:tc>
        <w:tc>
          <w:tcPr>
            <w:tcW w:w="354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Покупатель вправе требовать от Поставщика возмещение стоимости некачественных ГСМ и возмещение реального ущерба, понесенного Покупателем, в связи с предоставленными Покупателю некачественными ГСМ.</w:t>
            </w:r>
          </w:p>
        </w:tc>
        <w:tc>
          <w:tcPr>
            <w:tcW w:w="354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4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72" w:type="dxa"/>
            <w:gridSpan w:val="2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Поставщик должен предоставить по требованию Покупателя копии сертификатов соответствия, подтверждающих соответствие предлагаемой продукции обязательным требованиям нормативных документов, действующих в РФ</w:t>
            </w:r>
          </w:p>
        </w:tc>
        <w:tc>
          <w:tcPr>
            <w:tcW w:w="3543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Сертификат соответствия на продукцию, шт.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3" w:name="_Toc75446583"/>
      <w:bookmarkStart w:id="34" w:name="_Toc53393312"/>
      <w:bookmarkStart w:id="35" w:name="_Toc51339699"/>
      <w:bookmarkStart w:id="36" w:name="_Toc46743519"/>
      <w:bookmarkEnd w:id="35"/>
      <w:bookmarkEnd w:id="36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4"/>
      <w:r>
        <w:rPr>
          <w:sz w:val="24"/>
          <w:szCs w:val="24"/>
          <w:lang w:val="ru-RU"/>
        </w:rPr>
        <w:t xml:space="preserve"> на этапе закупки</w:t>
      </w:r>
      <w:bookmarkEnd w:id="33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 Плановая потребность Покупателя в ГСМ, указана в Таблице 1.1. настоящих технических требованиях.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3.2. Плановая потребность Покупателя в Картах указана в п.1.4.5 настоящих технических требований.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3.3. Участник в составе заявки должен представить информацию 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3.3.1 Размере скидки на 1 (один) литр топлива в % (процентах), исходя из плановой потребности Покупателя в ГСМ, указанной в Таблице 1.1. настоящих технических требованиях.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3.4. При условии соответствия заявок Участников требованиям Документации о закупке, выбор Победителя будет осуществляться по: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максимальному размеру скидки на 1 (один) литр топлива, (%), предоставленной в заявке Участника, с учетом оценочных критериев, указанных в Документации о закупке.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3.5. Предельная цена Договора, заключаемого в результате закупочной процедуры будет соответствовать цене лота, указанной в Извещении о проведении закупки, и не может быть увеличена в ходе закупочной процедуры и/или исполнения Договора.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3.6. Заявленная Победителем закупочной процедуры (Участником) итоговая скидка на 1 (один) литр топлива (%) будет применяться ко всем получаемым Покупателем ГСМ по Картам (талонам) на АЗС Поставщика в течение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Механик </w:t>
      </w:r>
      <w:r>
        <w:rPr>
          <w:rFonts w:eastAsia="Arial Unicode MS"/>
          <w:color w:val="00000A"/>
          <w:kern w:val="2"/>
          <w:sz w:val="24"/>
          <w:szCs w:val="24"/>
        </w:rPr>
        <w:t xml:space="preserve">   _________________  Власов Д.Г.</w:t>
      </w:r>
    </w:p>
    <w:p>
      <w:pPr>
        <w:pStyle w:val="Normal"/>
        <w:ind w:left="6237" w:right="60" w:firstLine="683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37" w:name="_Toc51339699_Копия_1"/>
      <w:bookmarkStart w:id="38" w:name="_Toc46743519_Копия_1"/>
      <w:bookmarkStart w:id="39" w:name="_Toc51339699_Копия_1"/>
      <w:bookmarkStart w:id="40" w:name="_Toc46743519_Копия_1"/>
      <w:bookmarkEnd w:id="39"/>
      <w:bookmarkEnd w:id="40"/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38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firstLine="436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ind w:left="5819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link w:val="110"/>
    <w:uiPriority w:val="99"/>
    <w:qFormat/>
    <w:locked/>
    <w:rsid w:val="00d46461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725842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c96c8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110" w:customStyle="1">
    <w:name w:val="Основной текст1"/>
    <w:basedOn w:val="Normal"/>
    <w:link w:val="Style14"/>
    <w:uiPriority w:val="99"/>
    <w:qFormat/>
    <w:rsid w:val="00d46461"/>
    <w:pPr>
      <w:widowControl w:val="false"/>
      <w:shd w:val="clear" w:color="auto" w:fill="FFFFFF"/>
      <w:spacing w:lineRule="exact" w:line="302"/>
    </w:pPr>
    <w:rPr/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F5B4-E4F6-4A58-898B-E65F9DB6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6</Pages>
  <Words>1114</Words>
  <Characters>7541</Characters>
  <CharactersWithSpaces>8483</CharactersWithSpaces>
  <Paragraphs>177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2024-08-21T05:29:00Z</dcterms:created>
  <dc:creator>Быстров Олег Геннадьевич</dc:creator>
  <dc:description/>
  <dc:language>ru-RU</dc:language>
  <cp:lastModifiedBy>vlasovdg@corp.gidroogk.com</cp:lastModifiedBy>
  <cp:lastPrinted>2006-07-26T14:04:00Z</cp:lastPrinted>
  <dcterms:modified xsi:type="dcterms:W3CDTF">2026-05-18T08:02:55Z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