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>ОКПД2 71.12.40.129 по поверке анемометров подъемных сооружений (козловых кранов филиала ПАО «РусГидро»-«</w:t>
      </w:r>
      <w:r>
        <w:rPr>
          <w:rFonts w:eastAsia="Calibri"/>
          <w:b/>
          <w:bCs/>
          <w:sz w:val="26"/>
          <w:szCs w:val="26"/>
        </w:rPr>
        <w:t>Каскад Верхневолжских</w:t>
      </w:r>
      <w:r>
        <w:rPr>
          <w:rFonts w:eastAsia="Calibri"/>
          <w:b/>
          <w:bCs/>
          <w:sz w:val="26"/>
          <w:szCs w:val="26"/>
        </w:rPr>
        <w:t xml:space="preserve"> ГЭС») для нужд Жигулевского филиала АО «Гидроремонт-ВКК» в г. Жигулевск в 2027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нормативные правовые акты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организационно-распорядительный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подъемные сооружения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71.12.40.129 по поверке анемометров подъемных сооружений (козловых кранов филиала ПАО «РусГидро»-«</w:t>
      </w:r>
      <w:r>
        <w:rPr>
          <w:rFonts w:eastAsia="Calibri"/>
          <w:sz w:val="24"/>
          <w:szCs w:val="24"/>
          <w:lang w:eastAsia="x-none"/>
        </w:rPr>
        <w:t>Каскад Верхневолжских</w:t>
      </w:r>
      <w:r>
        <w:rPr>
          <w:rFonts w:eastAsia="Calibri"/>
          <w:sz w:val="24"/>
          <w:szCs w:val="24"/>
          <w:lang w:eastAsia="x-none"/>
        </w:rPr>
        <w:t xml:space="preserve"> ГЭС») для нужд Жигулевского филиала АО «Гидроремонт-ВКК» в г. Жигулевск в 2027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проведения поверки анемометров является обеспечение контроля за точностными характеристиками измерителей скорости воздушного потока.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Филиал эксплуатирует ОПО, на которых используются стационарно установленные грузоподъемные механизмы. Козловые краны оснащены анемометрами.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В соответствии с рекомендациями изготовителей анемометры следует подвергать регулярной поверке с периодичностью не реже 1 раза в год.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438"/>
        <w:gridCol w:w="4022"/>
        <w:gridCol w:w="895"/>
        <w:gridCol w:w="1996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средства измерения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тип СИ по Федеральному информационному</w:t>
            </w:r>
          </w:p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фонду в области обеспечения</w:t>
            </w:r>
          </w:p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измерения, номер ГРСИ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 проведения работ</w:t>
            </w:r>
          </w:p>
        </w:tc>
      </w:tr>
      <w:tr>
        <w:trPr>
          <w:trHeight w:val="9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 козловых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кранов АСЦ -3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Метрологические услуги / Анемометры сигнальные цифровые /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АСЦ-3 (№ 46026-10)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Аккредитованная метрологическая лаборатория</w:t>
            </w:r>
          </w:p>
        </w:tc>
      </w:tr>
    </w:tbl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Снятие и установку, а также доставку и вывоз средств измерений до аккредитованной метрологической лаборатории Исполнителя Филиал осуществляет своими силами и за свой счет.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Выполняемая в аккредитованной метрологической лаборатории поверка анемометров включает следующие этапы: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внешний осмотр с проверкой комплектности и маркировки, установление отсутствия грубых механических повреждений, загрязнений, влияющих на работоспособность прибора;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опробование и контроль работоспособности анемометра;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проверка диапазона и определение основной абсолютной погрешности при измерении скорости воздушного потока.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Лаборатория исполнителя должна быть оснащена необходимым оборудованием для качественного проведения метрологического обслуживания измерителей скорости воздуха. Поверка анемометров выполняется в стационарных условиях с использованием образцового аэрометрического стенда – аэродинамической установки (стенда). Примечание: при поверке могут применяться средства измерений других типов и марок с характеристиками не хуже аэродинамической установки (стенда).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трудового распорядка.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Все работы, предусмотренные настоящими ТТ, должны проводиться Исполнителем по Методике поверки, рекомендованной изготовителем средств измерений (МП 255-0149-2010).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4550"/>
        <w:gridCol w:w="1421"/>
        <w:gridCol w:w="1470"/>
        <w:gridCol w:w="1590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Поверка средств измерений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71.12.40.129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pacing w:before="0" w:after="0"/>
              <w:ind w:left="850" w:right="68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 козловых кранов АСЦ -3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9"/>
        <w:gridCol w:w="3460"/>
        <w:gridCol w:w="1951"/>
        <w:gridCol w:w="1919"/>
        <w:gridCol w:w="181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Поверка средств измерений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/>
            </w:pPr>
            <w:r>
              <w:rPr/>
              <w:t>1.1.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Анемометры козловых кранов АСЦ -3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позднее 31.12.2027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Общий срок: с даты заключения договора и по 31.12.2026.</w:t>
      </w: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2): ЭПБ.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обязан руководствоваться и исполнять требования следующих НПА и 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настоящие технические требования;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утв.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 Росстандарта от 25.11.2019 № 2815 «Об утверждении Государственной поверочной схемы для средств измерений скорости воздушного потока»;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иные нормативные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действующие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Услуги оказываются на территории Исполнителя.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 и выдача средств измерений (анемометров) осуществляются с оформлением акта приема-передачи. Предоставляемые Заказчиком Исполнителю средства измерения (анемометры) должны иметь буквенно-цифровые обозначения, однозначно идентифицирующие каждый экземпляр средства измерения (анемометры).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Оборудование, инструменты и материалы, необходимые для оказания услуг, приобретаются исполнителем самостоятельно.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Применяемые при оказании услуг инструменты и оборудование должны обслуживаться, ремонтироваться, проверяться, испытываться и проходить техническое освидетельствование в соответствии с требованиями технической документации организации-изготовителя квалифицированным персоналом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Поверка анемометров должна проводиться в стационарных условиях с использованием аэродинамической установки (стенда). Примечание: при поверке могут применяться средства измерений других типов и марок с характеристиками не хуже аэродинамической установки (стенда).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 проведению поверки допускаются лица, имеющие соответствующую квалификацию и право проведения поверки средств измерений скорости воздушного потока, а также изучившие методику поверки.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Персонал исполнителя должен иметь удостоверения о повышении квалификации по программам «Поверка и калибровка средств измерений» (в зависимости от характера выполняемых работ).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Результаты поверки средств измерений подтверждаются сведениями 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результатах поверки средств измерений, опубликованными в Федеральном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информационном фонде по обеспечению единства измерений – ФИФ ОЕИ (ФГИС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«Аршин» https://fgis.gost.ru/fundmetrology/cm/results/).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Исполнитель услуг не позднее, чем за 3 рабочих дня до планируемой даты возврата средств измерений (анемометров) информирует специалиста по промышленной безопасности Жигулевского филиала АО «Гидроремонт-ВКК» в г. Жигулевск посредством телефонного звонка на т. +7(927)023-74-63 или направления электронного сообщения на адрес электронной почты: </w:t>
            </w:r>
            <w:hyperlink r:id="rId5">
              <w:r>
                <w:rPr>
                  <w:rStyle w:val="Hyperlink"/>
                  <w:rFonts w:eastAsia="Times New Roman" w:cs="Times New Roman"/>
                  <w:i/>
                  <w:iCs/>
                  <w:kern w:val="0"/>
                  <w:sz w:val="24"/>
                  <w:szCs w:val="24"/>
                  <w:lang w:val="ru-RU" w:eastAsia="ru-RU" w:bidi="ar-SA"/>
                </w:rPr>
                <w:t>SugakDS@rushydro.ru</w:t>
              </w:r>
            </w:hyperlink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Передача Исполнителем документов по результатам оказания услуг не предусмотрена.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лаборатории, аккредитованной в соответствии с законодательством Российской Федерации об аккредитации в национальной системе аккредитации на проведение поверки средств измерений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сведений о номере в реестре аккредитованных лиц, выполняющих работы и(или) оказывающих услуги в области обеспечения единства измерений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выявлении замечаний к содержанию результатов оказания услуг, в т.ч. со стороны надзорных и контролирующих инстанций, Исполнитель обязан устранить замечания и предоставить Заказчику исправленный вариант документации в течение 3 лет с даты утверждения документа, являющегося результатом оказания услуги.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3312"/>
      <w:bookmarkStart w:id="36" w:name="_Toc53395937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_Копия_1_Копия_1_Копия_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_Копия_1_Копия_1_Копия_1"/>
      <w:bookmarkStart w:id="46" w:name="_Ref125469522111_Копия_1_Копия_1_Копия_1"/>
      <w:bookmarkStart w:id="47" w:name="_Ref12546952211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_Копия_1_Копия_1"/>
      <w:bookmarkStart w:id="52" w:name="_Ref125469522111_Копия_1"/>
      <w:bookmarkStart w:id="53" w:name="_Ref125469522111_Копия_1_Копия_1_Копия_1"/>
      <w:bookmarkStart w:id="54" w:name="_Ref125469522111_Копия_1_Копия_1_Копия_1"/>
      <w:bookmarkStart w:id="55" w:name="_Ref125469522111_Копия_1_Копия_1_Копия_1"/>
      <w:bookmarkStart w:id="56" w:name="_Ref125469522111_Копия_1_Копия_1_Копия_1"/>
      <w:bookmarkStart w:id="57" w:name="_Ref125469522111_Копия_1_Копия_1"/>
      <w:bookmarkStart w:id="58" w:name="_Ref125469522111_Копия_1_Копия_1_Копия_1"/>
      <w:bookmarkStart w:id="59" w:name="_Ref125469522111_Копия_1_Копия_1_Копия_1"/>
      <w:bookmarkStart w:id="60" w:name="_Ref125469522111_Копия_1_Копия_1_Копия_1"/>
      <w:bookmarkStart w:id="61" w:name="_Ref125469522111_Копия_1_Копия_1_Копия_1"/>
      <w:bookmarkStart w:id="62" w:name="_Ref125469522111_Копия_1_Копия_1_Копия_1"/>
      <w:bookmarkStart w:id="63" w:name="_Ref125469522111_Копия_1_Копия_1_Копия_1"/>
      <w:bookmarkStart w:id="64" w:name="_Ref125469522111_Копия_1_Копия_1_Копия_1"/>
      <w:bookmarkStart w:id="65" w:name="_Ref125469522111_Копия_1_Копия_1_Копия_1"/>
      <w:bookmarkStart w:id="66" w:name="_Ref125469522111_Копия_1_Копия_1_Копия_1"/>
      <w:bookmarkStart w:id="67" w:name="_Ref125469522111_Копия_1_Копия_1_Копия_1"/>
      <w:bookmarkStart w:id="68" w:name="_Ref125469522111_Копия_1_Копия_1_Копия_1"/>
      <w:bookmarkStart w:id="69" w:name="_Ref125469522111"/>
      <w:bookmarkStart w:id="70" w:name="_Ref125469522111_Копия_1_Копия_1_Копия_1"/>
      <w:bookmarkStart w:id="71" w:name="_Ref125469522111_Копия_1_Копия_1_Копия_1"/>
      <w:bookmarkStart w:id="72" w:name="_Ref125469522111_Копия_1_Копия_1_Копия_1"/>
      <w:bookmarkStart w:id="73" w:name="_Ref125469522111_Копия_1_Копия_1_Копия_1"/>
      <w:bookmarkStart w:id="74" w:name="_Ref125469522111_Копия_1"/>
      <w:bookmarkStart w:id="75" w:name="_Ref125469522111_Копия_1_Копия_1_Копия_1"/>
      <w:bookmarkStart w:id="76" w:name="_Ref125469522111_Копия_1_Копия_1_Копия_1"/>
      <w:bookmarkStart w:id="77" w:name="_Ref125469522111_Копия_1_Копия_1_Копия_1"/>
      <w:bookmarkStart w:id="78" w:name="_Ref125469522111_Копия_1_Копия_1_Копия_1"/>
      <w:bookmarkStart w:id="79" w:name="_Ref125469522111_Копия_1_Копия_1"/>
      <w:bookmarkStart w:id="80" w:name="_Ref125469522111_Копия_1_Копия_1_Копия_1"/>
      <w:bookmarkStart w:id="81" w:name="_Ref125469522111_Копия_1_Копия_1_Копия_1"/>
      <w:bookmarkStart w:id="82" w:name="_Ref125469522111_Копия_1_Копия_1_Копия_1"/>
      <w:bookmarkStart w:id="83" w:name="_Ref125469522111_Копия_1_Копия_1_Копия_1"/>
      <w:bookmarkStart w:id="84" w:name="_Ref125469522111_Копия_1_Копия_1_Копия_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85" w:name="_Ref125469522111_Копия_1_Копия_1_Копия_1"/>
      <w:bookmarkEnd w:id="85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86" w:name="Закладка_131"/>
      <w:bookmarkStart w:id="87" w:name="Закладка_12"/>
      <w:bookmarkStart w:id="88" w:name="_Ref1254695221"/>
      <w:bookmarkStart w:id="89" w:name="_Ref125469522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</w:t>
      </w:r>
      <w:bookmarkEnd w:id="86"/>
      <w:bookmarkEnd w:id="87"/>
      <w:bookmarkEnd w:id="88"/>
      <w:bookmarkEnd w:id="89"/>
      <w:r>
        <w:rPr>
          <w:rStyle w:val="Style8"/>
          <w:b w:val="false"/>
          <w:bCs/>
          <w:i w:val="false"/>
          <w:shd w:fill="auto" w:val="clear"/>
        </w:rPr>
        <w:t>ментации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90" w:name="_GoBack"/>
      <w:bookmarkStart w:id="91" w:name="_Ref40301253"/>
      <w:bookmarkEnd w:id="90"/>
      <w:bookmarkEnd w:id="91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92" w:name="Закладка_1_Копия_1"/>
      <w:r>
        <w:rPr>
          <w:rFonts w:cs="Times New Roman"/>
        </w:rPr>
        <w:t>ценообразованию</w:t>
      </w:r>
      <w:bookmarkEnd w:id="92"/>
    </w:p>
    <w:p>
      <w:pPr>
        <w:pStyle w:val="PlainTex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</w:p>
    <w:p>
      <w:pPr>
        <w:pStyle w:val="PlainTex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Стоимость услуг определяется в соответствии с действующими Тарифами на оказание услуг в области обеспечения единства измерений , </w:t>
      </w:r>
      <w:r>
        <w:rPr>
          <w:rFonts w:ascii="Times New Roman" w:hAnsi="Times New Roman"/>
          <w:sz w:val="24"/>
          <w:szCs w:val="24"/>
        </w:rPr>
        <w:t xml:space="preserve">размещенными в общем доступе на официальном сайте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или договорными ценами согласно протоколу согласования договорной цены.</w:t>
      </w:r>
    </w:p>
    <w:sectPr>
      <w:headerReference w:type="default" r:id="rId10"/>
      <w:headerReference w:type="first" r:id="rId11"/>
      <w:footerReference w:type="default" r:id="rId12"/>
      <w:type w:val="nextPage"/>
      <w:pgSz w:w="11906" w:h="16838"/>
      <w:pgMar w:left="1418" w:right="851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3C011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3C011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">
    <w:name w:val="line number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SugakDS@rushydro.ru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EFB0-9FF0-4D02-A507-02E9A697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AlterOffice/3.4.0.9$Linux_X86_64 LibreOffice_project/b8daf9e823b1a5463a2f48435ddc2e8696e7d4fc</Application>
  <AppVersion>15.0000</AppVersion>
  <Pages>14</Pages>
  <Words>1593</Words>
  <Characters>11305</Characters>
  <CharactersWithSpaces>12598</CharactersWithSpaces>
  <Paragraphs>300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2025-01-29T14:53:46Z</cp:lastPrinted>
  <dcterms:modified xsi:type="dcterms:W3CDTF">2026-05-05T16:18:52Z</dcterms:modified>
  <cp:revision>90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