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8.xml" ContentType="application/vnd.openxmlformats-officedocument.wordprocessingml.head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14.xml" ContentType="application/vnd.openxmlformats-officedocument.wordprocessingml.header+xml"/>
  <Override PartName="/word/header13.xml" ContentType="application/vnd.openxmlformats-officedocument.wordprocessingml.header+xml"/>
  <Override PartName="/word/media/image1.wmf" ContentType="image/x-wmf"/>
  <Override PartName="/word/embeddings/oleObject1.xlsx" ContentType="application/vnd.openxmlformats-officedocument.spreadsheetml.sheet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</w:rPr>
      </w:pPr>
      <w:r>
        <w:rPr>
          <w:rFonts w:eastAsia="Calibri"/>
          <w:b/>
          <w:bCs/>
          <w:sz w:val="26"/>
          <w:szCs w:val="26"/>
        </w:rPr>
        <w:t>ОКПД2 71.20.19.190 по проведению экспертизы промышленной безопасности, комплексного обследования рельсовых путей и наладки (обслуживания) приборов безопасности подъемных сооружений филиала ПАО «РусГидро»-«Жигулевская ГЭС» для нужд Жигулевского филиала АО «Гидроремонт-ВКК» в г. Жигулевск в 2027 году</w:t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________________________________</w:t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сокращения…………………………………………………………………………………..</w:t>
              <w:tab/>
            </w:r>
          </w:hyperlink>
          <w:r>
            <w:rPr/>
            <w:t>3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продукции………………………………………………………………………</w:t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 ………………………………………………………………………………………….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 …………………………………………………………………………………..</w:t>
              <w:tab/>
            </w:r>
          </w:hyperlink>
          <w:r>
            <w:rPr/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/>
            <w:t>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……………………………………………………………………………………………………………...</w:t>
              <w:tab/>
            </w:r>
          </w:hyperlink>
          <w:r>
            <w:rPr/>
            <w:t>6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1">
            <w:r>
              <w:rPr>
                <w:webHidden/>
                <w:rStyle w:val="Style14"/>
                <w:iCs/>
                <w:vanish w:val="false"/>
              </w:rPr>
              <w:t>1.6.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Иные требования и сведения общего характера…………………………………………………………….</w:t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7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услуг……………………………………………………………</w:t>
            </w:r>
          </w:hyperlink>
          <w:r>
            <w:rPr/>
            <w:t>7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перечню и объему услуг</w:t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7</w:t>
          </w:r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  <w:tab/>
            </w:r>
          </w:hyperlink>
          <w:r>
            <w:rPr/>
            <w:t>9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</w:r>
          </w:hyperlink>
          <w:r>
            <w:rPr>
              <w:vanish w:val="false"/>
            </w:rPr>
            <w:t>9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качеству услуг ……………………………………………………………………………….12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1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12">
            <w:r>
              <w:rPr>
                <w:webHidden/>
                <w:rStyle w:val="Style14"/>
                <w:vanish w:val="false"/>
              </w:rPr>
              <w:t>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25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/>
            <w:t xml:space="preserve">Приложение № 1. </w:t>
          </w:r>
          <w:hyperlink w:anchor="_Toc5464371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Требования к оформлению и составлению документации по ценообразованию</w:t>
              <w:tab/>
              <w:t>26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</w:numPr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опасный производственный объект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НТД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нормативно-техническая документация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НПА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нормативные правовые акты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организационно-распорядительный документ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подъемные сооружения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экспертиза промышленной безопасности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 РП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 комплексное обследование рельсового пути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  <w:r>
        <w:rPr/>
        <w:t>/услуги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«ОКПД2 71.20.19.190 Оказание услуг по проведению экспертизы промышленной безопасности, комплексного обследования рельсового пути и наладки (обслуживания) приборов безопасности подъемных сооружений филиала ПАО «РусГидро»-«Жигулевская ГЭС» для нужд Жигулевского филиала АО «Гидроремонт-ВКК» в г. Жигулевск (далее также - Заказчик) в 2027 году».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Услуги оказываются в рамках исполнения Филиалом обязательств по доходному договору по эксплуатации подъемных сооружений филиала ПАО «РусГидро»-«Жигулевская ГЭС».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Целью проведения ЭПБ ПС, подлежащих учету в Ростехнадзоре, является выдача заключения ЭПБ. При проведении ЭПБ необходимо выполнить комплекс работ по определению технического состояния ПС с оформлением заключения ЭПБ, содержащего выводы о соответствии (не соответствии) объекта экспертизы требованиям промышленной безопасности. По результатам ЭПБ в заключении должны дополнительно приводиться сведения о расчетных и аналитических процедурах оценки и прогнозирования технического состояния ПС, включающие определение остаточного ресурса (срока службы) с отражением в выводах заключения экспертизы установленного срока дальнейшей безопасной эксплуатации объекта экспертизы, с указанием условий дальнейшей безопасной эксплуатации.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 xml:space="preserve">Целью КО РП является определение их технического состояния. При проведении КО РП выполняется комплекс работ по определению технического состояния с оформлением заключения (акта) комплексного обследования рельсового пути.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Целью наладки приборов безопасности является определение возможности и параметров их дальнейшей эксплуатации. При проведении наладки приборов безопасности выполняется комплекс работ с оформлением протоколов (удостоверений) о наладке (обслуживании) приборов безопасности, содержащие заключение об их техническом состоянии.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При считывании данных с регистратора параметров ограничителя нагрузки крана ОНК-160М сформировать карту (протокол) о параметрах работы крана и осуществить обработку (расшифровку) этих данных.</w:t>
      </w:r>
    </w:p>
    <w:p>
      <w:pPr>
        <w:pStyle w:val="Heading4"/>
        <w:numPr>
          <w:ilvl w:val="1"/>
          <w:numId w:val="3"/>
        </w:numPr>
        <w:rPr/>
      </w:pPr>
      <w:bookmarkStart w:id="7" w:name="_Toc46743508"/>
      <w:bookmarkStart w:id="8" w:name="_Toc54643698"/>
      <w:r>
        <w:rPr/>
        <w:t>Существующее положение</w:t>
      </w:r>
      <w:bookmarkEnd w:id="7"/>
      <w:bookmarkEnd w:id="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Типовое наименование ОПО: ОПО, на которых используются стационарно установленные грузоподъемные механизмы.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Большая часть эксплуатируемых ПС филиала ПАО «РусГидро»-«Жигулевская ГЭС» в настоящий момент отработала нормативный срок службы. На основании требований законодательства в области промышленной безопасности для дальнейшей эксплуатации ПС должно быть организовано проведение ЭПБ.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В соответствии с требованиями действующих НПА и НТД периодическое комплексное обследование рельсовых путей проводится специализированными организациями не реже одного раза в три года.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color w:val="000000"/>
          <w:sz w:val="24"/>
          <w:szCs w:val="24"/>
          <w:shd w:fill="auto" w:val="clear"/>
        </w:rPr>
        <w:t>Наладка приборов безопасности должна выполняться в соответствии с их эксплуатационными документами, а также эксплуатационной документацией ПС</w:t>
      </w: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.</w:t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02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15"/>
        <w:gridCol w:w="2550"/>
        <w:gridCol w:w="2170"/>
        <w:gridCol w:w="3275"/>
        <w:gridCol w:w="1410"/>
      </w:tblGrid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454" w:right="-454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ОПО «Площадка маневровых и ремонтных работ машинного зала Жигулевского филиала», рег. № А40-19617-0031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Самарская обл.,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г. Жигулевск,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Московское шоссе, 2. Филиал ПАО «РусГидро»- «Жигулевская ГЭС»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Рельсовый путь мостовых кранов машинного зала г/п 450/100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Рельсовый путь мостовых кранов машинного зала г/п 30/5 т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Площадка мостового крана склада № 2 Жигулевского филиала, рег. № А40-19617-0032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Самарская обл.,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Жигулевск,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Московское шоссе, 2. Филиал ПАО «РусГидро»- «Жигулевская ГЭС»</w:t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Мостовой кран КМ10 г/п 10 т (уч. (рег.) № 09704)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Рельсовый путь мостового крана склада ОМТС № 2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ОПО «Площадка маневровых и ремонтных работ сороудерживающего сооружения Жигулевского филиала», рег. № А40-19617-0033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Самарская обл.,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г. Жигулевск,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Московское шоссе, 2. Филиал ПАО «РусГидро»- «Жигулевская ГЭС»</w:t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Козловые краны СУС КК250 (рег. (уч.) №№ 09697, 09698)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ОПО «Площадка маневровых и ремонтных работ водосливной плотины Жигулевского филиала», рег. № А40-19617-0034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Самарская обл.,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г. Жигулевск,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Московское шоссе, 2. Филиал ПАО «РусГидро»- «Жигулевская ГЭС»</w:t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Козловые краны ВСП КК250 (рег. (уч.) №№ 09695, 09696, 09544)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ОПО «Площадка мостового крана склада базы оборудования Жигулевского филиала», рег. № А40-19617-0035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Самарская обл.,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г. Жигулевск,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Московское шоссе, 2. Филиал ПАО «РусГидро»- «Жигулевская ГЭС»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Рельсовый путь мостового крана склада базы оборудования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ОПО «Площадка маневровых и ремонтных работ щитового отделения нижнего бьефа Жигулевского филиала», рег. № А40-19617-0036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Самарская обл.,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г. Жигулевск,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Московское шоссе, 2. Филиал ПАО «РусГидро»- «Жигулевская ГЭС»</w:t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Козловые краны ЩОНБ КК250 (рег. (уч.) №№ 09693, 09694)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Площадка маневровых и ремонтных работ щитового отделения верхнего бьефа Жигулевского филиала, </w:t>
            </w:r>
            <w:r>
              <w:rPr>
                <w:iCs/>
                <w:sz w:val="24"/>
                <w:szCs w:val="24"/>
              </w:rPr>
              <w:t>рег. № А40-19617-0036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Самарская обл.,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г. Жигулевск,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Московское шоссе, 2. Филиал ПАО «РусГидро»- «Жигулевская ГЭС»</w:t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Мостовые краны КМ400/60 (рег. (уч.) №№ 09701, 09702)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мостовых кранов ЩОВБ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Площадка мостового крана склада № 1 Жигулевского филиала, рег. № А40-19617-0038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Самарская обл.,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Жигулевск,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Московское шоссе, 2. Филиал ПАО «РусГидро»- «Жигулевская ГЭС»</w:t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Мостовой кран КМ10 г/п 10 т (уч. (рег.) № 10609-Т)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Рельсовый путь мостового крана склада ОМТС № 1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ОПО «Площадка козлового крана базы оборудования Жигулевского филиала», рег. № А40-19617-0039</w:t>
            </w:r>
          </w:p>
        </w:tc>
        <w:tc>
          <w:tcPr>
            <w:tcW w:w="21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Самарская обл.,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г. Жигулевск,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Московское шоссе, 2.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Филиал ПАО «РусГидро» - «Жигулевская ГЭС»</w:t>
            </w:r>
          </w:p>
        </w:tc>
        <w:tc>
          <w:tcPr>
            <w:tcW w:w="3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Cs/>
                <w:sz w:val="24"/>
                <w:szCs w:val="24"/>
              </w:rPr>
              <w:t>Кран козловой МККС-42Км-60 (уч. (рег.) № 10608-Т)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Рельсовый путь козлового крана базы оборудования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BodyTex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1.5.  </w:t>
      </w:r>
      <w:bookmarkStart w:id="10" w:name="_Toc54643700"/>
      <w:bookmarkStart w:id="11" w:name="_Hlk49857604"/>
      <w:bookmarkStart w:id="12" w:name="_Toc46743509"/>
      <w:r>
        <w:rPr>
          <w:b/>
          <w:bCs/>
          <w:sz w:val="24"/>
          <w:szCs w:val="24"/>
        </w:rPr>
        <w:t xml:space="preserve">Информация в отношении исполнения договора, </w:t>
      </w:r>
      <w:bookmarkStart w:id="13" w:name="_Hlk46492347"/>
      <w:r>
        <w:rPr>
          <w:b/>
          <w:bCs/>
          <w:sz w:val="24"/>
          <w:szCs w:val="24"/>
        </w:rPr>
        <w:t xml:space="preserve">которая должна быть учтена при подготовке заявки </w:t>
      </w:r>
      <w:bookmarkEnd w:id="13"/>
      <w:r>
        <w:rPr>
          <w:b/>
          <w:bCs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0"/>
      <w:bookmarkEnd w:id="11"/>
      <w:bookmarkEnd w:id="12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При оказании услуг Исполнитель обязан обеспечить применение персоналом сертифицированных средств индивидуальной защиты, соответствующих характеру оказываемых услуг, а также соблюдение правил внутреннего распорядка, действующих в филиале ПАО «РусГидро»-«Жигулевская ГЭС» и в Жигулевском филиале АО «Гидроремонт-ВКК» в г. Жигулевск.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>Допуск персонала Исполнителя для оказания услуг осуществляется в соответствии с Регламентом процесса допуска подрядных организаций на объекты ПАО «РусГидро», утвержденным Приказом ПАО «РусГидро» от 28.04.2023 № 300. В соответствии с Методикой допуска персонала подрядных организаций к выполнению работ на объектах ПАО «РусГидро» (приложение 2 к приказу ПАО «РусГидро» от 28.04.2023 № 300) Исполнитель сопроводительным письмом на имя заказчика направляет список работников, с предоставлением прав ответственных за безопасное выполнение работ на объектах с указанием группы по электробезопасности и разряда работников, сообщает состав бригады для допуска персонала на объекты и места выполнения работ, с указанием руководителя работ, лица, выдающего наряд (при наличии), производителей работ и членов бригады. К письму сведения указанные в сопроводительном письме должны быть подтверждены копиями ОРД Исполнителя, протоколов проверки знаний, аттестации, копиями удостоверений о проверке знаний, свидетельств о прохождении обучения, документов прохождения медосмотра и психиатрического освидетельствования, заверенными руководителем или уполномоченным лицом Исполнителя.</w:t>
      </w:r>
    </w:p>
    <w:p>
      <w:pPr>
        <w:pStyle w:val="Heading4"/>
        <w:numPr>
          <w:ilvl w:val="0"/>
        </w:numPr>
        <w:ind w:left="432" w:hanging="432"/>
        <w:rPr/>
      </w:pPr>
      <w:bookmarkStart w:id="14" w:name="_Toc50125126"/>
      <w:bookmarkEnd w:id="14"/>
      <w:r>
        <w:rPr/>
        <w:t xml:space="preserve">1.6. </w:t>
      </w:r>
      <w:bookmarkStart w:id="15" w:name="_Toc54643701"/>
      <w:r>
        <w:rPr/>
        <w:t>Иные требования и сведения общего характера</w:t>
      </w:r>
      <w:bookmarkEnd w:id="1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Все работы, предусмотренные настоящим ТТ, проводятся по наряду-допуску и выполняются согласно разрабатываемому Исполнителем проекту производства работ (технологической карте).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3702"/>
      <w:bookmarkStart w:id="17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64"/>
        <w:gridCol w:w="3706"/>
        <w:gridCol w:w="1690"/>
        <w:gridCol w:w="1867"/>
        <w:gridCol w:w="1768"/>
      </w:tblGrid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ОКПД2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7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auto" w:val="clear"/>
                <w:lang w:val="en-US"/>
              </w:rPr>
              <w:t>ЭПБ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71.20.19.190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bidi w:val="0"/>
              <w:spacing w:before="0" w:after="0"/>
              <w:ind w:left="794" w:right="68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КМ400/60, г/п2*200/2*30 т (рег. (уч.) № 09701)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bidi w:val="0"/>
              <w:spacing w:before="0" w:after="0"/>
              <w:ind w:left="794" w:right="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ЭПБ крана мостового КМ400/60, г/п2*200/2*30 т  (рег. (уч.) № 09702)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bidi w:val="0"/>
              <w:spacing w:before="0" w:after="0"/>
              <w:ind w:left="794" w:right="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ЭПБ крана козлового КК250, г/п 2*125/50т (рег. (уч.) № 09693)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bidi w:val="0"/>
              <w:spacing w:before="0" w:after="0"/>
              <w:ind w:left="794" w:right="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</w:t>
            </w:r>
            <w:r>
              <w:rPr>
                <w:iCs/>
                <w:sz w:val="24"/>
                <w:szCs w:val="24"/>
              </w:rPr>
              <w:t>рана козлового КК250, г/п 125/62,5/7,5т (рег. (уч.) № 09694)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bidi w:val="0"/>
              <w:spacing w:before="0" w:after="0"/>
              <w:ind w:left="794" w:right="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козлового КК250, г/п 2*125/2*25/2*12,5т (рег. (уч.) № 09697)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bidi w:val="0"/>
              <w:spacing w:before="0" w:after="0"/>
              <w:ind w:left="794" w:right="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ЭПБ крана козлового КК250, г/п 2*125/2*25/2*12,5т (рег. (уч.) № 09698)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bidi w:val="0"/>
              <w:spacing w:before="0" w:after="0"/>
              <w:ind w:left="794" w:right="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ЭПБ крана козлового КК250, г/п 2*125/20/2*7,5т (рег. (уч.) № 09695)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bidi w:val="0"/>
              <w:spacing w:before="0" w:after="0"/>
              <w:ind w:left="794" w:right="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ЭПБ крана козлового КК250, г/п 2*125/20/2*7,5т (рег. (уч.) № 09696)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bidi w:val="0"/>
              <w:spacing w:before="0" w:after="0"/>
              <w:ind w:left="794" w:right="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</w:t>
            </w:r>
            <w:r>
              <w:rPr>
                <w:iCs/>
                <w:sz w:val="24"/>
                <w:szCs w:val="24"/>
              </w:rPr>
              <w:t>рана козлового КК250, г/п 2*125/20/2*7,5т (рег. (уч.) № 09544)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bidi w:val="0"/>
              <w:spacing w:before="0" w:after="0"/>
              <w:ind w:left="794" w:right="0" w:hanging="794"/>
              <w:contextualSpacing/>
              <w:jc w:val="left"/>
              <w:rPr/>
            </w:pPr>
            <w:r>
              <w:rPr/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КМ10, г/п 10 т (уч. (рег.) № 09704)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/>
            </w:pPr>
            <w:r>
              <w:rPr/>
              <w:t>1.11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КМ10, г/п 10 т (уч. (рег.) № 10609-Т)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 РП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97" w:right="-227" w:hanging="34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мостовых кранов машинного зала г/п 450/100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97" w:right="-227" w:hanging="34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мостовых кранов машинного зала г/п 30/5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97" w:right="-227" w:hanging="34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2.3.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мостовых кранов ЩОВБ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97" w:right="-227" w:hanging="34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2.4.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козлового крана базы оборудования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187,5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97" w:right="-227" w:hanging="34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2.5.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мостового крана склада ОМТС № 1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97" w:right="-227" w:hanging="34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2.6.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мостового крана склада ОМТС № 2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left="397" w:right="-227" w:hanging="34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2.7.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мостового крана склада базы оборудования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26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Наладка (обслуживание) приборов безопасности, считывание данных с регистратора параметров ОНК-160м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71.20.19.190</w:t>
            </w:r>
          </w:p>
        </w:tc>
      </w:tr>
      <w:tr>
        <w:trPr/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Наладка (обслуживание) приборов безопасности к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рана козлового КК250, г/п 2*125/50т (рег. 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(уч.) № 09693)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Наладка (обслуживание) приборов безопасности к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рана козлового КК250, г/п 125/62,5/7,5т (рег. 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(уч.) № 09694)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Наладка (обслуживание) приборов безопасности крана козлового КК250, г/п 2*125/2*25/2*12,5т (рег. 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(уч.) № 09697)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Наладка (обслуживание) приборов безопасности крана козлового КК250, г/п 2*125/2*25/2*12,5т (рег. 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(уч.) № 09698)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3.5.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Наладка (обслуживание) приборов безопасности к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рана козлового КК250, г/п 2*125/20/2*7,5т (рег. 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(уч.) № 09695)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57" w:right="113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3.6.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Наладка (обслуживание) приборов безопасности к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рана козлового КК250, г/п 2*125/20/2*7,5т (рег. 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(уч.) № 09696)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57" w:right="113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3.7.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Наладка (обслуживание) приборов безопасности к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рана козлового КК250, г/п 2*125/20/2*7,5т (рег. 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(уч.) № 09544)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3.8.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Наладка (обслуживание) приборов безопасности</w:t>
            </w: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 xml:space="preserve"> козлового крана МККС-42Км-60, г/п 50/10 т (уч. (рег.) № 10608-Т)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57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3.9.</w:t>
            </w:r>
          </w:p>
        </w:tc>
        <w:tc>
          <w:tcPr>
            <w:tcW w:w="3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Считывание и обработка (расшифровка)</w:t>
            </w:r>
            <w:r>
              <w:rPr>
                <w:shd w:fill="auto" w:val="clear"/>
              </w:rPr>
              <w:t xml:space="preserve"> 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данных с регистратора параметров ограничителя нагрузки крана «ОНК-160М» </w:t>
            </w:r>
            <w:r>
              <w:rPr>
                <w:rStyle w:val="Style8"/>
                <w:b w:val="false"/>
                <w:bCs w:val="false"/>
                <w:i w:val="false"/>
                <w:sz w:val="24"/>
                <w:szCs w:val="24"/>
                <w:shd w:fill="auto" w:val="clear"/>
              </w:rPr>
              <w:t>козлового крана МККС-42Км-60, г/п 50/10 т (уч. (рег.) № 10608-Т)</w:t>
            </w: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0125127"/>
      <w:bookmarkStart w:id="26" w:name="_Toc5133969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9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6"/>
        <w:gridCol w:w="3744"/>
        <w:gridCol w:w="1590"/>
        <w:gridCol w:w="1919"/>
        <w:gridCol w:w="1816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 (в т.ч. предоставления результатов Заказчику)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</w:t>
            </w:r>
          </w:p>
        </w:tc>
        <w:tc>
          <w:tcPr>
            <w:tcW w:w="7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auto" w:val="clear"/>
                <w:lang w:val="en-US"/>
              </w:rPr>
              <w:t>ЭПБ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/>
            </w:pPr>
            <w:r>
              <w:rPr/>
              <w:t>1.1.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КМ400/60, г/п2*200/2*30 т (рег. (уч.) № 09701)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1.2.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ЭПБ крана мостового КМ400/60, г/п2*200/2*30 т (рег. (уч.) № 09702)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19.07.2027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26.07.2027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1.3.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ЭПБ крана козлового КК250, г/п 2*125/50т (рег. (уч.) № 09693)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1.4.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</w:t>
            </w:r>
            <w:r>
              <w:rPr>
                <w:iCs/>
                <w:sz w:val="24"/>
                <w:szCs w:val="24"/>
              </w:rPr>
              <w:t>рана козлового КК250, г/п 125/62,5/7,5т (рег. (уч.) № 09694)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1.5.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козлового КК250, г/п 2*125/2*25/2*12,5т (рег. (уч.) № 09697)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1.6.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ЭПБ крана козлового КК250, г/п 2*125/2*25/2*12,5т (рег. (уч.) № 09698)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1.7.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ЭПБ крана козлового КК250, г/п 2*125/20/2*7,5т (рег. (уч.) № 09695)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1.8.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ЭПБ крана козлового КК250, г/п 2*125/20/2*7,5т (рег. (уч.) № 09696)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1.9.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</w:t>
            </w:r>
            <w:r>
              <w:rPr>
                <w:iCs/>
                <w:sz w:val="24"/>
                <w:szCs w:val="24"/>
              </w:rPr>
              <w:t>рана козлового КК250, г/п 2*125/20/2*7,5т (рег. (уч.) № 09544)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05.05.2027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1.10.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КМ10, г/п 10 т (уч. (рег.) № 09704)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1.11.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ЭПБ крана мостового КМ10, г/п 10 т (уч. (рег.) № 10609-Т)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2.</w:t>
            </w:r>
          </w:p>
        </w:tc>
        <w:tc>
          <w:tcPr>
            <w:tcW w:w="7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 РП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2.1.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мостовых кранов машинного зала 450/100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2.2.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мостовых кранов машинного зала 30/5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17.01.2027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21.01.2027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2.3.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мостовых кранов ЩОВБ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2.4.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козлового крана базы оборудования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2.5.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мостового крана склада ОМТС № 1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17.01.2027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21.01.2027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2.6.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мостового крана склада ОМТС № 2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2.7.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Рельсовый путь мостового крана склада базы оборудования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09.08.2027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7253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Наладка (обслуживание) приборов безопасности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Наладка (обслуживание) приборов безопасности к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рана козлового КК250, г/п 2*125/50т (рег. 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(уч.) № 09693)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25.07.2027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-57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Наладка (обслуживание) приборов безопасности к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рана козлового КК250, г/п 125/62,5/7,5т (рег. 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(уч.) № 09694)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-57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Наладка (обслуживание) приборов безопасности крана козлового КК250, г/п 2*125/2*25/2*12,5т (рег. 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(уч.) № 09697)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Наладка (обслуживание) приборов безопасности крана козлового КК250, г/п 2*125/2*25/2*12,5т (рег. 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(уч.) № 09698)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3.5.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Наладка (обслуживание) приборов безопасности к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рана козлового КК250, г/п 2*125/20/2*7,5т (рег. 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(уч.) № 09695)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0" w:right="0" w:hanging="0"/>
              <w:contextualSpacing/>
              <w:jc w:val="left"/>
              <w:rPr>
                <w:lang w:val="en-US"/>
              </w:rPr>
            </w:pPr>
            <w:r>
              <w:rPr>
                <w:lang w:val="en-US"/>
              </w:rPr>
              <w:t>3.6.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Наладка (обслуживание) приборов безопасности к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рана козлового КК250, г/п 2*125/20/2*7,5т (рег. 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(уч.) № 09696)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3.7.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Наладка (обслуживание) приборов безопасности к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</w:rPr>
              <w:t xml:space="preserve">рана козлового КК250, г/п 2*125/20/2*7,5т (рег. </w:t>
            </w:r>
            <w:r>
              <w:rPr>
                <w:rStyle w:val="Style8"/>
                <w:b w:val="false"/>
                <w:bCs/>
                <w:i w:val="false"/>
                <w:iCs/>
                <w:sz w:val="24"/>
                <w:szCs w:val="24"/>
                <w:shd w:fill="auto" w:val="clear"/>
                <w:lang w:val="en-US"/>
              </w:rPr>
              <w:t>(уч.) № 09544)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3.8.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Наладка (обслуживание) приборов безопасности</w:t>
            </w: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 xml:space="preserve"> козлового крана МККС-42Км-60;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Считывание и обработка (расшифровка)</w:t>
            </w: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 xml:space="preserve">данных с регистратора параметров ограничителя нагрузки крана «ОНК-160М» </w:t>
            </w:r>
            <w:r>
              <w:rPr>
                <w:rStyle w:val="Style8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козлового крана МККС-42Км-60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25.07.2027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rPr>
                <w:lang w:val="en-US"/>
              </w:rPr>
            </w:pPr>
            <w:r>
              <w:rPr>
                <w:lang w:val="en-US"/>
              </w:rPr>
              <w:t>3.9.</w:t>
            </w:r>
          </w:p>
        </w:tc>
        <w:tc>
          <w:tcPr>
            <w:tcW w:w="3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Считывание и обработка (расшифровка)</w:t>
            </w:r>
            <w:r>
              <w:rPr>
                <w:shd w:fill="auto" w:val="clear"/>
              </w:rPr>
              <w:t xml:space="preserve"> 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данных с регистратора параметров ограничителя нагрузки крана «ОНК-160М» </w:t>
            </w:r>
            <w:r>
              <w:rPr>
                <w:rStyle w:val="Style8"/>
                <w:b w:val="false"/>
                <w:bCs w:val="false"/>
                <w:i w:val="false"/>
                <w:sz w:val="24"/>
                <w:szCs w:val="24"/>
                <w:shd w:fill="auto" w:val="clear"/>
              </w:rPr>
              <w:t>козлового крана МККС-42Км-60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01.11.2027</w:t>
            </w:r>
          </w:p>
        </w:tc>
        <w:tc>
          <w:tcPr>
            <w:tcW w:w="19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30.11.2027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851" w:gutter="0" w:header="680" w:top="905" w:footer="0" w:bottom="992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sz w:val="24"/>
          <w:szCs w:val="24"/>
        </w:rPr>
      </w:pPr>
      <w:r>
        <w:rPr>
          <w:sz w:val="24"/>
          <w:szCs w:val="24"/>
        </w:rPr>
        <w:t>Общий срок оказания услуг: с 17.01.2027</w:t>
      </w:r>
      <w:r>
        <w:rPr>
          <w:sz w:val="24"/>
          <w:szCs w:val="24"/>
          <w:shd w:fill="auto" w:val="clear"/>
        </w:rPr>
        <w:t xml:space="preserve"> и по 30.11.2027.</w:t>
      </w:r>
    </w:p>
    <w:p>
      <w:pPr>
        <w:pStyle w:val="Heading4"/>
        <w:numPr>
          <w:ilvl w:val="1"/>
          <w:numId w:val="3"/>
        </w:numPr>
        <w:rPr/>
      </w:pPr>
      <w:bookmarkStart w:id="29" w:name="_Toc54643709"/>
      <w:bookmarkStart w:id="30" w:name="_Toc51339698"/>
      <w:bookmarkStart w:id="31" w:name="_Toc54643708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>качеству услуг</w:t>
      </w:r>
      <w:bookmarkEnd w:id="31"/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>качеству услуг</w:t>
      </w:r>
      <w:bookmarkEnd w:id="29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(позиции № 1, 2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</w:t>
      </w:r>
      <w:r>
        <w:rPr>
          <w:b/>
          <w:bCs/>
          <w:sz w:val="24"/>
          <w:szCs w:val="24"/>
        </w:rPr>
        <w:t>Таблицы 2): ЭПБ, КО РП, наладка (обслуживание) приборов безопасности.</w:t>
      </w:r>
    </w:p>
    <w:tbl>
      <w:tblPr>
        <w:tblStyle w:val="affffa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7"/>
        <w:gridCol w:w="4922"/>
        <w:gridCol w:w="2221"/>
        <w:gridCol w:w="2429"/>
        <w:gridCol w:w="219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65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19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9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19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Соблюдение при оказании услуг норм, правил, требований НТД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обязан руководствоваться и исполнять требования следующих НПА и НТД: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настоящих технических требований;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Ростехнадзора от 26.11.2020 № 461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Федеральных норм и правила в области промышленной безопасности «Основные требования к проведению неразрушающего контроля технических устройств, зданий и сооружений на опасных производственных объектах», утвержденных приказом Ростехнадзора от 01.12.2020 № 478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color w:val="000000"/>
              </w:rPr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- Федеральных норм и правил в области промышленной безопасности «Правила проведения экспертизы промышленной безопасности», утвержденных приказом Ростехнадзора от 20.10.2020 № 420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Административного регламента Федеральной службы по экологическому, технологическому и атомному надзору по предоставлению государственной услуги «Внесение заключения экспертизы промышленной безопасности в реестр заключений экспертизы промышленной безопасности, а также исключение сведений из указанного реестра», утвержденного Приказ Ростехнадзора от 29.01.2025 № 30;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РД 10-112-5-97. Методические указания по обследованию грузоподъемных машин с истекшим сроком службы. Часть 5. Краны мостовые и козловые;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Руководства по безопасности «Оценка фактического состояния технических устройств, зданий и сооружений, применяемых на опасных производственных объектах», утвержденного Приказом Ростехнадзора от 14.11.2023 № 407;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Руководства по безопасности «Методические рекомендации о порядке проведения визуального и измерительного контроля», утвержденного Приказом Ростехнадзора от 16.01.2024 № 8;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Методики определения размера платы за оказание услуги по проведению экспертизы промышленной безопасности и предельного размера указанной платы, утвержденной Приказом Ростехнадзора от 08.10.2024 № 310;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Правил по охране труда при работе на высоте, утвержденных Приказом Минтруда России от 16.11.2020 № 782н (в действующей редакции);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ГОСТ 32575.1-2023. Межгосударственный стандарт. Краны грузоподъемные. Ограничители и указатели. Часть 1. Общие положения;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ГОСТ 33713-2015. Межгосударственный стандарт. Краны грузоподъемные. Регистраторы параметров работы. Общие требования;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Cs/>
                <w:i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- ГОСТ Р 72193-2025 «Гидроэлектростанции и гидроаккумулирующие электростанции. Гидротехнические сооружения. Гидросиловое и механическое оборудование. Правила организации безопасного обслуживания»;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РД 10-138-97 Комплексное обследование крановых путей грузоподъёмных машин;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правил внутреннего трудового распорядка Заказчика и филиала ПАО «РусГидро»-«Жигулевская ГЭС»;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- иных нормативных документов, устанавливающих требования в области охраны труда, промышленной, пожарной и экологической безопасности, промышленной санитарии и охраны окружающей среды, действующих на момент выполнения работ.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за нарушения указанных НПА и НТД несет руководитель Исполнителя. Размер ответственности исполнителя за выявленные нарушения предусматривается условиями заключенного договора.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Способ оказания услуг</w:t>
            </w:r>
          </w:p>
        </w:tc>
        <w:tc>
          <w:tcPr>
            <w:tcW w:w="492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Услуги оказываются на территории, а также в зданиях и сооружениях, принадлежащих филиалу ПАО «РусГидро»-«Жигулевская ГЭС».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Заказчик обязан предоставить безопасный и беспрепятственный доступ персоналу Исполнителя, участвующему в оказании услуг, к объектам и их эксплуатационной документации.</w:t>
            </w:r>
          </w:p>
        </w:tc>
        <w:tc>
          <w:tcPr>
            <w:tcW w:w="2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Допуск персонала исполнителя для оказания услуг осуществляется в соответствии с Регламентом процесса допуска подрядных организаций на объекты ПАО «РусГидро», утвержденным Приказом ПАО «РусГидро» от 28.04.2023 № 300, и обязательным оформлением наряда-допуска.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29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используемому оборудованию, инструментам и материалам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зданий или нежилых помещений, принадлежащих исполнителю на праве собственности или на ином законном основании, используемых при осуществлении лицензируемой деятельности, а также оборудования, приборов, материалов и средств информационного обеспечения в соответствии с пунктом 8 статьи 13 Федерального закона «О промышленной безопасности опасных производственных объектов».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Оборудование, инструменты и материалы, необходимые для оказания услуг, приобретаются исполнителем самостоятельно.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Применяемые при оказании услуг инструменты и оборудование должны обслуживаться, ремонтироваться, проверяться, испытываться и проходить техническое освидетельствование в соответствии с требованиями технической документации организации-изготовителя квалифицированным персоналом Исполнителя.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 применению допускаются средства измерений, прошедшие поверку в соответствии с положениями закона о единстве измерений.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Предоставление копий документов, подтверждающих наличие зданий или нежилых помещений н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а праве собственности или на ином законном основании, используемых при осуществлении лицензируемой деятельности, а также оборудования, приборов, материалов и средств информационного обеспечения в соответствии с пунктом 8 статьи 13 Федерального закона «О промышленной безопасности опасных производственных объектов».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Квалификация персонала исполнителя</w:t>
            </w:r>
          </w:p>
        </w:tc>
        <w:tc>
          <w:tcPr>
            <w:tcW w:w="4922" w:type="dxa"/>
            <w:tcBorders/>
          </w:tcPr>
          <w:p>
            <w:pPr>
              <w:pStyle w:val="BodyText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Наличие в штате исполнителя как минимум 3 экспертов в области промышленной безопасности, которые соответствуют требованиям, установленным Федеральным </w:t>
            </w:r>
            <w:r>
              <w:rPr>
                <w:rFonts w:eastAsia="Times New Roman" w:cs="Times New Roman"/>
                <w:b w:val="false"/>
                <w:i/>
                <w:iCs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законом</w:t>
            </w:r>
            <w:r>
              <w:rPr>
                <w:rFonts w:eastAsia="Times New Roman" w:cs="Times New Roman"/>
                <w:b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«О</w:t>
            </w:r>
            <w:r>
              <w:rPr>
                <w:rFonts w:eastAsia="Times New Roman" w:cs="Times New Roman"/>
                <w:b w:val="false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промышленной безопасности опасных производственных объектов», и для которых работа в этой организации является основной.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Исполнителем для оказания услуг по договору должна быть сформирована комиссия, включающая не менее одного эксперта в области промышленной безопасности, одного наладчика приборов безопасности ПС, геодезиста (возможно совмещение профессий) и представлены следующие документы, действительные на период проведения работ: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квалификационное удостоверение эксперта (ОА Э14.4 ТУ) в области промышленной безопасности (либо подтверждающая запись в реестре), выданное (оформленное) согласно постановлению Правительства РФ от 02.06.2022 № 1009 «Об аттестации экспертов в области промышленной безопасности» (вместе с «Положением об аттестации экспертов в области промышленной безопасности»);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удостоверение наладчика приборов безопасности грузоподъемных кранов с правом работы с ограничителем нагрузки крана «ОНК-160М».;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Персонал исполнителя должен иметь удостоверения установленной формы о проверке знаний норм и правил в соответствии с характером выполняемых работ и требованиями НПА и НТД (группа по электробезопасности не ниже II, наличие группы по безопасности работ на высоте (в зависимости от характера выполняемых работ)).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  <w:i/>
                <w:i/>
                <w:iCs/>
              </w:rPr>
            </w:pPr>
            <w:r>
              <w:rPr>
                <w:rFonts w:eastAsia="Times New Roman" w:cs="Times New Roman"/>
                <w:b w:val="false"/>
                <w:bCs w:val="false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Предоставление документов, подтверждающих наличие в штате исполнителя как минимум 3 экспертов в области промышленной безопасности, которые соответствуют требованиям, установленным Федеральным 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strike w:val="false"/>
                <w:dstrike w:val="false"/>
                <w:color w:val="auto"/>
                <w:kern w:val="0"/>
                <w:sz w:val="24"/>
                <w:szCs w:val="24"/>
                <w:u w:val="none"/>
                <w:effect w:val="none"/>
                <w:lang w:val="ru-RU" w:eastAsia="ru-RU" w:bidi="ar-SA"/>
              </w:rPr>
              <w:t>законом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«О</w:t>
            </w:r>
            <w:r>
              <w:rPr>
                <w:rFonts w:eastAsia="Times New Roman" w:cs="Times New Roman"/>
                <w:b w:val="false"/>
                <w:bCs w:val="false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промышленной безопасности опасных производственных объектов», и для которых работа в этой организации является основной.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Объем, состав и характер работ по экспертизе промышленной безопасности зависят от типа ПС, его фактического состояния и технологии, в которой ПС применяется на ОПО.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ЭПБ должна проводиться по программе, разработанной Исполнителем не позднее чем за 10 рабочих дней до начала оказания услуг (по инициативе исполнителя и по согласованию с Заказчиком программа может быть дополнена по результатам визуального и измерительного контроля кранов). При проведении ЭПБ ПС выполняются: анализ документации, относящейся к ПС (включая, но не ограничиваясь, акты расследования аварий и инцидентов, связанных с эксплуатацией ПС, заключения экспертизы ранее проводимых экспертиз) и режимам эксплуатации технических устройств (при наличии);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расчетные и аналитические процедуры оценки и прогнозирования технического состояния ПС (при проведении технического диагностирования) и осмотр ПС.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В рамках проведения ЭПБ  выполняется техническое диагностирование ПС в отношении металлоконструкций, узлов, механизмов, электрооборудования, указателей, ограничителей, средств автоматической остановки, предупредительной сигнализации проводятся проверки работоспособности и соответствия требованиям, установленным в документации изготовителя.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Обследование ПС должно производиться с применением неразрушающих методов контроля, фотофиксацией и составлением дефектных ведомостей с оценкой остаточного ресурса (срока службы) (объём и метод контроля отражаются Исполнителем в программе).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Результаты обследования и диагностирования ПС оформляются в форме заключения ЭПБ.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Проведение КО РП включает выполнение следующего комплекса работ: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проверку наличия службы эксплуатации ОПО, отвечающей за состояние рельсовых путей; проверку наличия проектной и эксплуатационной документации; выполнение планово-высотной съемки рельсового пути; поэлементное обследование рельсовых путей, включая оценку фактического состояния рельсового пути; подготовку результатов комплексного обследования: оформление инструментальных замеров, включая измерение сопротивления его заземления, и составление ведомости дефектов.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Результаты КО РП оформляются в форме заключения (акта) комплексного обследования рельсового пути.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Обслуживание (наладка) приборов безопасности козловых кранов Жигулевской ГЭС с оформлением протокола (удостоверения) об обслуживании (наладке) приборов безопасности.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Считывание данных с регистратора параметров козлового крана МККС-42Км-60 Жигулевской ГЭС. Подготовка протокола (карты) считывания и расшифровки данных с регистратора параметров козлового крана МККС-42Км-60 Жигулевской ГЭС.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Любая информация, полученная Исполнителем при оказании услуг, не относится к категории общедоступной и является конфиденциальной.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Приемка результатов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услуг не позднее, чем за 3 рабочих дня до планируемой даты передачи Заказчику оригиналов документов, являющихся результатом оказания услуг, обязан предоставить проекты подготовленных документов (согласно п.2.4.1) в адрес специалиста по промышленной безопасности Жигулевского филиала АО «Гидроремонт-ВКК» в г. Жигулевск для рассмотрения и предварительного согласования в электронном виде посредством электронной почты.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Документы, передаваемые Исполнителем заказчику по результатам оказанных услуг</w:t>
            </w:r>
          </w:p>
        </w:tc>
        <w:tc>
          <w:tcPr>
            <w:tcW w:w="49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По результатам оказания услуг Исполнителем оформляются следующие документы:</w:t>
            </w:r>
          </w:p>
          <w:p>
            <w:pPr>
              <w:pStyle w:val="Normal"/>
              <w:widowControl w:val="false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заключение ЭПБ на каждое ПС. Заключение ЭПБ предоставляется на бумажном (2 экз.) и электронном виде в цветном формате PDF (с приложением открепленных усиленных квалифицированных электронных подписей в формате sig руководителя организации, проводившей экспертизу, и эксперта (-ов), участвовавшего (-их) в проведении экспертизы);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заключение (акт) комплексного обследования рельсового пути на каждый рельсовый путь. Заключение (акт) предоставляется на бумажном (1 экз.) и электронном виде в цветном формате PDF;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протокол (удостоверение) об обслуживании (наладке) приборов безопасности отдельно на каждый козловой кран Жигулевской предоставляется в бумажном (1 экз.) и электронном виде в цветном формате PDF;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- информационная карта (протокол) по данным регистратора параметров ограничителя нагрузки крана «ОНК-160М» козлового крана МККС-42Км-60 Жигулевской ГЭС предоставляется в бумажном (1 экз.) и электронном виде форматах 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en-US" w:eastAsia="ru-RU" w:bidi="ar-SA"/>
              </w:rPr>
              <w:t>excel</w:t>
            </w: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и PDF(в цвете).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i/>
                <w:i/>
                <w:i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0"/>
                <w:szCs w:val="20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лицензии на осуществление деятельности по проведению экспертизы промышленной безопасности технических устройств, применяемых на опасных производственных объектах, действующей на период оказания услуг. Лицензия предоставляется на этапе до заключения договора.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Наличии у Исполнителя собственной или используемой на иных законных основаниях аттестованной лаборатории неразрушающего контроля по видам контроля (не менее): ВИК, УК. (свидетельство об аттестации лаборатории предоставляется до заключения договора). Удостоверения персонала (не менее двух человек), выполняющего работы по неразрушающему контролю; персонал должен иметь области аттестации «3.1. Грузоподъемные краны», «3.10 Крановые пути» в соответствии с СДАНК-02-2020 и виды контроля (не менее): ВИК, УК.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Наличие у Исполнителя в своем штате наладчика приборов безопасности, имеющего действительное на период проведения работ удостоверение наладчика приборов безопасности грузоподъемных кранов с правом работы с ограничителем нагрузки крана «ОНК-160М».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Предоставление копий: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-лицензии 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на право осуществления деятельности по проведению ЭПБ технических устройств, применяемых на ОПО;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- свидетельства об аттестации лаборатории неразрушающего контроля.</w:t>
            </w:r>
          </w:p>
        </w:tc>
        <w:tc>
          <w:tcPr>
            <w:tcW w:w="2194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Ответственность и гарантии исполнителя за результат оказания услуг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выявлении замечаний к содержанию результатов оказания услуг, в т.ч. со стороны надзорных и контролирующих инстанций, Исполнитель обязан устранить замечания и предоставить Заказчику исправленный вариант документации в течение 3 лет с даты подписания Сторонами Акта сдачи-приемки услуг.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7189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2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29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19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Требования к  соисполнителям</w:t>
            </w:r>
          </w:p>
        </w:tc>
        <w:tc>
          <w:tcPr>
            <w:tcW w:w="49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Исполнитель не вправе привлекать к оказанию услуг по договору соисполнителя.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429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i/>
                <w:i/>
                <w:iCs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  <w:tc>
          <w:tcPr>
            <w:tcW w:w="2194" w:type="dxa"/>
            <w:tcBorders/>
          </w:tcPr>
          <w:p>
            <w:pPr>
              <w:pStyle w:val="Style33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</w:tc>
      </w:tr>
    </w:tbl>
    <w:p>
      <w:pPr>
        <w:sectPr>
          <w:headerReference w:type="default" r:id="rId6"/>
          <w:headerReference w:type="first" r:id="rId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4" w:name="_Toc54643710"/>
      <w:bookmarkStart w:id="35" w:name="_Toc53393312"/>
      <w:bookmarkStart w:id="36" w:name="_Toc53395937"/>
      <w:bookmarkStart w:id="37" w:name="_Toc46743519"/>
      <w:bookmarkStart w:id="38" w:name="_Toc51339699"/>
      <w:bookmarkEnd w:id="37"/>
      <w:bookmarkEnd w:id="38"/>
      <w:r>
        <w:rPr>
          <w:lang w:val="ru-RU"/>
        </w:rPr>
        <w:t>Требования к документации по ценообразованию</w:t>
      </w:r>
      <w:bookmarkEnd w:id="35"/>
      <w:bookmarkEnd w:id="36"/>
      <w:r>
        <w:rPr>
          <w:lang w:val="ru-RU"/>
        </w:rPr>
        <w:t xml:space="preserve"> на этапе закупки</w:t>
      </w:r>
      <w:bookmarkEnd w:id="34"/>
    </w:p>
    <w:p>
      <w:pPr>
        <w:pStyle w:val="Normal"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Fonts w:eastAsia="Calibri"/>
          <w:sz w:val="24"/>
          <w:szCs w:val="24"/>
          <w:lang w:eastAsia="x-none"/>
        </w:rPr>
        <w:t xml:space="preserve">3.1. В обоснование стоимости своей заявки Участник предоставляет Коммерческое предложение (дополнительные документы по ценообразованию к нему не прикладываются). </w:t>
      </w:r>
    </w:p>
    <w:p>
      <w:pPr>
        <w:pStyle w:val="Normal"/>
        <w:keepLines/>
        <w:widowControl w:val="false"/>
        <w:tabs>
          <w:tab w:val="clear" w:pos="708"/>
          <w:tab w:val="left" w:pos="993" w:leader="none"/>
        </w:tabs>
        <w:spacing w:before="120" w:after="120"/>
        <w:ind w:firstLine="851"/>
        <w:jc w:val="both"/>
        <w:rPr/>
      </w:pPr>
      <w:r>
        <w:rPr>
          <w:rStyle w:val="Style8"/>
          <w:rFonts w:eastAsia="Calibri"/>
          <w:b w:val="false"/>
          <w:bCs/>
          <w:i w:val="false"/>
          <w:sz w:val="24"/>
          <w:szCs w:val="24"/>
          <w:shd w:fill="auto" w:val="clear"/>
          <w:lang w:val="x-none" w:eastAsia="x-none"/>
        </w:rPr>
        <w:t>3.2. Дополнительные документы по ценообразованию в состав заявки не включаются.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>
          <w:iCs/>
          <w:caps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9" w:name="_Toc54281228"/>
      <w:bookmarkStart w:id="40" w:name="_Toc54643711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9"/>
      <w:bookmarkEnd w:id="4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ab/>
        <w:t xml:space="preserve">4.1. Требования к оформлению и составлению документации по ценообразованию представлены в Приложении № 1 к настоящим ТТ. </w:t>
      </w:r>
      <w:r>
        <w:rPr>
          <w:rStyle w:val="Style8"/>
          <w:b w:val="false"/>
          <w:bCs w:val="false"/>
          <w:i w:val="false"/>
          <w:sz w:val="24"/>
          <w:szCs w:val="24"/>
          <w:shd w:fill="auto" w:val="clear"/>
        </w:rPr>
        <w:t>Расчет стоимости услуг составлять с применением понижающего коэффициента, приводящего к стоимости, указанной в ТКП участника; коэффициент начисляется к каждой локальной смете по итогу.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>
          <w:rFonts w:eastAsia="Calibri"/>
          <w:b/>
          <w:iCs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r>
        <w:rPr>
          <w:iCs/>
          <w:lang w:val="ru-RU"/>
        </w:rPr>
        <w:t>Приложения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bookmarkStart w:id="41" w:name="_Ref125469522111_Копия_1_Копия_1_Копия_1"/>
      <w:bookmarkStart w:id="42" w:name="_Ref125469522111_Копия_1_Копия_1"/>
      <w:bookmarkStart w:id="43" w:name="_Ref125469522111_Копия_1_Копия_1_Копия_1"/>
      <w:bookmarkStart w:id="44" w:name="_Ref125469522111_Копия_1_Копия_1_Копия_1"/>
      <w:bookmarkStart w:id="45" w:name="_Ref125469522111_Копия_1_Копия_1_Копия_1"/>
      <w:bookmarkStart w:id="46" w:name="_Ref125469522111_Копия_1_Копия_1_Копия_1"/>
      <w:bookmarkStart w:id="47" w:name="_Ref125469522111_Копия_1_Копия_1_Копия_1"/>
      <w:bookmarkStart w:id="48" w:name="_Ref125469522111_Копия_1_Копия_1_Копия_1"/>
      <w:bookmarkStart w:id="49" w:name="_Ref125469522111_Копия_1_Копия_1_Копия_1"/>
      <w:bookmarkStart w:id="50" w:name="_Ref125469522111_Копия_1"/>
      <w:bookmarkStart w:id="51" w:name="_Ref125469522111_Копия_1_Копия_1_Копия_1"/>
      <w:bookmarkStart w:id="52" w:name="_Ref125469522111_Копия_1_Копия_1_Копия_1"/>
      <w:bookmarkStart w:id="53" w:name="_Ref125469522111_Копия_1_Копия_1_Копия_1"/>
      <w:bookmarkStart w:id="54" w:name="_Ref125469522111_Копия_1_Копия_1_Копия_1"/>
      <w:bookmarkStart w:id="55" w:name="_Ref125469522111_Копия_1_Копия_1_Копия_1"/>
      <w:bookmarkStart w:id="56" w:name="_Ref125469522111_Копия_1_Копия_1_Копия_1"/>
      <w:bookmarkStart w:id="57" w:name="_Ref125469522111_Копия_1_Копия_1_Копия_1"/>
      <w:bookmarkStart w:id="58" w:name="_Ref125469522111_Копия_1_Копия_1_Копия_1"/>
      <w:bookmarkStart w:id="59" w:name="_Ref125469522111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>
        <w:rPr>
          <w:rStyle w:val="Style8"/>
          <w:b w:val="false"/>
          <w:i w:val="false"/>
          <w:sz w:val="24"/>
          <w:szCs w:val="24"/>
          <w:shd w:fill="auto" w:val="clear"/>
        </w:rPr>
        <w:tab/>
        <w:tab/>
        <w:t>На этапе заключения/исполнения договора расчет стоимости услуг производится на основе единичных расценок на каждый вид и объем оказываемых услуг</w:t>
      </w:r>
      <w:bookmarkStart w:id="60" w:name="_Ref125469522111_Копия_1_Копия_1_Копия_1"/>
      <w:bookmarkEnd w:id="60"/>
    </w:p>
    <w:p>
      <w:pPr>
        <w:sectPr>
          <w:headerReference w:type="default" r:id="rId8"/>
          <w:headerReference w:type="first" r:id="rId9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  <w:pStyle w:val="ListParagraph"/>
        <w:ind w:left="0" w:hanging="0"/>
        <w:jc w:val="both"/>
        <w:rPr/>
      </w:pPr>
      <w:r>
        <w:rPr>
          <w:rStyle w:val="Style8"/>
          <w:b w:val="false"/>
          <w:bCs/>
          <w:i w:val="false"/>
          <w:shd w:fill="auto" w:val="clear"/>
        </w:rPr>
        <w:tab/>
        <w:t xml:space="preserve">Приложение 1. </w:t>
      </w:r>
      <w:bookmarkStart w:id="61" w:name="_Ref1254695221"/>
      <w:bookmarkStart w:id="62" w:name="_Ref125469522"/>
      <w:bookmarkStart w:id="63" w:name="Закладка_12"/>
      <w:bookmarkStart w:id="64" w:name="Закладка_131"/>
      <w:r>
        <w:rPr>
          <w:rStyle w:val="Style8"/>
          <w:b w:val="false"/>
          <w:bCs/>
          <w:i w:val="false"/>
          <w:shd w:fill="auto" w:val="clear"/>
        </w:rPr>
        <w:t>Требования к оформлению и составлени</w:t>
      </w:r>
      <w:bookmarkEnd w:id="61"/>
      <w:bookmarkEnd w:id="62"/>
      <w:bookmarkEnd w:id="63"/>
      <w:bookmarkEnd w:id="64"/>
      <w:r>
        <w:rPr>
          <w:rStyle w:val="Style8"/>
          <w:b w:val="false"/>
          <w:bCs/>
          <w:i w:val="false"/>
          <w:shd w:fill="auto" w:val="clear"/>
        </w:rPr>
        <w:t>ю документации по ценообразованию</w:t>
      </w:r>
      <w:r>
        <w:br w:type="page"/>
      </w:r>
    </w:p>
    <w:p>
      <w:pPr>
        <w:pStyle w:val="Normal"/>
        <w:spacing w:lineRule="auto" w:line="264" w:before="0" w:after="10"/>
        <w:ind w:left="4535" w:hanging="0"/>
        <w:jc w:val="right"/>
        <w:rPr/>
      </w:pPr>
      <w:bookmarkStart w:id="65" w:name="_GoBack"/>
      <w:bookmarkStart w:id="66" w:name="_Ref40301253"/>
      <w:bookmarkEnd w:id="65"/>
      <w:bookmarkEnd w:id="66"/>
      <w:r>
        <w:rPr>
          <w:color w:val="000000"/>
          <w:sz w:val="24"/>
          <w:szCs w:val="24"/>
          <w:lang w:eastAsia="en-US"/>
        </w:rPr>
        <w:t>Приложение № 1</w:t>
      </w:r>
    </w:p>
    <w:p>
      <w:pPr>
        <w:pStyle w:val="Normal"/>
        <w:spacing w:lineRule="auto" w:line="264" w:before="0" w:after="4"/>
        <w:ind w:left="4536" w:right="2" w:hanging="0"/>
        <w:jc w:val="right"/>
        <w:rPr/>
      </w:pPr>
      <w:r>
        <w:rPr>
          <w:color w:val="000000"/>
          <w:sz w:val="24"/>
          <w:szCs w:val="24"/>
          <w:lang w:eastAsia="en-US"/>
        </w:rPr>
        <w:t>к техническим требованиям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r>
        <w:rPr>
          <w:rFonts w:cs="Times New Roman"/>
        </w:rPr>
        <w:t xml:space="preserve">Требования к оформлению и составлению документации по </w:t>
      </w:r>
    </w:p>
    <w:p>
      <w:pPr>
        <w:pStyle w:val="TOC1"/>
        <w:tabs>
          <w:tab w:val="clear" w:pos="708"/>
          <w:tab w:val="right" w:pos="9911" w:leader="dot"/>
        </w:tabs>
        <w:jc w:val="center"/>
        <w:rPr>
          <w:rFonts w:cs="Times New Roman"/>
        </w:rPr>
      </w:pPr>
      <w:bookmarkStart w:id="67" w:name="Закладка_1_Копия_1"/>
      <w:r>
        <w:rPr>
          <w:rFonts w:cs="Times New Roman"/>
        </w:rPr>
        <w:t>ценообразованию</w:t>
      </w:r>
      <w:bookmarkEnd w:id="67"/>
    </w:p>
    <w:p>
      <w:pPr>
        <w:pStyle w:val="Normal"/>
        <w:spacing w:lineRule="auto" w:line="264" w:before="0" w:after="5"/>
        <w:ind w:right="-2" w:hanging="10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 xml:space="preserve">ПОЯСНИТЕЛЬНАЯ ЗАПИСКА </w:t>
      </w:r>
    </w:p>
    <w:p>
      <w:pPr>
        <w:pStyle w:val="Normal"/>
        <w:spacing w:lineRule="auto" w:line="264"/>
        <w:ind w:right="-2" w:hanging="10"/>
        <w:jc w:val="center"/>
        <w:rPr>
          <w:b/>
          <w:color w:val="000000"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  <w:lang w:eastAsia="en-US"/>
        </w:rPr>
        <w:t>по заполнению формы №3п</w:t>
      </w:r>
    </w:p>
    <w:p>
      <w:pPr>
        <w:pStyle w:val="Normal"/>
        <w:spacing w:lineRule="auto" w:line="264"/>
        <w:ind w:right="-2" w:hanging="10"/>
        <w:jc w:val="center"/>
        <w:rPr>
          <w:color w:val="000000"/>
          <w:sz w:val="24"/>
          <w:szCs w:val="24"/>
          <w:lang w:eastAsia="en-US"/>
        </w:rPr>
      </w:pPr>
      <w:r>
        <w:rPr>
          <w:b/>
          <w:sz w:val="24"/>
          <w:szCs w:val="24"/>
        </w:rPr>
        <w:t>при составлении смет на НИР/НИОКР</w:t>
      </w:r>
    </w:p>
    <w:p>
      <w:pPr>
        <w:pStyle w:val="Normal"/>
        <w:spacing w:lineRule="auto" w:line="259"/>
        <w:ind w:left="651" w:hanging="0"/>
        <w:jc w:val="center"/>
        <w:rPr>
          <w:color w:val="000000"/>
          <w:sz w:val="24"/>
          <w:szCs w:val="24"/>
          <w:lang w:eastAsia="en-US"/>
        </w:rPr>
      </w:pPr>
      <w:r>
        <w:rPr>
          <w:color w:val="000000"/>
          <w:sz w:val="24"/>
          <w:szCs w:val="24"/>
          <w:lang w:eastAsia="en-US"/>
        </w:rPr>
        <w:t xml:space="preserve"> 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134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При составлении калькуляции затрат (форма №3п), разработанным организацией, выполняющей НИР/НИОРК, Заказчику предоставляется обоснование расчета. Сметные расчеты составляются в ценах текущего периода.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134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Калькуляцией затрат (форма №3п) рекомендуется определять стоимость работ, цены на которые отсутствуют в МНЗ и СБЦ, внесенных в ФРСН.</w:t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134" w:leader="none"/>
        </w:tabs>
        <w:spacing w:before="240" w:after="0"/>
        <w:ind w:left="0" w:firstLine="567"/>
        <w:contextualSpacing/>
        <w:jc w:val="both"/>
        <w:rPr>
          <w:color w:val="000000"/>
        </w:rPr>
      </w:pPr>
      <w:r>
        <w:rPr>
          <w:color w:val="000000"/>
        </w:rPr>
        <w:t>Стоимость работ и расходов в соответствии с калькуляцией затрат определяется согласно положениям Методики №707 с учетом следующего:</w:t>
      </w:r>
    </w:p>
    <w:p>
      <w:pPr>
        <w:pStyle w:val="ConsPlusNormal1"/>
        <w:numPr>
          <w:ilvl w:val="1"/>
          <w:numId w:val="10"/>
        </w:numPr>
        <w:tabs>
          <w:tab w:val="clear" w:pos="708"/>
          <w:tab w:val="left" w:pos="1134" w:leader="none"/>
        </w:tabs>
        <w:spacing w:before="240" w:after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Стоимость НИР/НИОКР (</w:t>
      </w: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Спр</m:t>
        </m:r>
      </m:oMath>
      <w:r>
        <w:rPr>
          <w:rFonts w:cs="Times New Roman" w:ascii="Times New Roman" w:hAnsi="Times New Roman"/>
          <w:sz w:val="24"/>
          <w:szCs w:val="24"/>
        </w:rPr>
        <w:t>) в соответствии с калькуляцией затрат определяется по формуле:</w:t>
      </w:r>
    </w:p>
    <w:p>
      <w:pPr>
        <w:pStyle w:val="ConsPlusNormal1"/>
        <w:tabs>
          <w:tab w:val="clear" w:pos="708"/>
          <w:tab w:val="left" w:pos="0" w:leader="none"/>
          <w:tab w:val="left" w:pos="1134" w:leader="none"/>
        </w:tabs>
        <w:ind w:firstLine="567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С</m:t>
              </m:r>
            </m:e>
            <m:sub>
              <m:r>
                <w:rPr>
                  <w:rFonts w:ascii="Cambria Math" w:hAnsi="Cambria Math"/>
                </w:rPr>
                <m:t xml:space="preserve">пр</m:t>
              </m:r>
            </m:sub>
          </m:sSub>
          <m:r>
            <w:rPr>
              <w:rFonts w:ascii="Cambria Math" w:hAnsi="Cambria Math"/>
            </w:rPr>
            <m:t xml:space="preserve">=</m:t>
          </m:r>
          <m:sSub>
            <m:e>
              <m:r>
                <w:rPr>
                  <w:rFonts w:ascii="Cambria Math" w:hAnsi="Cambria Math"/>
                </w:rPr>
                <m:t xml:space="preserve">В</m:t>
              </m:r>
            </m:e>
            <m:sub>
              <m:r>
                <w:rPr>
                  <w:rFonts w:ascii="Cambria Math" w:hAnsi="Cambria Math"/>
                </w:rPr>
                <m:t xml:space="preserve">ср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Т</m:t>
              </m:r>
            </m:e>
            <m:sub>
              <m:r>
                <w:rPr>
                  <w:rFonts w:ascii="Cambria Math" w:hAnsi="Cambria Math"/>
                </w:rPr>
                <m:t xml:space="preserve">п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Ч</m:t>
              </m:r>
            </m:e>
            <m:sub>
              <m:r>
                <w:rPr>
                  <w:rFonts w:ascii="Cambria Math" w:hAnsi="Cambria Math"/>
                </w:rPr>
                <m:t xml:space="preserve">общ</m:t>
              </m:r>
            </m:sub>
          </m:sSub>
          <m:r>
            <w:rPr>
              <w:rFonts w:ascii="Cambria Math" w:hAnsi="Cambria Math"/>
            </w:rPr>
            <m:t xml:space="preserve">×</m:t>
          </m:r>
          <m:sSub>
            <m:e>
              <m:r>
                <w:rPr>
                  <w:rFonts w:ascii="Cambria Math" w:hAnsi="Cambria Math"/>
                </w:rPr>
                <m:t xml:space="preserve">К</m:t>
              </m:r>
            </m:e>
            <m:sub>
              <m:r>
                <w:rPr>
                  <w:rFonts w:ascii="Cambria Math" w:hAnsi="Cambria Math"/>
                </w:rPr>
                <m:t xml:space="preserve">кв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уч</m:t>
              </m:r>
            </m:sub>
          </m:sSub>
        </m:oMath>
      </m:oMathPara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где: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Спр</m:t>
        </m:r>
      </m:oMath>
      <w:r>
        <w:rPr>
          <w:rFonts w:cs="Times New Roman"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стоимость проектных работ, определенная в соответствии с калькуляцией затрат, рублей;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Вср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среднедневная выработка одного непосредственного исполнителя, рублей;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Тп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плановая продолжительность выполнения проектных работ, предусмотренных калькуляцией затрат, дни;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Чобщ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общая численность непосредственных исполнителей-проектировщиков, занятых в выполнении проектных работ, предусмотренных калькуляцией затрат, чел.;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Ккв-уч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корректирующий коэффициент, учитывающий степень участия исполнителей различной квалификации в выполнении проектных работ, предусмотренных калькуляцией затрат (далее - коэффициент квалификации-участия);</w:t>
      </w:r>
    </w:p>
    <w:p>
      <w:pPr>
        <w:pStyle w:val="ConsPlusNormal1"/>
        <w:numPr>
          <w:ilvl w:val="1"/>
          <w:numId w:val="10"/>
        </w:numPr>
        <w:tabs>
          <w:tab w:val="clear" w:pos="708"/>
          <w:tab w:val="left" w:pos="1134" w:leader="none"/>
        </w:tabs>
        <w:spacing w:before="240" w:after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среднедневная выработка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m:rPr>
            <m:lit/>
            <m:nor/>
          </m:rPr>
          <w:rPr>
            <w:rFonts w:ascii="Cambria Math" w:hAnsi="Cambria Math"/>
          </w:rPr>
          <m:t xml:space="preserve">ср</m:t>
        </m:r>
      </m:oMath>
      <w:r>
        <w:rPr>
          <w:rFonts w:cs="Times New Roman" w:ascii="Times New Roman" w:hAnsi="Times New Roman"/>
          <w:sz w:val="24"/>
          <w:szCs w:val="24"/>
        </w:rPr>
        <w:t>) определяется по формуле: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0" w:leader="none"/>
          <w:tab w:val="left" w:pos="1134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В</m:t>
              </m:r>
            </m:e>
            <m:sub>
              <m:r>
                <w:rPr>
                  <w:rFonts w:ascii="Cambria Math" w:hAnsi="Cambria Math"/>
                </w:rPr>
                <m:t xml:space="preserve">ср</m:t>
              </m:r>
            </m:sub>
          </m:sSub>
          <m:r>
            <w:rPr>
              <w:rFonts w:ascii="Cambria Math" w:hAnsi="Cambria Math"/>
            </w:rPr>
            <m:t xml:space="preserve">=</m:t>
          </m:r>
          <m:f>
            <m:num>
              <m:sSub>
                <m:e>
                  <m:r>
                    <w:rPr>
                      <w:rFonts w:ascii="Cambria Math" w:hAnsi="Cambria Math"/>
                    </w:rPr>
                    <m:t xml:space="preserve">ЗП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ср</m:t>
                  </m:r>
                </m:sub>
              </m:sSub>
              <m:r>
                <w:rPr>
                  <w:rFonts w:ascii="Cambria Math" w:hAnsi="Cambria Math"/>
                </w:rPr>
                <m:t xml:space="preserve">×</m:t>
              </m:r>
              <m:d>
                <m:dPr>
                  <m:begChr m:val="("/>
                  <m:endChr m:val=")"/>
                </m:dPr>
                <m:e>
                  <m:r>
                    <w:rPr>
                      <w:rFonts w:ascii="Cambria Math" w:hAnsi="Cambria Math"/>
                    </w:rPr>
                    <m:t xml:space="preserve">1</m:t>
                  </m:r>
                  <m:r>
                    <w:rPr>
                      <w:rFonts w:ascii="Cambria Math" w:hAnsi="Cambria Math"/>
                    </w:rPr>
                    <m:t xml:space="preserve">+</m:t>
                  </m:r>
                  <m:r>
                    <w:rPr>
                      <w:rFonts w:ascii="Cambria Math" w:hAnsi="Cambria Math"/>
                    </w:rPr>
                    <m:t xml:space="preserve">Р</m:t>
                  </m:r>
                </m:e>
              </m:d>
            </m:num>
            <m:den>
              <m:sSub>
                <m:e>
                  <m:r>
                    <w:rPr>
                      <w:rFonts w:ascii="Cambria Math" w:hAnsi="Cambria Math"/>
                    </w:rPr>
                    <m:t xml:space="preserve">К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з</m:t>
                  </m:r>
                </m:sub>
              </m:sSub>
            </m:den>
          </m:f>
        </m:oMath>
      </m:oMathPara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где: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Р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- коэффициент уровня рентабельности (сметной прибыли), принимается Р = 0,1 (1%) согласно </w:t>
      </w:r>
      <w:hyperlink w:anchor="P1643">
        <w:r>
          <w:rPr>
            <w:rStyle w:val="Hyperlink"/>
            <w:rFonts w:cs="Times New Roman" w:ascii="Times New Roman" w:hAnsi="Times New Roman"/>
            <w:sz w:val="24"/>
            <w:szCs w:val="24"/>
          </w:rPr>
          <w:t>таблице 1.2</w:t>
        </w:r>
      </w:hyperlink>
      <w:r>
        <w:rPr>
          <w:rFonts w:cs="Times New Roman" w:ascii="Times New Roman" w:hAnsi="Times New Roman"/>
          <w:sz w:val="24"/>
          <w:szCs w:val="24"/>
        </w:rPr>
        <w:t>, приведенной в приложении N 2 к Методике  определения стоимости работ по подготовке проектной документации, утвержденной Приказом Минстроя от 01.10.2021г  №707/пр (далее – Методика №707);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ЗП</m:t>
        </m:r>
        <m:r>
          <m:rPr>
            <m:lit/>
            <m:nor/>
          </m:rPr>
          <w:rPr>
            <w:rFonts w:ascii="Cambria Math" w:hAnsi="Cambria Math"/>
          </w:rPr>
          <m:t xml:space="preserve">ср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- среднедневная заработная плата, тыс. руб. Принимается по данным Росстата о среднемесячной номинальной начисленной заработной плате работающих в экономике, по видам экономической деятельности в Российской Федерации для деятельности в области архитектуры (код </w:t>
      </w:r>
      <w:r>
        <w:rPr>
          <w:rFonts w:cs="Times New Roman" w:ascii="Times New Roman" w:hAnsi="Times New Roman"/>
          <w:sz w:val="24"/>
          <w:szCs w:val="24"/>
          <w:u w:val="single"/>
        </w:rPr>
        <w:t>71.2</w:t>
      </w:r>
      <w:r>
        <w:rPr>
          <w:rStyle w:val="Hyperlink"/>
          <w:rFonts w:cs="Times New Roman" w:ascii="Times New Roman" w:hAnsi="Times New Roman"/>
          <w:sz w:val="24"/>
          <w:szCs w:val="24"/>
        </w:rPr>
        <w:t>0</w:t>
      </w:r>
      <w:r>
        <w:rPr>
          <w:rFonts w:cs="Times New Roman" w:ascii="Times New Roman" w:hAnsi="Times New Roman"/>
          <w:sz w:val="24"/>
          <w:szCs w:val="24"/>
        </w:rPr>
        <w:t xml:space="preserve"> согласно ОК 029-2014 (КДЕС ред. 2) "Общероссийский классификатор видов экономической деятельности" (далее - Общероссийский классификатор) и </w:t>
      </w:r>
      <w:r>
        <w:rPr>
          <w:rFonts w:cs="Times New Roman" w:ascii="Times New Roman" w:hAnsi="Times New Roman"/>
          <w:sz w:val="24"/>
          <w:szCs w:val="24"/>
          <w:u w:val="single"/>
        </w:rPr>
        <w:t>с учетом классификатора объектов административно-территориального деления</w:t>
      </w:r>
      <w:r>
        <w:rPr>
          <w:rFonts w:cs="Times New Roman" w:ascii="Times New Roman" w:hAnsi="Times New Roman"/>
          <w:sz w:val="24"/>
          <w:szCs w:val="24"/>
        </w:rPr>
        <w:t xml:space="preserve"> (ОКАТО) проектной организации, за год, предшествующий году определения сметной стоимости объекта проектирования (среднее значение за период январь - декабрь), исходя из усредненного на основании производственного календаря количества рабочих дней в месяце для года, предшествующего году определения сметной стоимости проектных работ;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Кз</m:t>
        </m:r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коэффициент, учитывающий долю оплаты труда производственного персонала в себестоимости проектных работ: К3 принимается в размере 40,06%;</w:t>
      </w:r>
    </w:p>
    <w:p>
      <w:pPr>
        <w:pStyle w:val="ConsPlusNormal1"/>
        <w:numPr>
          <w:ilvl w:val="1"/>
          <w:numId w:val="10"/>
        </w:numPr>
        <w:tabs>
          <w:tab w:val="clear" w:pos="708"/>
          <w:tab w:val="left" w:pos="1134" w:leader="none"/>
        </w:tabs>
        <w:spacing w:before="220" w:after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коэффициент, квалификации-участия (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К</m:t>
            </m:r>
          </m:e>
          <m:sub>
            <m:r>
              <w:rPr>
                <w:rFonts w:ascii="Cambria Math" w:hAnsi="Cambria Math"/>
              </w:rPr>
              <m:t xml:space="preserve">кв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уч</m:t>
            </m:r>
          </m:sub>
        </m:sSub>
      </m:oMath>
      <w:r>
        <w:rPr>
          <w:rFonts w:cs="Times New Roman" w:ascii="Times New Roman" w:hAnsi="Times New Roman"/>
          <w:sz w:val="24"/>
          <w:szCs w:val="24"/>
        </w:rPr>
        <w:t>), определяется по формуле:</w:t>
      </w:r>
    </w:p>
    <w:p>
      <w:pPr>
        <w:pStyle w:val="ConsPlusNormal1"/>
        <w:tabs>
          <w:tab w:val="clear" w:pos="708"/>
          <w:tab w:val="left" w:pos="1134" w:leader="none"/>
        </w:tabs>
        <w:spacing w:before="220" w:after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  <m:oMathPara xmlns:m="http://schemas.openxmlformats.org/officeDocument/2006/math">
        <m:oMathParaPr>
          <m:jc m:val="center"/>
        </m:oMathParaPr>
        <m:oMath>
          <m:sSub>
            <m:e>
              <m:r>
                <w:rPr>
                  <w:rFonts w:ascii="Cambria Math" w:hAnsi="Cambria Math"/>
                </w:rPr>
                <m:t xml:space="preserve">К</m:t>
              </m:r>
            </m:e>
            <m:sub>
              <m:r>
                <w:rPr>
                  <w:rFonts w:ascii="Cambria Math" w:hAnsi="Cambria Math"/>
                </w:rPr>
                <m:t xml:space="preserve">кв</m:t>
              </m:r>
              <m:r>
                <w:rPr>
                  <w:rFonts w:ascii="Cambria Math" w:hAnsi="Cambria Math"/>
                </w:rPr>
                <m:t xml:space="preserve">−</m:t>
              </m:r>
              <m:r>
                <w:rPr>
                  <w:rFonts w:ascii="Cambria Math" w:hAnsi="Cambria Math"/>
                </w:rPr>
                <m:t xml:space="preserve">уч</m:t>
              </m:r>
            </m:sub>
          </m:sSub>
          <m:r>
            <w:rPr>
              <w:rFonts w:ascii="Cambria Math" w:hAnsi="Cambria Math"/>
            </w:rPr>
            <m:t xml:space="preserve">=</m:t>
          </m:r>
          <m:f>
            <m:num>
              <m:nary>
                <m:naryPr>
                  <m:chr m:val="∑"/>
                </m:naryPr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  <m:r>
                    <w:rPr>
                      <w:rFonts w:ascii="Cambria Math" w:hAnsi="Cambria Math"/>
                    </w:rPr>
                    <m:t xml:space="preserve">=</m:t>
                  </m:r>
                  <m:r>
                    <w:rPr>
                      <w:rFonts w:ascii="Cambria Math" w:hAnsi="Cambria Math"/>
                    </w:rPr>
                    <m:t xml:space="preserve">1</m:t>
                  </m:r>
                </m:sub>
                <m:sup>
                  <m:r>
                    <w:rPr>
                      <w:rFonts w:ascii="Cambria Math" w:hAnsi="Cambria Math"/>
                    </w:rPr>
                    <m:t xml:space="preserve">n</m:t>
                  </m:r>
                </m:sup>
                <m:e>
                  <m:f>
                    <m:num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фi</m:t>
                          </m:r>
                        </m:sub>
                      </m:sSub>
                    </m:num>
                    <m:den>
                      <m:sSub>
                        <m:e>
                          <m:r>
                            <w:rPr>
                              <w:rFonts w:ascii="Cambria Math" w:hAnsi="Cambria Math"/>
                            </w:rPr>
                            <m:t xml:space="preserve">Т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 xml:space="preserve">общ</m:t>
                          </m:r>
                        </m:sub>
                      </m:sSub>
                    </m:den>
                  </m:f>
                </m:e>
              </m:nary>
              <m:r>
                <w:rPr>
                  <w:rFonts w:ascii="Cambria Math" w:hAnsi="Cambria Math"/>
                </w:rPr>
                <m:t xml:space="preserve">×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Ч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  <m:r>
                <w:rPr>
                  <w:rFonts w:ascii="Cambria Math" w:hAnsi="Cambria Math"/>
                </w:rPr>
                <m:t xml:space="preserve">×</m:t>
              </m:r>
              <m:sSub>
                <m:e>
                  <m:r>
                    <w:rPr>
                      <w:rFonts w:ascii="Cambria Math" w:hAnsi="Cambria Math"/>
                    </w:rPr>
                    <m:t xml:space="preserve">И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i</m:t>
                  </m:r>
                </m:sub>
              </m:sSub>
            </m:num>
            <m:den>
              <m:sSub>
                <m:e>
                  <m:r>
                    <w:rPr>
                      <w:rFonts w:ascii="Cambria Math" w:hAnsi="Cambria Math"/>
                    </w:rPr>
                    <m:t xml:space="preserve">Ч</m:t>
                  </m:r>
                </m:e>
                <m:sub>
                  <m:r>
                    <w:rPr>
                      <w:rFonts w:ascii="Cambria Math" w:hAnsi="Cambria Math"/>
                    </w:rPr>
                    <m:t xml:space="preserve">общ</m:t>
                  </m:r>
                </m:sub>
              </m:sSub>
            </m:den>
          </m:f>
        </m:oMath>
      </m:oMathPara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где: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И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- индекс квалификации непосредственных исполнителей согласно </w:t>
      </w:r>
      <w:hyperlink w:anchor="P1654">
        <w:r>
          <w:rPr>
            <w:rStyle w:val="Hyperlink"/>
            <w:rFonts w:cs="Times New Roman" w:ascii="Times New Roman" w:hAnsi="Times New Roman"/>
            <w:sz w:val="24"/>
            <w:szCs w:val="24"/>
          </w:rPr>
          <w:t>таблицам 1.3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- </w:t>
      </w:r>
      <w:hyperlink w:anchor="P1701">
        <w:r>
          <w:rPr>
            <w:rStyle w:val="Hyperlink"/>
            <w:rFonts w:cs="Times New Roman" w:ascii="Times New Roman" w:hAnsi="Times New Roman"/>
            <w:sz w:val="24"/>
            <w:szCs w:val="24"/>
          </w:rPr>
          <w:t>1.4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приведенным в приложении N 2 к Методике №707. Для отдельных отраслей индексы, приведенные в </w:t>
      </w:r>
      <w:hyperlink w:anchor="P1654">
        <w:r>
          <w:rPr>
            <w:rStyle w:val="Hyperlink"/>
            <w:rFonts w:cs="Times New Roman" w:ascii="Times New Roman" w:hAnsi="Times New Roman"/>
            <w:sz w:val="24"/>
            <w:szCs w:val="24"/>
          </w:rPr>
          <w:t>таблицах 1.3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- </w:t>
      </w:r>
      <w:hyperlink w:anchor="P1701">
        <w:r>
          <w:rPr>
            <w:rStyle w:val="Hyperlink"/>
            <w:rFonts w:cs="Times New Roman" w:ascii="Times New Roman" w:hAnsi="Times New Roman"/>
            <w:sz w:val="24"/>
            <w:szCs w:val="24"/>
          </w:rPr>
          <w:t>1.4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приложения N 2 к Методике №707, подлежат уточнению при предоставлении соответствующих обоснований (бухгалтерских справок и аналогичных документов), документально подтвержденных уполномоченными лицами проектной организации;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Ч</m:t>
            </m:r>
          </m:e>
          <m:sub>
            <m:r>
              <w:rPr>
                <w:rFonts w:ascii="Cambria Math" w:hAnsi="Cambria Math"/>
              </w:rPr>
              <m:t xml:space="preserve">i</m:t>
            </m:r>
          </m:sub>
        </m:sSub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численность исполнителей одинаковой квалификации, чел.;</w:t>
      </w:r>
    </w:p>
    <w:p>
      <w:pPr>
        <w:pStyle w:val="ConsPlusNormal1"/>
        <w:tabs>
          <w:tab w:val="clear" w:pos="708"/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T</m:t>
            </m:r>
          </m:e>
          <m:sub>
            <m:r>
              <w:rPr>
                <w:rFonts w:ascii="Cambria Math" w:hAnsi="Cambria Math"/>
              </w:rPr>
              <m:t xml:space="preserve">фi</m:t>
            </m:r>
          </m:sub>
        </m:sSub>
      </m:oMath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 фактическое время работы исполнителей одинаковой квалификации, дни.</w:t>
      </w:r>
    </w:p>
    <w:p>
      <w:pPr>
        <w:pStyle w:val="ConsPlusNormal1"/>
        <w:tabs>
          <w:tab w:val="clear" w:pos="708"/>
          <w:tab w:val="left" w:pos="1134" w:leader="none"/>
        </w:tabs>
        <w:spacing w:before="220" w:after="20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Численность и должностные категории (квалификация) исполнителей, фактическое время работы исполнителей одинаковой квалификации определяются на основании положений документов по стандартизации согласно </w:t>
      </w:r>
      <w:hyperlink r:id="rId10">
        <w:r>
          <w:rPr>
            <w:rStyle w:val="Hyperlink"/>
            <w:rFonts w:cs="Times New Roman" w:ascii="Times New Roman" w:hAnsi="Times New Roman"/>
            <w:sz w:val="24"/>
            <w:szCs w:val="24"/>
          </w:rPr>
          <w:t>статье 14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Федерального закона от 29 июня 2015 г. N 162-ФЗ "О стандартизации в Российской Федерации" (Собрание законодательства Российской Федерации, 2015, N 27, ст. 3953; 2021, N 1, ст. 62), стандартов процесса подготовки проектной документации согласно </w:t>
      </w:r>
      <w:hyperlink r:id="rId11">
        <w:r>
          <w:rPr>
            <w:rStyle w:val="Hyperlink"/>
            <w:rFonts w:cs="Times New Roman" w:ascii="Times New Roman" w:hAnsi="Times New Roman"/>
            <w:sz w:val="24"/>
            <w:szCs w:val="24"/>
          </w:rPr>
          <w:t>пункту 10 части 8 статьи 55.20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Градостроительного кодекса Российской Федерации (Собрание законодательства Российской Федерации, 2005, N 1, ст. 16; 2018, N 32, ст. 5133), норм проектирования, данных о трудоемкости объектов-аналогов, результатов опроса, проведенного среди не менее трех проектных организаций, специализирующихся на выполнение проектных работ, на которые подготавливается смета, таблиц технологического процесса выполнения проектных работ по объекту, продолжительности выполняемых работ, указанных в календарном плане к договору на выполнение проектных работ, данных о времени и количестве исполнителей определенной квалификации, принимающих участие в выполнении проектных работ, которые должны быть подписаны руководителем проектной организации, предоставляющей такие данные, и заверены ее печатью;</w:t>
      </w:r>
    </w:p>
    <w:p>
      <w:pPr>
        <w:pStyle w:val="ListParagraph"/>
        <w:numPr>
          <w:ilvl w:val="1"/>
          <w:numId w:val="10"/>
        </w:numPr>
        <w:tabs>
          <w:tab w:val="clear" w:pos="708"/>
          <w:tab w:val="left" w:pos="1134" w:leader="none"/>
        </w:tabs>
        <w:spacing w:before="240" w:after="0"/>
        <w:ind w:left="0" w:firstLine="567"/>
        <w:contextualSpacing/>
        <w:jc w:val="both"/>
        <w:rPr/>
      </w:pPr>
      <w:r>
        <w:rPr/>
        <w:t>стоимость НИР/НИОКР, определяемых в соответствии с калькуляцией затрат, не учитывает командировочные расходы исполнителей, определяемые дополнительно.</w:t>
      </w:r>
    </w:p>
    <w:p>
      <w:pPr>
        <w:pStyle w:val="Normal"/>
        <w:tabs>
          <w:tab w:val="clear" w:pos="708"/>
          <w:tab w:val="left" w:pos="1134" w:leader="none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tabs>
          <w:tab w:val="clear" w:pos="708"/>
          <w:tab w:val="left" w:pos="1134" w:leader="none"/>
        </w:tabs>
        <w:spacing w:lineRule="auto" w:line="276"/>
        <w:ind w:left="0" w:firstLine="567"/>
        <w:jc w:val="both"/>
        <w:rPr>
          <w:color w:val="000000"/>
        </w:rPr>
      </w:pPr>
      <w:r>
        <w:rPr>
          <w:color w:val="000000"/>
        </w:rPr>
        <w:t>Для обоснования командировочных расходов предоставляется отдельно выполненный расчет (Приложение №1.2) с расшифровкой затрат на проезд, проживание, суточные расходы. Размер расходов на проезд и стоимость проживания в гостинице определяется на момент составления расчета.</w:t>
      </w:r>
    </w:p>
    <w:p>
      <w:pPr>
        <w:pStyle w:val="Normal"/>
        <w:tabs>
          <w:tab w:val="clear" w:pos="708"/>
          <w:tab w:val="left" w:pos="1080" w:leader="none"/>
          <w:tab w:val="left" w:pos="1134" w:leader="none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ConsPlusNormal1"/>
        <w:tabs>
          <w:tab w:val="clear" w:pos="708"/>
          <w:tab w:val="left" w:pos="284" w:leader="none"/>
          <w:tab w:val="left" w:pos="1134" w:leader="none"/>
        </w:tabs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Лимиты командировочных расходов при производстве НИР/НИОКР не более: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851" w:leader="none"/>
          <w:tab w:val="left" w:pos="1080" w:leader="none"/>
          <w:tab w:val="left" w:pos="1134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суточные - 700 руб./сутки;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851" w:leader="none"/>
          <w:tab w:val="left" w:pos="1080" w:leader="none"/>
          <w:tab w:val="left" w:pos="1134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проживание – 5000 руб./сутки;</w:t>
      </w:r>
    </w:p>
    <w:p>
      <w:pPr>
        <w:pStyle w:val="ListParagraph"/>
        <w:numPr>
          <w:ilvl w:val="0"/>
          <w:numId w:val="9"/>
        </w:numPr>
        <w:tabs>
          <w:tab w:val="clear" w:pos="708"/>
          <w:tab w:val="left" w:pos="851" w:leader="none"/>
          <w:tab w:val="left" w:pos="1080" w:leader="none"/>
          <w:tab w:val="left" w:pos="1134" w:leader="none"/>
        </w:tabs>
        <w:ind w:left="0" w:firstLine="567"/>
        <w:jc w:val="both"/>
        <w:rPr>
          <w:color w:val="000000"/>
        </w:rPr>
      </w:pPr>
      <w:r>
        <w:rPr>
          <w:color w:val="000000"/>
        </w:rPr>
        <w:t>проезд: поезд (купе) или самолет (класс–эконом с багажом до 20 (двадцати) кг, ручная кладь до 10 (десяти) кг).</w:t>
      </w:r>
    </w:p>
    <w:p>
      <w:pPr>
        <w:pStyle w:val="ListParagraph"/>
        <w:tabs>
          <w:tab w:val="clear" w:pos="708"/>
          <w:tab w:val="left" w:pos="1080" w:leader="none"/>
          <w:tab w:val="left" w:pos="1134" w:leader="none"/>
        </w:tabs>
        <w:ind w:left="0" w:firstLine="567"/>
        <w:jc w:val="both"/>
        <w:rPr/>
      </w:pPr>
      <w:r>
        <w:rPr/>
        <w:t xml:space="preserve">При учете командировочных расходов стоимость проезда (авиа-, ж/д, …) определяется </w:t>
      </w:r>
      <w:r>
        <w:rPr>
          <w:lang w:eastAsia="en-US"/>
        </w:rPr>
        <w:t xml:space="preserve">по наиболее экономичному варианту, </w:t>
      </w:r>
      <w:r>
        <w:rPr/>
        <w:t>Методом анализа ТКП в соответствии с Методикой ПЦ.</w:t>
      </w:r>
    </w:p>
    <w:p>
      <w:pPr>
        <w:sectPr>
          <w:headerReference w:type="default" r:id="rId12"/>
          <w:headerReference w:type="first" r:id="rId13"/>
          <w:footerReference w:type="default" r:id="rId14"/>
          <w:type w:val="nextPage"/>
          <w:pgSz w:w="11906" w:h="16838"/>
          <w:pgMar w:left="1418" w:right="851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ListParagraph"/>
        <w:tabs>
          <w:tab w:val="clear" w:pos="708"/>
          <w:tab w:val="left" w:pos="1080" w:leader="none"/>
          <w:tab w:val="left" w:pos="1134" w:leader="none"/>
        </w:tabs>
        <w:ind w:left="0" w:firstLine="567"/>
        <w:jc w:val="both"/>
        <w:rPr/>
      </w:pPr>
      <w:r>
        <w:rPr/>
        <w:t>При наличии командированных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Normal"/>
        <w:spacing w:before="0" w:after="0"/>
        <w:ind w:left="5811"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№1.1</w:t>
      </w:r>
    </w:p>
    <w:p>
      <w:pPr>
        <w:pStyle w:val="Normal"/>
        <w:spacing w:before="0" w:after="0"/>
        <w:ind w:left="5811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к пояснительной записке</w:t>
      </w:r>
    </w:p>
    <w:p>
      <w:pPr>
        <w:pStyle w:val="Normal"/>
        <w:spacing w:before="0" w:after="0"/>
        <w:ind w:left="5811" w:hanging="0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по заполнению формы 3П</w:t>
      </w:r>
    </w:p>
    <w:p>
      <w:pPr>
        <w:pStyle w:val="Normal"/>
        <w:spacing w:before="0" w:after="0"/>
        <w:ind w:left="6373" w:hanging="0"/>
        <w:contextualSpacing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Образец сметы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на проектные работы в соответствии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 калькуляцией затрат (форма 3п)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СМЕТА №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на проектные работы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720" w:right="124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>
      <w:pPr>
        <w:pStyle w:val="Normal"/>
        <w:spacing w:before="0" w:after="0"/>
        <w:contextualSpacing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объекта)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720" w:right="142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Заказчик ______________________________________________________________</w:t>
      </w:r>
    </w:p>
    <w:p>
      <w:pPr>
        <w:pStyle w:val="Normal"/>
        <w:spacing w:before="0" w:after="0"/>
        <w:contextualSpacing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организации)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720" w:right="124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Проектная организация ___________________________________________________</w:t>
      </w:r>
    </w:p>
    <w:p>
      <w:pPr>
        <w:pStyle w:val="Normal"/>
        <w:spacing w:before="0" w:after="0"/>
        <w:contextualSpacing/>
        <w:jc w:val="center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(наименование организации)</w:t>
      </w:r>
    </w:p>
    <w:p>
      <w:pPr>
        <w:pStyle w:val="Normal"/>
        <w:spacing w:before="0" w:after="0"/>
        <w:ind w:left="720" w:right="1246" w:hanging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Составлена в уровне цен на ___________ 20__ г.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Расчет коэффициента, учитывающего степень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участия исполнителей-проектировщиков различной</w:t>
      </w:r>
    </w:p>
    <w:p>
      <w:pPr>
        <w:pStyle w:val="Normal"/>
        <w:spacing w:before="0" w:after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квалификации в выполнении проектных работ (Ккв-уч)</w:t>
      </w:r>
    </w:p>
    <w:tbl>
      <w:tblPr>
        <w:tblW w:w="1005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559"/>
        <w:gridCol w:w="1395"/>
        <w:gridCol w:w="1582"/>
        <w:gridCol w:w="1985"/>
        <w:gridCol w:w="1557"/>
        <w:gridCol w:w="1420"/>
        <w:gridCol w:w="1556"/>
      </w:tblGrid>
      <w:tr>
        <w:trPr/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13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Наименование должностей исполнителей</w:t>
            </w:r>
          </w:p>
        </w:tc>
        <w:tc>
          <w:tcPr>
            <w:tcW w:w="15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Фактическое время участия исполнителя в работе, Тф (дни)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Плановая продолжительность выполнения проектных работ, предусмотренных калькуляцией, Тп (дни)</w:t>
            </w:r>
          </w:p>
        </w:tc>
        <w:tc>
          <w:tcPr>
            <w:tcW w:w="15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исполнителей одной квалификации Чi (чел)</w:t>
            </w:r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Индекс уровня квалификации специалистов исполнителей работы И</w:t>
            </w:r>
            <w:r>
              <w:rPr>
                <w:rFonts w:cs="Times New Roman" w:ascii="Times New Roman" w:hAnsi="Times New Roman"/>
                <w:lang w:val="en-US"/>
              </w:rPr>
              <w:t>i</w:t>
            </w:r>
          </w:p>
        </w:tc>
        <w:tc>
          <w:tcPr>
            <w:tcW w:w="15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 квалификации (участия) специалистов одной квалификации,</w:t>
            </w:r>
          </w:p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∑</w:t>
            </w:r>
            <w:r>
              <w:rPr>
                <w:rFonts w:cs="Times New Roman" w:ascii="Times New Roman" w:hAnsi="Times New Roman"/>
              </w:rPr>
              <w:t>(гр.3/итог гр.4 х гр.5 х гр.6) / ∑гр.5</w:t>
            </w:r>
          </w:p>
        </w:tc>
      </w:tr>
      <w:tr>
        <w:trPr/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/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51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158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hyperlink w:anchor="P3816">
              <w:r>
                <w:rPr>
                  <w:rStyle w:val="Hyperlink"/>
                  <w:rFonts w:cs="Times New Roman" w:ascii="Times New Roman" w:hAnsi="Times New Roman"/>
                </w:rPr>
                <w:t>*</w:t>
              </w:r>
            </w:hyperlink>
          </w:p>
        </w:tc>
        <w:tc>
          <w:tcPr>
            <w:tcW w:w="15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left="72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sectPr>
          <w:headerReference w:type="default" r:id="rId15"/>
          <w:headerReference w:type="first" r:id="rId16"/>
          <w:footerReference w:type="default" r:id="rId17"/>
          <w:footerReference w:type="first" r:id="rId18"/>
          <w:type w:val="nextPage"/>
          <w:pgSz w:w="11906" w:h="16838"/>
          <w:pgMar w:left="1418" w:right="851" w:gutter="0" w:header="709" w:top="1134" w:footer="709" w:bottom="1134"/>
          <w:pgNumType w:fmt="decimal"/>
          <w:formProt w:val="false"/>
          <w:textDirection w:val="lrTb"/>
          <w:docGrid w:type="default" w:linePitch="360" w:charSpace="0"/>
        </w:sect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Примечание: &lt;*&gt; Графы для расчета коэффициента в таблице не заполняются</w:t>
      </w:r>
      <w:r>
        <w:br w:type="page"/>
      </w:r>
    </w:p>
    <w:p>
      <w:pPr>
        <w:pStyle w:val="Normal"/>
        <w:spacing w:before="0" w:after="0"/>
        <w:contextualSpacing/>
        <w:jc w:val="center"/>
        <w:rPr/>
      </w:pPr>
      <w:r>
        <w:rPr/>
        <w:t>Расчет стоимости проектных работ в соответствии</w:t>
      </w:r>
    </w:p>
    <w:p>
      <w:pPr>
        <w:pStyle w:val="Normal"/>
        <w:jc w:val="center"/>
        <w:rPr/>
      </w:pPr>
      <w:r>
        <w:rPr/>
        <w:t>с калькуляцией затрат на проектирование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501" w:type="dxa"/>
        <w:jc w:val="left"/>
        <w:tblInd w:w="-7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1833"/>
        <w:gridCol w:w="1279"/>
        <w:gridCol w:w="1701"/>
        <w:gridCol w:w="1843"/>
        <w:gridCol w:w="1134"/>
        <w:gridCol w:w="1702"/>
        <w:gridCol w:w="1420"/>
        <w:gridCol w:w="1708"/>
        <w:gridCol w:w="1633"/>
        <w:gridCol w:w="1246"/>
      </w:tblGrid>
      <w:tr>
        <w:trPr/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Среднемесячная зарплата исполнителей, руб.</w:t>
            </w:r>
          </w:p>
        </w:tc>
        <w:tc>
          <w:tcPr>
            <w:tcW w:w="127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Кол-во рабочих дней в месяце, дни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Среднедневная зарплата исполнителей, руб.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</w:t>
            </w:r>
            <w:hyperlink w:anchor="P3831">
              <w:r>
                <w:rPr>
                  <w:rStyle w:val="Hyperlink"/>
                  <w:rFonts w:cs="Times New Roman" w:ascii="Times New Roman" w:hAnsi="Times New Roman"/>
                </w:rPr>
                <w:t>гр 1</w:t>
              </w:r>
            </w:hyperlink>
            <w:r>
              <w:rPr>
                <w:rFonts w:cs="Times New Roman" w:ascii="Times New Roman" w:hAnsi="Times New Roman"/>
              </w:rPr>
              <w:t xml:space="preserve"> / </w:t>
            </w:r>
            <w:hyperlink w:anchor="P3832">
              <w:r>
                <w:rPr>
                  <w:rStyle w:val="Hyperlink"/>
                  <w:rFonts w:cs="Times New Roman" w:ascii="Times New Roman" w:hAnsi="Times New Roman"/>
                </w:rPr>
                <w:t>гр 2</w:t>
              </w:r>
            </w:hyperlink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Удельный вес зарплаты в себестоимости работ - Кз, %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Рентабель-ность, %</w:t>
            </w:r>
          </w:p>
        </w:tc>
        <w:tc>
          <w:tcPr>
            <w:tcW w:w="17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Среднедневная единичная выработка, руб. (</w:t>
            </w:r>
            <w:hyperlink w:anchor="P3833">
              <w:r>
                <w:rPr>
                  <w:rStyle w:val="Hyperlink"/>
                  <w:rFonts w:cs="Times New Roman" w:ascii="Times New Roman" w:hAnsi="Times New Roman"/>
                </w:rPr>
                <w:t>гр. 3</w:t>
              </w:r>
            </w:hyperlink>
            <w:r>
              <w:rPr>
                <w:rFonts w:cs="Times New Roman" w:ascii="Times New Roman" w:hAnsi="Times New Roman"/>
              </w:rPr>
              <w:t xml:space="preserve"> x (1 + </w:t>
            </w:r>
            <w:hyperlink w:anchor="P3835">
              <w:r>
                <w:rPr>
                  <w:rStyle w:val="Hyperlink"/>
                  <w:rFonts w:cs="Times New Roman" w:ascii="Times New Roman" w:hAnsi="Times New Roman"/>
                </w:rPr>
                <w:t>гр. 5</w:t>
              </w:r>
            </w:hyperlink>
            <w:r>
              <w:rPr>
                <w:rFonts w:cs="Times New Roman" w:ascii="Times New Roman" w:hAnsi="Times New Roman"/>
              </w:rPr>
              <w:t xml:space="preserve">)) / </w:t>
            </w:r>
            <w:hyperlink w:anchor="P3834">
              <w:r>
                <w:rPr>
                  <w:rStyle w:val="Hyperlink"/>
                  <w:rFonts w:cs="Times New Roman" w:ascii="Times New Roman" w:hAnsi="Times New Roman"/>
                </w:rPr>
                <w:t>гр. 4</w:t>
              </w:r>
            </w:hyperlink>
          </w:p>
        </w:tc>
        <w:tc>
          <w:tcPr>
            <w:tcW w:w="14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Продолжи-тельность разработки (дни)</w:t>
            </w:r>
          </w:p>
        </w:tc>
        <w:tc>
          <w:tcPr>
            <w:tcW w:w="1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Численность исполнителей (чел.)</w:t>
            </w:r>
          </w:p>
        </w:tc>
        <w:tc>
          <w:tcPr>
            <w:tcW w:w="16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Коэффициент квалификации (участия)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Ккв-уч</w:t>
            </w:r>
          </w:p>
        </w:tc>
        <w:tc>
          <w:tcPr>
            <w:tcW w:w="12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Стоимость работ, руб.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 = (</w:t>
            </w:r>
            <w:hyperlink w:anchor="P3836">
              <w:r>
                <w:rPr>
                  <w:rStyle w:val="Hyperlink"/>
                  <w:rFonts w:cs="Times New Roman" w:ascii="Times New Roman" w:hAnsi="Times New Roman"/>
                </w:rPr>
                <w:t>гр. 6</w:t>
              </w:r>
            </w:hyperlink>
            <w:r>
              <w:rPr>
                <w:rFonts w:cs="Times New Roman" w:ascii="Times New Roman" w:hAnsi="Times New Roman"/>
              </w:rPr>
              <w:t xml:space="preserve"> x </w:t>
            </w:r>
            <w:hyperlink w:anchor="P3837">
              <w:r>
                <w:rPr>
                  <w:rStyle w:val="Hyperlink"/>
                  <w:rFonts w:cs="Times New Roman" w:ascii="Times New Roman" w:hAnsi="Times New Roman"/>
                </w:rPr>
                <w:t>гр. 7</w:t>
              </w:r>
            </w:hyperlink>
            <w:r>
              <w:rPr>
                <w:rFonts w:cs="Times New Roman" w:ascii="Times New Roman" w:hAnsi="Times New Roman"/>
              </w:rPr>
              <w:t xml:space="preserve"> x </w:t>
            </w:r>
            <w:hyperlink w:anchor="P3838">
              <w:r>
                <w:rPr>
                  <w:rStyle w:val="Hyperlink"/>
                  <w:rFonts w:cs="Times New Roman" w:ascii="Times New Roman" w:hAnsi="Times New Roman"/>
                </w:rPr>
                <w:t>гр. 8</w:t>
              </w:r>
            </w:hyperlink>
            <w:r>
              <w:rPr>
                <w:rFonts w:cs="Times New Roman" w:ascii="Times New Roman" w:hAnsi="Times New Roman"/>
              </w:rPr>
              <w:t xml:space="preserve"> x </w:t>
            </w:r>
            <w:hyperlink w:anchor="P3839">
              <w:r>
                <w:rPr>
                  <w:rStyle w:val="Hyperlink"/>
                  <w:rFonts w:cs="Times New Roman" w:ascii="Times New Roman" w:hAnsi="Times New Roman"/>
                </w:rPr>
                <w:t>гр. 9</w:t>
              </w:r>
            </w:hyperlink>
            <w:r>
              <w:rPr>
                <w:rFonts w:cs="Times New Roman" w:ascii="Times New Roman" w:hAnsi="Times New Roman"/>
              </w:rPr>
              <w:t>)</w:t>
            </w:r>
          </w:p>
        </w:tc>
      </w:tr>
      <w:tr>
        <w:trPr/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6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24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8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2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3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4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1"/>
        <w:jc w:val="both"/>
        <w:rPr>
          <w:rFonts w:ascii="Times New Roman" w:hAnsi="Times New Roman" w:eastAsia="Calibri" w:cs="Times New Roman" w:eastAsiaTheme="minorHAnsi"/>
          <w:sz w:val="24"/>
          <w:szCs w:val="24"/>
        </w:rPr>
      </w:pPr>
      <w:r>
        <w:rPr>
          <w:rFonts w:eastAsia="Calibri" w:cs="Times New Roman" w:eastAsiaTheme="minorHAnsi" w:ascii="Times New Roman" w:hAnsi="Times New Roman"/>
          <w:sz w:val="24"/>
          <w:szCs w:val="24"/>
        </w:rPr>
      </w:r>
    </w:p>
    <w:p>
      <w:pPr>
        <w:pStyle w:val="Normal"/>
        <w:ind w:right="2947" w:hanging="0"/>
        <w:jc w:val="both"/>
        <w:rPr>
          <w:rFonts w:eastAsia="Calibri" w:eastAsiaTheme="minorHAnsi"/>
        </w:rPr>
      </w:pPr>
      <w:r>
        <w:rPr/>
        <w:t>Руководитель</w:t>
      </w:r>
    </w:p>
    <w:p>
      <w:pPr>
        <w:pStyle w:val="Normal"/>
        <w:ind w:right="2947" w:hanging="0"/>
        <w:jc w:val="both"/>
        <w:rPr/>
      </w:pPr>
      <w:r>
        <w:rPr/>
        <w:t>проектной организации _______________________________________________________________________________</w:t>
      </w:r>
    </w:p>
    <w:p>
      <w:pPr>
        <w:pStyle w:val="Normal"/>
        <w:ind w:right="2947" w:hanging="0"/>
        <w:jc w:val="center"/>
        <w:rPr>
          <w:i/>
          <w:i/>
          <w:iCs/>
        </w:rPr>
      </w:pPr>
      <w:r>
        <w:rPr>
          <w:i/>
          <w:iCs/>
        </w:rPr>
        <w:t>[подпись (инициалы, фамилия)]</w:t>
      </w:r>
    </w:p>
    <w:p>
      <w:pPr>
        <w:pStyle w:val="Normal"/>
        <w:ind w:right="2947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right="2947" w:hanging="0"/>
        <w:jc w:val="both"/>
        <w:rPr/>
      </w:pPr>
      <w:r>
        <w:rPr/>
        <w:t>Главный инженер</w:t>
      </w:r>
    </w:p>
    <w:p>
      <w:pPr>
        <w:pStyle w:val="Normal"/>
        <w:ind w:right="2947" w:hanging="0"/>
        <w:jc w:val="both"/>
        <w:rPr/>
      </w:pPr>
      <w:r>
        <w:rPr/>
        <w:t>проекта _______________________________________________________________________________________________</w:t>
      </w:r>
    </w:p>
    <w:p>
      <w:pPr>
        <w:pStyle w:val="Normal"/>
        <w:ind w:right="2947" w:hanging="0"/>
        <w:jc w:val="center"/>
        <w:rPr>
          <w:i/>
          <w:i/>
          <w:iCs/>
        </w:rPr>
      </w:pPr>
      <w:r>
        <w:rPr>
          <w:i/>
          <w:iCs/>
        </w:rPr>
        <w:t>[подпись (инициалы, фамилия)]</w:t>
      </w:r>
    </w:p>
    <w:p>
      <w:pPr>
        <w:pStyle w:val="Normal"/>
        <w:ind w:right="2947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right="2947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ConsPlusNormal1"/>
        <w:ind w:hanging="0"/>
        <w:jc w:val="both"/>
        <w:rPr/>
      </w:pPr>
      <w:bookmarkStart w:id="68" w:name="_Hlk146878269"/>
      <w:bookmarkStart w:id="69" w:name="_MON_1798523847"/>
      <w:bookmarkStart w:id="70" w:name="_MON_1758635370"/>
      <w:bookmarkEnd w:id="69"/>
      <w:bookmarkEnd w:id="70"/>
      <w:r>
        <w:rPr/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3" name="_x0000_tole_rId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8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635" distR="0" simplePos="0" locked="0" layoutInCell="0" allowOverlap="1" relativeHeight="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4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3" path="m0,0l-2147483645,0l-2147483645,-2147483646l0,-2147483646xe" stroked="f" o:allowincell="f" style="position:absolute;margin-left:0.05pt;margin-top:0.05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object>
          <v:shapetype id="_x0000_tole_rId19" coordsize="21600,21600" o:spt="ole_rId1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" type="_x0000_tole_rId19" style="width:84.25pt;height:54.35pt;mso-wrap-distance-right:0pt" filled="f" o:ole="">
            <v:imagedata r:id="rId20" o:title=""/>
          </v:shape>
          <o:OLEObject Type="Embed" ProgID="Excel.Sheet.12" ShapeID="ole_rId19" DrawAspect="Icon" ObjectID="_1739024240" r:id="rId19"/>
        </w:object>
      </w:r>
      <w:bookmarkEnd w:id="68"/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ConsPlusNormal1"/>
        <w:ind w:hanging="0"/>
        <w:jc w:val="both"/>
        <w:rPr/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1.2</w:t>
      </w:r>
    </w:p>
    <w:p>
      <w:pPr>
        <w:pStyle w:val="Normal"/>
        <w:widowControl w:val="false"/>
        <w:ind w:left="6804" w:hanging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Требованиям к оформлению и составлению сметной документации </w:t>
      </w:r>
    </w:p>
    <w:p>
      <w:pPr>
        <w:pStyle w:val="Normal"/>
        <w:widowControl w:val="false"/>
        <w:ind w:left="6804" w:hanging="0"/>
        <w:jc w:val="right"/>
        <w:rPr>
          <w:rFonts w:cs="Arial"/>
          <w:sz w:val="20"/>
          <w:szCs w:val="20"/>
        </w:rPr>
      </w:pPr>
      <w:r>
        <w:rPr>
          <w:color w:val="000000"/>
          <w:sz w:val="24"/>
          <w:szCs w:val="24"/>
          <w:lang w:eastAsia="en-US"/>
        </w:rPr>
        <w:t>на оказание услуг по эксплуатации подъёмных сооружений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 xml:space="preserve">Образец расчета командировочных расходов </w:t>
      </w:r>
    </w:p>
    <w:p>
      <w:pPr>
        <w:pStyle w:val="Normal"/>
        <w:ind w:hanging="567"/>
        <w:jc w:val="right"/>
        <w:rPr/>
      </w:pPr>
      <w:r>
        <w:rPr/>
        <w:t>Приложение № __ к смете № __</w:t>
      </w:r>
    </w:p>
    <w:p>
      <w:pPr>
        <w:pStyle w:val="Normal"/>
        <w:ind w:hanging="567"/>
        <w:jc w:val="center"/>
        <w:rPr>
          <w:b/>
        </w:rPr>
      </w:pPr>
      <w:r>
        <w:rPr>
          <w:b/>
        </w:rPr>
        <w:t>Расчет командировочных расходов</w:t>
      </w:r>
    </w:p>
    <w:p>
      <w:pPr>
        <w:pStyle w:val="Normal"/>
        <w:ind w:left="6373" w:hanging="0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14874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95"/>
        <w:gridCol w:w="1440"/>
        <w:gridCol w:w="1892"/>
        <w:gridCol w:w="1896"/>
        <w:gridCol w:w="2624"/>
        <w:gridCol w:w="1364"/>
        <w:gridCol w:w="1917"/>
        <w:gridCol w:w="1953"/>
        <w:gridCol w:w="1391"/>
      </w:tblGrid>
      <w:tr>
        <w:trPr>
          <w:trHeight w:val="644" w:hRule="atLeast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 п/п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Пункт назначения</w:t>
            </w:r>
          </w:p>
        </w:tc>
        <w:tc>
          <w:tcPr>
            <w:tcW w:w="18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Количество специалистов</w:t>
            </w:r>
          </w:p>
        </w:tc>
        <w:tc>
          <w:tcPr>
            <w:tcW w:w="189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Проезд к месту командировки (туда и обратно)</w:t>
            </w:r>
          </w:p>
        </w:tc>
        <w:tc>
          <w:tcPr>
            <w:tcW w:w="26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Проживание в номере гостиницы класса "3 звезды",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чел/сутки.</w:t>
            </w: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Суточные</w:t>
            </w:r>
          </w:p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 сутки/руб.</w:t>
            </w:r>
          </w:p>
        </w:tc>
        <w:tc>
          <w:tcPr>
            <w:tcW w:w="19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Продолжительность командировки, сутки</w:t>
            </w:r>
          </w:p>
        </w:tc>
        <w:tc>
          <w:tcPr>
            <w:tcW w:w="19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Продолжительность проживания в гостинице, сутки</w:t>
            </w:r>
          </w:p>
        </w:tc>
        <w:tc>
          <w:tcPr>
            <w:tcW w:w="13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затрат, рубли</w:t>
            </w:r>
          </w:p>
        </w:tc>
      </w:tr>
      <w:tr>
        <w:trPr/>
        <w:tc>
          <w:tcPr>
            <w:tcW w:w="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89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6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  <w:tc>
          <w:tcPr>
            <w:tcW w:w="195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</w:tr>
      <w:tr>
        <w:trPr/>
        <w:tc>
          <w:tcPr>
            <w:tcW w:w="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72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 по сметному расчету</w:t>
            </w:r>
          </w:p>
        </w:tc>
        <w:tc>
          <w:tcPr>
            <w:tcW w:w="189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62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6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17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5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ConsPlusNormal1"/>
              <w:widowControl w:val="false"/>
              <w:ind w:firstLine="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ConsPlusNormal1"/>
        <w:jc w:val="both"/>
        <w:rPr>
          <w:rFonts w:ascii="Times New Roman" w:hAnsi="Times New Roman" w:eastAsia="Calibri" w:cs="Times New Roman" w:eastAsiaTheme="minorHAnsi"/>
          <w:sz w:val="22"/>
          <w:szCs w:val="22"/>
        </w:rPr>
      </w:pPr>
      <w:r>
        <w:rPr>
          <w:rFonts w:eastAsia="Calibri" w:cs="Times New Roman" w:eastAsiaTheme="minorHAnsi" w:ascii="Times New Roman" w:hAnsi="Times New Roman"/>
          <w:sz w:val="22"/>
          <w:szCs w:val="22"/>
        </w:rPr>
      </w:r>
    </w:p>
    <w:p>
      <w:pPr>
        <w:pStyle w:val="Normal"/>
        <w:ind w:right="2947" w:hanging="0"/>
        <w:jc w:val="both"/>
        <w:rPr>
          <w:rFonts w:eastAsia="Calibri" w:eastAsiaTheme="minorHAnsi"/>
        </w:rPr>
      </w:pPr>
      <w:r>
        <w:rPr/>
        <w:t>Руководитель</w:t>
      </w:r>
    </w:p>
    <w:p>
      <w:pPr>
        <w:pStyle w:val="Normal"/>
        <w:ind w:right="2947" w:hanging="0"/>
        <w:jc w:val="both"/>
        <w:rPr/>
      </w:pPr>
      <w:r>
        <w:rPr/>
        <w:t>Проектной организации ______________________________________________________________</w:t>
      </w:r>
    </w:p>
    <w:p>
      <w:pPr>
        <w:pStyle w:val="Normal"/>
        <w:ind w:right="2947" w:hanging="0"/>
        <w:jc w:val="center"/>
        <w:rPr>
          <w:i/>
          <w:i/>
          <w:iCs/>
        </w:rPr>
      </w:pPr>
      <w:r>
        <w:rPr>
          <w:i/>
          <w:iCs/>
        </w:rPr>
        <w:t>[подпись (инициалы, фамилия)]</w:t>
      </w:r>
    </w:p>
    <w:p>
      <w:pPr>
        <w:pStyle w:val="Normal"/>
        <w:ind w:right="2947" w:hanging="0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ind w:right="2947" w:hanging="0"/>
        <w:jc w:val="both"/>
        <w:rPr/>
      </w:pPr>
      <w:r>
        <w:rPr/>
        <w:t>Главный инженер</w:t>
      </w:r>
    </w:p>
    <w:p>
      <w:pPr>
        <w:pStyle w:val="Normal"/>
        <w:ind w:right="2947" w:hanging="0"/>
        <w:jc w:val="both"/>
        <w:rPr/>
      </w:pPr>
      <w:r>
        <w:rPr/>
        <w:t>проекта ____________________________________________________________________________________</w:t>
      </w:r>
    </w:p>
    <w:p>
      <w:pPr>
        <w:pStyle w:val="Normal"/>
        <w:ind w:right="2947" w:hanging="0"/>
        <w:jc w:val="center"/>
        <w:rPr>
          <w:i/>
          <w:i/>
          <w:iCs/>
        </w:rPr>
      </w:pPr>
      <w:r>
        <w:rPr>
          <w:i/>
          <w:iCs/>
        </w:rPr>
        <w:t>[подпись (инициалы, фамилия)]</w:t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nsPlusNormal1"/>
        <w:ind w:hanging="0"/>
        <w:jc w:val="both"/>
        <w:rPr>
          <w:rFonts w:ascii="Times New Roman" w:hAnsi="Times New Roman"/>
          <w:color w:val="000000"/>
          <w:sz w:val="28"/>
          <w:szCs w:val="28"/>
          <w:lang w:val="en-US" w:eastAsia="en-US"/>
        </w:rPr>
      </w:pPr>
      <w:r>
        <w:rPr/>
      </w:r>
      <w:bookmarkStart w:id="71" w:name="_GoBack_Копия_1"/>
      <w:bookmarkStart w:id="72" w:name="_GoBack_Копия_1"/>
      <w:bookmarkEnd w:id="72"/>
    </w:p>
    <w:sectPr>
      <w:headerReference w:type="default" r:id="rId21"/>
      <w:headerReference w:type="first" r:id="rId22"/>
      <w:footerReference w:type="default" r:id="rId23"/>
      <w:footerReference w:type="first" r:id="rId24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Segoe UI Symbol">
    <w:charset w:val="01"/>
    <w:family w:val="roman"/>
    <w:pitch w:val="variable"/>
  </w:font>
  <w:font w:name="Tahoma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29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31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31</w:t>
    </w:r>
    <w:r>
      <w:rPr/>
      <w:fldChar w:fldCharType="end"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33C0117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33C0117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sz w:val="28"/>
        <w:i w:val="false"/>
        <w:u w:val="none"/>
        <w:b w:val="false"/>
        <w:szCs w:val="28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sz w:val="28"/>
        <w:u w:val="none"/>
        <w:b w:val="false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/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/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/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7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5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WW8Num9z0" w:customStyle="1">
    <w:name w:val="WW8Num9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1" w:customStyle="1">
    <w:name w:val="WW8Num9z1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3"/>
      <w:szCs w:val="23"/>
      <w:u w:val="none"/>
    </w:rPr>
  </w:style>
  <w:style w:type="character" w:styleId="WW8Num9z2" w:customStyle="1">
    <w:name w:val="WW8Num9z2"/>
    <w:qFormat/>
    <w:rPr>
      <w:rFonts w:ascii="Times New Roman" w:hAnsi="Times New Roman" w:cs="Times New Roman"/>
    </w:rPr>
  </w:style>
  <w:style w:type="character" w:styleId="WW8Num10z0" w:customStyle="1">
    <w:name w:val="WW8Num10z0"/>
    <w:qFormat/>
    <w:rPr>
      <w:rFonts w:ascii="Times New Roman" w:hAnsi="Times New Roman" w:eastAsia="Calibri" w:cs="Times New Roman"/>
    </w:rPr>
  </w:style>
  <w:style w:type="character" w:styleId="WW8Num11z0" w:customStyle="1">
    <w:name w:val="WW8Num11z0"/>
    <w:qFormat/>
    <w:rPr>
      <w:rFonts w:ascii="Arial" w:hAnsi="Arial" w:cs="Symbol"/>
    </w:rPr>
  </w:style>
  <w:style w:type="character" w:styleId="WW8Num11z1" w:customStyle="1">
    <w:name w:val="WW8Num11z1"/>
    <w:qFormat/>
    <w:rPr>
      <w:rFonts w:ascii="Segoe UI Symbol" w:hAnsi="Segoe UI Symbol" w:cs="Segoe UI Symbol"/>
    </w:rPr>
  </w:style>
  <w:style w:type="character" w:styleId="WW8Num11z3" w:customStyle="1">
    <w:name w:val="WW8Num11z3"/>
    <w:qFormat/>
    <w:rPr>
      <w:rFonts w:ascii="Arial" w:hAnsi="Arial" w:cs="Arial"/>
    </w:rPr>
  </w:style>
  <w:style w:type="character" w:styleId="WW8Num12z0" w:customStyle="1">
    <w:name w:val="WW8Num12z0"/>
    <w:qFormat/>
    <w:rPr>
      <w:rFonts w:ascii="Arial" w:hAnsi="Arial" w:cs="Symbol"/>
    </w:rPr>
  </w:style>
  <w:style w:type="character" w:styleId="WW8Num12z1" w:customStyle="1">
    <w:name w:val="WW8Num12z1"/>
    <w:qFormat/>
    <w:rPr>
      <w:rFonts w:ascii="Segoe UI Symbol" w:hAnsi="Segoe UI Symbol" w:cs="Segoe UI Symbol"/>
    </w:rPr>
  </w:style>
  <w:style w:type="character" w:styleId="WW8Num12z3" w:customStyle="1">
    <w:name w:val="WW8Num12z3"/>
    <w:qFormat/>
    <w:rPr>
      <w:rFonts w:ascii="Arial" w:hAnsi="Arial" w:cs="Arial"/>
    </w:rPr>
  </w:style>
  <w:style w:type="character" w:styleId="FootnoteReference2" w:customStyle="1">
    <w:name w:val="Footnote Reference2"/>
    <w:qFormat/>
    <w:rPr>
      <w:vertAlign w:val="superscript"/>
    </w:rPr>
  </w:style>
  <w:style w:type="character" w:styleId="WW8Num13z0" w:customStyle="1">
    <w:name w:val="WW8Num13z0"/>
    <w:qFormat/>
    <w:rPr>
      <w:rFonts w:cs="Symbol"/>
    </w:rPr>
  </w:style>
  <w:style w:type="character" w:styleId="Linenumber">
    <w:name w:val="line number"/>
    <w:qFormat/>
    <w:rPr/>
  </w:style>
  <w:style w:type="character" w:styleId="Style16" w:customStyle="1">
    <w:name w:val="Нижний колонтитул Знак"/>
    <w:basedOn w:val="DefaultParagraphFont"/>
    <w:uiPriority w:val="99"/>
    <w:qFormat/>
    <w:rsid w:val="008449aa"/>
    <w:rPr>
      <w:sz w:val="28"/>
      <w:szCs w:val="28"/>
    </w:rPr>
  </w:style>
  <w:style w:type="character" w:styleId="ConsPlusNormal" w:customStyle="1">
    <w:name w:val="ConsPlusNormal Знак"/>
    <w:link w:val="ConsPlusNormal1"/>
    <w:qFormat/>
    <w:rsid w:val="008449aa"/>
    <w:rPr>
      <w:rFonts w:ascii="Arial" w:hAnsi="Arial" w:cs="Arial"/>
    </w:rPr>
  </w:style>
  <w:style w:type="character" w:styleId="Style17">
    <w:name w:val="Стиль полужирный"/>
    <w:qFormat/>
    <w:rPr>
      <w:rFonts w:cs="Times New Roman"/>
      <w:b/>
      <w:bCs/>
    </w:rPr>
  </w:style>
  <w:style w:type="character" w:styleId="Style18">
    <w:name w:val="Основной текст с отступом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20">
    <w:name w:val="Основной шрифт абзаца"/>
    <w:qFormat/>
    <w:rPr/>
  </w:style>
  <w:style w:type="character" w:styleId="WW8Num7z0">
    <w:name w:val="WW8Num7z0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>
      <w:rFonts w:ascii="Times New Roman" w:hAnsi="Times New Roman" w:eastAsia="Calibri" w:cs="Times New Roman"/>
    </w:rPr>
  </w:style>
  <w:style w:type="character" w:styleId="WW8Num5z1">
    <w:name w:val="WW8Num5z1"/>
    <w:qFormat/>
    <w:rPr/>
  </w:style>
  <w:style w:type="character" w:styleId="WW8Num4z2">
    <w:name w:val="WW8Num4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23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4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5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6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7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8" w:customStyle="1">
    <w:name w:val="Раздел регламента"/>
    <w:basedOn w:val="Normal"/>
    <w:qFormat/>
    <w:rsid w:val="00e228fa"/>
    <w:pPr/>
    <w:rPr/>
  </w:style>
  <w:style w:type="paragraph" w:styleId="Style2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1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1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2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3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4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5" w:customStyle="1">
    <w:name w:val="Подподпункт"/>
    <w:basedOn w:val="Style27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6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7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8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9" w:customStyle="1">
    <w:name w:val="Содержимое врезки"/>
    <w:basedOn w:val="Normal"/>
    <w:qFormat/>
    <w:pPr/>
    <w:rPr/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paragraph" w:styleId="Caption1111" w:customStyle="1">
    <w:name w:val="caption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ConsPlusNonformat" w:customStyle="1">
    <w:name w:val="ConsPlusNonformat"/>
    <w:basedOn w:val="Normal"/>
    <w:qFormat/>
    <w:rsid w:val="008449aa"/>
    <w:pPr/>
    <w:rPr>
      <w:rFonts w:ascii="Courier New" w:hAnsi="Courier New" w:eastAsia="Calibri" w:cs="Courier New" w:eastAsiaTheme="minorHAnsi"/>
      <w:sz w:val="20"/>
      <w:szCs w:val="20"/>
    </w:rPr>
  </w:style>
  <w:style w:type="paragraph" w:styleId="Style42">
    <w:name w:val="Абзац списка"/>
    <w:basedOn w:val="Normal"/>
    <w:qFormat/>
    <w:pPr>
      <w:spacing w:before="0" w:after="200"/>
      <w:ind w:left="720" w:right="0" w:hanging="0"/>
      <w:contextualSpacing/>
    </w:pPr>
    <w:rPr>
      <w:rFonts w:ascii="Calibri" w:hAnsi="Calibri" w:eastAsia="Calibri" w:cs="Times New Roman"/>
    </w:rPr>
  </w:style>
  <w:style w:type="paragraph" w:styleId="Style43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Xl82">
    <w:name w:val="xl8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81">
    <w:name w:val="xl8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="280" w:after="280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80">
    <w:name w:val="xl80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79">
    <w:name w:val="xl7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fill="FFFFFF"/>
      <w:spacing w:lineRule="auto" w:line="240" w:before="280" w:after="280"/>
      <w:textAlignment w:val="top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Xl78">
    <w:name w:val="xl7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Xl77">
    <w:name w:val="xl77"/>
    <w:basedOn w:val="Normal"/>
    <w:qFormat/>
    <w:pP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color w:val="FF0000"/>
      <w:sz w:val="24"/>
      <w:szCs w:val="24"/>
    </w:rPr>
  </w:style>
  <w:style w:type="paragraph" w:styleId="Xl76">
    <w:name w:val="xl76"/>
    <w:basedOn w:val="Normal"/>
    <w:qFormat/>
    <w:pPr>
      <w:shd w:val="clear" w:fill="FFFFFF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Xl75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73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fill="FFFFFF"/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7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69">
    <w:name w:val="xl6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6"/>
      <w:szCs w:val="16"/>
    </w:rPr>
  </w:style>
  <w:style w:type="paragraph" w:styleId="Xl68">
    <w:name w:val="xl68"/>
    <w:basedOn w:val="Normal"/>
    <w:qFormat/>
    <w:pPr>
      <w:shd w:val="clear" w:fill="FFFF00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6"/>
      <w:szCs w:val="16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="280" w:after="280"/>
      <w:jc w:val="center"/>
      <w:textAlignment w:val="top"/>
    </w:pPr>
    <w:rPr>
      <w:rFonts w:ascii="Times New Roman" w:hAnsi="Times New Roman" w:eastAsia="Times New Roman" w:cs="Times New Roman"/>
      <w:sz w:val="18"/>
      <w:szCs w:val="18"/>
    </w:rPr>
  </w:style>
  <w:style w:type="paragraph" w:styleId="Style44">
    <w:name w:val="Текст выноски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  <w:lang w:val="ru-RU"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a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yperlink" Target="consultantplus://offline/ref=B32CDE0E905E401B1BFF323EF993DB2C6F62F6A7789C3444C3F7F56C5AF257E783F32977DF4B25AAFDACBC60359FF614F9C1315096B586250A26N" TargetMode="External"/><Relationship Id="rId11" Type="http://schemas.openxmlformats.org/officeDocument/2006/relationships/hyperlink" Target="consultantplus://offline/ref=B32CDE0E905E401B1BFF323EF993DB2C6F6DF7AA75973444C3F7F56C5AF257E783F32974D8482DA7A0F6AC647CCBFC0BFEDE2F5388B50824N" TargetMode="External"/><Relationship Id="rId12" Type="http://schemas.openxmlformats.org/officeDocument/2006/relationships/header" Target="header9.xml"/><Relationship Id="rId13" Type="http://schemas.openxmlformats.org/officeDocument/2006/relationships/header" Target="header10.xml"/><Relationship Id="rId14" Type="http://schemas.openxmlformats.org/officeDocument/2006/relationships/footer" Target="footer1.xml"/><Relationship Id="rId15" Type="http://schemas.openxmlformats.org/officeDocument/2006/relationships/header" Target="header11.xml"/><Relationship Id="rId16" Type="http://schemas.openxmlformats.org/officeDocument/2006/relationships/header" Target="header12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package" Target="embeddings/oleObject1.xlsx"/><Relationship Id="rId20" Type="http://schemas.openxmlformats.org/officeDocument/2006/relationships/image" Target="media/image1.wmf"/><Relationship Id="rId21" Type="http://schemas.openxmlformats.org/officeDocument/2006/relationships/header" Target="header13.xml"/><Relationship Id="rId22" Type="http://schemas.openxmlformats.org/officeDocument/2006/relationships/header" Target="header14.xml"/><Relationship Id="rId23" Type="http://schemas.openxmlformats.org/officeDocument/2006/relationships/footer" Target="footer4.xml"/><Relationship Id="rId24" Type="http://schemas.openxmlformats.org/officeDocument/2006/relationships/footer" Target="footer5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<Relationship Id="rId2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8EFB0-9FF0-4D02-A507-02E9A697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Application>AlterOffice/3.4.0.9$Linux_X86_64 LibreOffice_project/b8daf9e823b1a5463a2f48435ddc2e8696e7d4fc</Application>
  <AppVersion>15.0000</AppVersion>
  <Pages>31</Pages>
  <Words>5019</Words>
  <Characters>35385</Characters>
  <CharactersWithSpaces>37070</CharactersWithSpaces>
  <Paragraphs>755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sugakds@corp.gidroogk.com</cp:lastModifiedBy>
  <cp:lastPrinted>2026-02-18T09:32:39Z</cp:lastPrinted>
  <dcterms:modified xsi:type="dcterms:W3CDTF">2026-04-02T16:33:09Z</dcterms:modified>
  <cp:revision>109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