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3.xml" ContentType="application/vnd.openxmlformats-officedocument.wordprocessingml.header+xml"/>
  <Override PartName="/word/media/image1.wmf" ContentType="image/x-wmf"/>
  <Override PartName="/word/embeddings/oleObject1.xlsx" ContentType="application/vnd.openxmlformats-officedocument.spreadsheetml.sheet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</w:rPr>
      </w:pPr>
      <w:r>
        <w:rPr>
          <w:rFonts w:eastAsia="Calibri"/>
          <w:b/>
          <w:bCs/>
          <w:sz w:val="26"/>
          <w:szCs w:val="26"/>
        </w:rPr>
        <w:t>ОКПД2 71.20.19.190 по проведению экспертизы промышленной безопасности, комплексному обследованию рельсовых путей и обслуживанию приборов безопасности подъемных сооружений филиала ПАО «РусГидро»-«Каскад Верхневолжских ГЭС» для нужд Жигулевского филиала АО «Гидроремонт-ВКК» в г. Жигулевск в 2027 году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________________________________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 …………………………………………………………………………………..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……………………………………………………………………………………………………………...</w:t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Иные требования и сведения общего характера…………………………………………………………….</w:t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6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</w:t>
            </w:r>
          </w:hyperlink>
          <w:r>
            <w:rPr/>
            <w:t>6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/>
            <w:t>6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7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 ………………………………………………………………………………...</w:t>
            </w:r>
          </w:hyperlink>
          <w:r>
            <w:rPr/>
            <w:t>9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</w:r>
          </w:hyperlink>
          <w:hyperlink w:anchor="_Toc5464371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2</w:t>
            </w:r>
            <w:r>
              <w:rPr>
                <w:webHidden/>
              </w:rPr>
              <w:fldChar w:fldCharType="end"/>
            </w:r>
          </w:hyperlink>
          <w:r>
            <w:rPr>
              <w:vanish w:val="false"/>
            </w:rPr>
            <w:t>1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Приложение № 1. </w:t>
          </w: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23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нормативные правовые акты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организационно-распорядительный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подъемные сооружения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экспертиза промышленной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комплексное обследование рельсовых путей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  <w:r>
        <w:rPr/>
        <w:t>/услуги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71.20.19.190 Оказание услуг по проведению экспертизы промышленной безопасности, комплексному обследованию рельсовых путей и обслуживанию приборов безопасности подъемных сооружений филиала ПАО «РусГидро»-«Каскад Верхневолжских ГЭС» для нужд Жигулевского филиала АО «Гидроремонт-ВКК» в г. Жигулевск (далее также - Заказчик) в 2027 году».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Услуги оказываются в рамках исполнения Филиалом обязательство по доходному договору по эксплуатации подъемных сооружений филиала ПАО «РусГидро»-«Каскад Верхневолжских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Целью проведения ЭПБ ПС, подлежащих учету в Ростехнадзоре, является выдача заключения ЭПБ. При проведении ЭПБ необходимо выполнить комплекс работ по определению технического состояния ПС с оформлением заключения ЭПБ, содержащего выводы о соответствии (не соответствии) объекта экспертизы требованиям промышленной безопасности. По результатам ЭПБ в заключении должны дополнительно приводиться сведения о расчетных и аналитических процедурах оценки и прогнозирования технического состояния ПС, включающие определение остаточного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 безопасной эксплуатации.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Целью КО РП является определение их технического состояния. При проведении КО РП выполняется комплекс работ по определению технического состояния с оформлением заключения (акта) комплексного обследования рельсового пути.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Целью обслуживания приборов безопасности козлового крана Угличской ГЭС КК-50/10-42-10/12-А3-380 (уч. № 32341) является определение возможности и параметров их дальнейшей эксплуатации.  При проведении обслуживания приборов безопасности выполняется комплекс работ с оформлением протоколов (удостоверений) о наладке (обслуживании) приборов безопасности с заключением об их техническом состоянии. При считывании данных с регистратора параметров ограничителя предельной нагрузки «Альфа-М» сформировать карту (протокол) о параметрах работы крана и осуществить обработку (расшифровку) этих данных.</w:t>
      </w:r>
    </w:p>
    <w:p>
      <w:pPr>
        <w:pStyle w:val="Heading4"/>
        <w:numPr>
          <w:ilvl w:val="1"/>
          <w:numId w:val="3"/>
        </w:numPr>
        <w:rPr/>
      </w:pPr>
      <w:bookmarkStart w:id="7" w:name="_Toc46743508"/>
      <w:bookmarkStart w:id="8" w:name="_Toc54643698"/>
      <w:r>
        <w:rPr/>
        <w:t>Существующее положение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Типовое наименование ОПО: ОПО, на которых используются стационарно установленные грузоподъемные механизмы.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Большая часть эксплуатируемых ПС филиала ПАО «РусГидро»-«Каскад Верхневолжских ГЭС» (Рыбинская ГЭС и Угличская ГЭС) отработала нормативный срок службы. На основании требований законодательства в области промышленной безопасности для дальнейшей эксплуатации ПС должно быть организовано проведение ЭПБ.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В соответствии с требованиями действующих НПА и НТД периодическое комплексное обследование рельсовых путей проводится специализированными организациями не реже одного раза в три года.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Козловой кран Угличской ГЭС КК-50/10-42-10/12-А3-380 (уч. № 32341) оснащен современными приборам безопасности, которые требуют обслуживания (наладки) в соответствии с требованиями, изложенными в эксплуатационной документацией завода-изготов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ителя (разработчика)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0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15"/>
        <w:gridCol w:w="2550"/>
        <w:gridCol w:w="2180"/>
        <w:gridCol w:w="3265"/>
        <w:gridCol w:w="1410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54" w:right="-45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ОПО «Площадка Рыбинской ГЭС», рег. № А40-19617-0004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Ярославская обл.,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Рыбинск,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Вяземского, 31,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Рыбинская ГЭС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Кран мостовой МЗ г/п 320/63/10т (уч. (рег.) № 10354)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Кран мостовой МЗ г/п 320/63/10т (уч. (рег.) № 10355)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Кран мостовой ТМХ г/п 100/30т (уч. (рег.) №100-П)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Кран мостовой ВСП № 2 г/п 300/4,8т (уч. (рег.) №25977)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Кран мостовой ВСП № 2 г/п 300/4,8т (уч. (рег.) №25978)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Кран мостовой ВБ ВСП № 2 г/п 60т (уч. (рег.) №25976)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Кран мостовой НБ г/п 60т (2 крюка по 30т) (уч. (рег.) №25979)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крана мостового ТМХ г/п 100/30т (уч. (рег.) №100-П)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крана полукозлового ПК-30 г/п 30 т (уч. (рег.) № А018-00127-0001-пс)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крана козлового г/п 50/10 т (уч. (рег.) № 10369)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ОПО «Площадка Угличской ГЭС», рег. № А40-19617-0005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Ярославская обл.,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Углич,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Спасская, 33, Угличская ГЭС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Кран мостовой ТМХ г/п 100/30т (уч. (рег.) № 764)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РП крана мостового ЩО г/п 37,2 т (уч. (рег.) №25475)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1.5.  </w:t>
      </w:r>
      <w:bookmarkStart w:id="10" w:name="_Toc54643700"/>
      <w:bookmarkStart w:id="11" w:name="_Hlk49857604"/>
      <w:bookmarkStart w:id="12" w:name="_Toc46743509"/>
      <w:r>
        <w:rPr>
          <w:b/>
          <w:bCs/>
          <w:sz w:val="24"/>
          <w:szCs w:val="24"/>
        </w:rPr>
        <w:t xml:space="preserve">Информация в отношении исполнения договора, </w:t>
      </w:r>
      <w:bookmarkStart w:id="13" w:name="_Hlk46492347"/>
      <w:r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3"/>
      <w:r>
        <w:rPr>
          <w:b/>
          <w:bCs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 оказании услуг Исполнитель обязан обеспечить применение персоналом сертифицированных средств индивидуальной защиты, соответствующих характеру оказываемых услуг, а также соблюдение правил внутреннего распорядка, действующих в филиале ПАО «РусГидро»-«Каскад Верхневолжских ГЭС» и в Жигулевском филиале АО «Гидроремонт-ВКК» в г. Жигулевск.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Допуск персонала Исполнителя для оказания услуг осуществляется в соответствии с Регламентом процесса допуска подрядных организаций на объекты ПАО «РусГидро», утвержденным Приказом ПАО «РусГидро» от 28.04.2023 № 300. В соответствии с Методикой допуска персонала подрядных организаций к выполнению работ на объектах ПАО «РусГидро» (приложение 2 к приказу ПАО «РусГидро» от 28.04.2023 № 300) Исполнитель сопроводительным письмом на имя заказчика направляет список работников, с предоставлением прав ответственных за безопасное выполнение работ на объектах с указанием группы по электробезопасности и разряда работников, сообщает состав бригады для допуска персонала на объекты и места выполнения работ, с указанием руководителя работ, лица, выдающего наряд (при наличии), производителей работ и членов бригады. К письму сведения указанные в сопроводительном письме должны быть подтверждены копиями ОРД Исполнителя, протоколов проверки знаний, аттестации, копиями удостоверений о проверке знаний, свидетельств о прохождении обучения, документов прохождения медосмотра и психиатрического освидетельствования, заверенными руководителем или уполномоченным лицом Исполнителя.</w:t>
      </w:r>
    </w:p>
    <w:p>
      <w:pPr>
        <w:pStyle w:val="Heading4"/>
        <w:numPr>
          <w:ilvl w:val="0"/>
        </w:numPr>
        <w:ind w:left="432" w:hanging="432"/>
        <w:rPr/>
      </w:pPr>
      <w:bookmarkStart w:id="14" w:name="_Toc50125126"/>
      <w:bookmarkEnd w:id="14"/>
      <w:r>
        <w:rPr/>
        <w:t xml:space="preserve">1.6. </w:t>
      </w:r>
      <w:bookmarkStart w:id="15" w:name="_Toc54643701"/>
      <w:r>
        <w:rPr/>
        <w:t>Иные требования и сведения общего характера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Все работы, предусмотренные настоящим ТТ, проводятся по наряду-допуску и выполняются согласно разрабатываемому Исполнителем проекту производства работ (технологической карте).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1"/>
        <w:gridCol w:w="3402"/>
        <w:gridCol w:w="1816"/>
        <w:gridCol w:w="1998"/>
        <w:gridCol w:w="1763"/>
      </w:tblGrid>
      <w:tr>
        <w:trPr/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</w:tr>
      <w:tr>
        <w:trPr/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7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ЭПБ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71.20.19.190</w:t>
            </w:r>
          </w:p>
        </w:tc>
      </w:tr>
      <w:tr>
        <w:trPr/>
        <w:tc>
          <w:tcPr>
            <w:tcW w:w="804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Ярославская обл., г. Рыбинск, ул. Вяземского, 31, Рыбинская ГЭС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МЗ г/п 320/63/10т (уч. (рег.) № 10354)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МЗ г/п 320/63/10т (уч. (рег.) № 10355)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ТМХ г/п 100/30т (уч. (рег.) №100-П)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ВСП № 2 г/п 300/4,8т (уч. (рег.) №25977)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ВСП № 2 г/п 300/4,8т (уч. (рег.) №25978)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ВБ ВСП № 2 г/п 60т (уч. (рег.) №25976)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НБ г/п 60т (2 крюка по 30т) (уч. (рег.) №25979)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6" w:hRule="atLeast"/>
        </w:trPr>
        <w:tc>
          <w:tcPr>
            <w:tcW w:w="804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Ярославская обл., г. Углич, ул. Спасская, 33, Угличская ГЭС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ТМХ г/п 100/30т (уч. (рег.) № 764)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КО РП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71.20.19.190</w:t>
            </w:r>
          </w:p>
        </w:tc>
      </w:tr>
      <w:tr>
        <w:trPr/>
        <w:tc>
          <w:tcPr>
            <w:tcW w:w="804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Ярославская обл., г. Рыбинск, ул. Вяземского, 31, Рыбинская ГЭС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40" w:right="-113" w:hanging="0"/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 крана мостового ТМХ г/п 100/30т (уч. (рег.) №100-П)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40" w:right="-113" w:hanging="0"/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 крана полукозлового ПК-30 г/п 30 т (уч. (рег.) № А018-00127-0001-пс)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40" w:right="-113" w:hanging="0"/>
              <w:rPr>
                <w:lang w:val="en-US"/>
              </w:rPr>
            </w:pPr>
            <w:r>
              <w:rPr>
                <w:lang w:val="en-US"/>
              </w:rPr>
              <w:t>2.3.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 крана козлового г/п 50/10 т (уч. (рег.) № 10369)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Ярославская обл., г. Углич, ул. Спасская, 33, Угличская ГЭС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40" w:right="-170" w:hanging="0"/>
              <w:rPr>
                <w:lang w:val="en-US"/>
              </w:rPr>
            </w:pPr>
            <w:r>
              <w:rPr>
                <w:lang w:val="en-US"/>
              </w:rPr>
              <w:t>2.4.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 крана мостового ЩО г/п 37,2 т (уч. (рег.) №25475)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1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Обслуживание приборов безопасности козлового крана КК-50/10-42-10/12-А3-380 (уч. № 32341)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71.20.19.190</w:t>
            </w:r>
          </w:p>
        </w:tc>
      </w:tr>
      <w:tr>
        <w:trPr/>
        <w:tc>
          <w:tcPr>
            <w:tcW w:w="804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Ярославская обл., г. Углич, ул. Спасская, 33, Угличская ГЭС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</w:tc>
      </w:tr>
      <w:tr>
        <w:trPr/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Наладка (обслуживание) приборов безопасности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Считывание и обработка (расшифровка)</w:t>
            </w:r>
            <w:r>
              <w:rPr>
                <w:shd w:fill="auto" w:val="clear"/>
              </w:rPr>
              <w:t xml:space="preserve"> 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данных с регистратора параметров ОПН “Альфа-М”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1339697"/>
      <w:bookmarkStart w:id="26" w:name="_Toc5012512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855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5"/>
        <w:gridCol w:w="2980"/>
        <w:gridCol w:w="1914"/>
        <w:gridCol w:w="1971"/>
        <w:gridCol w:w="2175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 (в т.ч. предоставления результатов Заказчику)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0" w:hanging="360"/>
              <w:jc w:val="right"/>
              <w:rPr/>
            </w:pPr>
            <w:r>
              <w:rPr/>
            </w:r>
          </w:p>
        </w:tc>
        <w:tc>
          <w:tcPr>
            <w:tcW w:w="9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ЭПБ</w:t>
            </w:r>
          </w:p>
        </w:tc>
      </w:tr>
      <w:tr>
        <w:trPr/>
        <w:tc>
          <w:tcPr>
            <w:tcW w:w="98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rPr/>
            </w:pPr>
            <w:r>
              <w:rPr/>
              <w:t>Ярославская обл., г. Рыбинск, ул. Вяземского, 31, Рыбинская ГЭС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0" w:hanging="432"/>
              <w:jc w:val="right"/>
              <w:rPr/>
            </w:pPr>
            <w:r>
              <w:rPr/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МЗ г/п 320/63/10т (уч. (рег.) № 10354)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25.03.2027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01.04.2027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0" w:hanging="432"/>
              <w:jc w:val="right"/>
              <w:rPr/>
            </w:pPr>
            <w:r>
              <w:rPr/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МЗ г/п 320/63/10т (уч. (рег.) № 10355)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25.03.2027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01.04.2027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0" w:hanging="432"/>
              <w:jc w:val="right"/>
              <w:rPr/>
            </w:pPr>
            <w:r>
              <w:rPr/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ТМХ г/п 100/30т (уч. (рег.) №100-П)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01.03.2027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05.03.2027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0" w:hanging="432"/>
              <w:jc w:val="right"/>
              <w:rPr/>
            </w:pPr>
            <w:r>
              <w:rPr/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ВСП № 2 г/п 300/4,8т (уч. (рег.) №25977)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08.10.2027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0" w:hanging="432"/>
              <w:jc w:val="right"/>
              <w:rPr/>
            </w:pPr>
            <w:r>
              <w:rPr/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ВСП № 2 г/п 300/4,8т (уч. (рег.) №25978)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08.10.2027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0" w:hanging="432"/>
              <w:jc w:val="right"/>
              <w:rPr/>
            </w:pPr>
            <w:r>
              <w:rPr/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ВБ ВСП № 2 г/п 60т (уч. (рег.) №25976)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08.10.2027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0" w:hanging="432"/>
              <w:jc w:val="right"/>
              <w:rPr/>
            </w:pPr>
            <w:r>
              <w:rPr/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НБ г/п 60т (2 крюка по 30т) (уч. (рег.) №25979)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22.11.2027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rPr/>
            </w:pPr>
            <w:r>
              <w:rPr/>
              <w:t>Ярославская обл., г. Углич, ул. Спасская, 33, Угличская ГЭС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0" w:hanging="432"/>
              <w:jc w:val="right"/>
              <w:rPr/>
            </w:pPr>
            <w:r>
              <w:rPr/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ТМХ г/п 100/30т (уч. (рег.) № 764)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0" w:hanging="360"/>
              <w:jc w:val="righ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КО РП</w:t>
            </w:r>
          </w:p>
        </w:tc>
      </w:tr>
      <w:tr>
        <w:trPr/>
        <w:tc>
          <w:tcPr>
            <w:tcW w:w="98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rPr/>
            </w:pPr>
            <w:r>
              <w:rPr/>
              <w:t>Ярославская обл., г. Рыбинск, ул. Вяземского, 31, Рыбинская ГЭС</w:t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170" w:right="-113" w:hang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 крана мостового ТМХ г/п 100/30т (уч. (рег.) №100-П)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08.04.2027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15.04.2027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170" w:right="-113" w:hang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 крана полукозлового ПК-30 г/п 30 т (уч. (рег.) № А018-00127-0001-пс)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08.04.2027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15.04.2027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170" w:right="-113" w:hanging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2.3.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 крана козлового г/п 50/10 т (уч. (рег.) № 10369)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08.04.2027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15.04.2027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rPr/>
            </w:pPr>
            <w:r>
              <w:rPr/>
              <w:t>Ярославская обл., г. Углич, ул. Спасская, 33, Угличская ГЭС</w:t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227" w:right="-17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2.4.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 крана мостового ЩО г/п 37,2 т (уч. (рег.) №25475)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0" w:hanging="360"/>
              <w:jc w:val="righ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0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Обслуживание приборов безопасности козлового крана КК-50/10-42-10/12-А3-380 (уч. № 32341)</w:t>
            </w:r>
          </w:p>
        </w:tc>
      </w:tr>
      <w:tr>
        <w:trPr/>
        <w:tc>
          <w:tcPr>
            <w:tcW w:w="98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rPr/>
            </w:pPr>
            <w:r>
              <w:rPr/>
              <w:t>Ярославская обл., г. Углич, ул. Спасская, 33, Угличская ГЭС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right"/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Считывание и обработка (расшифровка) данных с регистратора параметров ОПН “Альфа-М”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03.04.2027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10.04.2027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right"/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Наладка (обслуживание) приборов безопасности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right"/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Считывание и обработка (расшифровка) данных с регистратора параметров ОПН “Альфа-М”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08.10.2027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  <w:t>Общий срок оказания услу</w:t>
      </w:r>
      <w:r>
        <w:rPr>
          <w:sz w:val="24"/>
          <w:szCs w:val="24"/>
          <w:shd w:fill="auto" w:val="clear"/>
        </w:rPr>
        <w:t>г: с 01.03.2027 и по 03.12.2027.</w:t>
      </w: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услуг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(позиции № 1, 2, 3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>Таблицы 2): ЭПБ, КО РП, обслуживание приборов безопасности козлового крана КК-50/10-42-10/12-А3-380 (уч. № 32341)</w:t>
      </w:r>
    </w:p>
    <w:tbl>
      <w:tblPr>
        <w:tblStyle w:val="affff9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4922"/>
        <w:gridCol w:w="2221"/>
        <w:gridCol w:w="2429"/>
        <w:gridCol w:w="219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норм, правил, требований НТД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обязан руководствоваться и исполнять требования следующих НПА и НТД: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настоящих технических требований;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26.11.2020 № 461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Федеральных норм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утвержденных приказом Ростехнадзора от 01.12.2020 № 478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- Федеральных норм и правил в области промышленной безопасности «Правила проведения экспертизы промышленной безопасности», утвержденных приказом Ростехнадзора от 20.10.2020 № 420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Административного регламента Федеральной службы по экологическому, технологическому и атомному надзору по предоставлению государственной услуги «Внесение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реестра», утвержденного Приказ Ростехнадзора от 29.01.2025 № 30;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РД 10-112-5-97. Методические указания по обследованию грузоподъемных машин с истекшим сроком службы. Часть 5. Краны мостовые и козловые;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Руководства по безопасности «Оценка фактического состояния технических устройств, зданий и сооружений, применяемых на опасных производственных объектах», утвержденного Приказом Ростехнадзора от 14.11.2023 № 407;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Руководства по безопасности «Методические рекомендации о порядке проведения визуального и измерительного контроля», утвержденного Приказом Ростехнадзора от 16.01.2024 № 8;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Методики определения размера платы за оказание услуги по проведению экспертизы промышленной безопасности и предельного размера указанной платы, утвержденной Приказом Ростехнадзора от 08.10.2024 № 310;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Правил по охране труда при работе на высоте, утвержденных Приказом Минтруда России от 16.11.2020 № 782н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ГОСТ 33713-2015. Межгосударственный стандарт. Краны грузоподъемные. Регистраторы параметров работы. Общие требования;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- ГОСТ Р 72193-2025 «Гидроэлектростанции и гидроаккумулирующие электростанции. Гидротехнические сооружения. Гидросиловое и механическое оборудование. Правила организации безопасного обслуживания»;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РД 10-138-97 Комплексное обследование крановых путей грузоподъёмных машин;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правил внутреннего трудового распорядка Заказчика и филиала ПАО «РусГидро»-«Каскад Верхневолжских ГЭС»;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иных нормативных документов, устанавливающих требования в области охраны труда, промышленной, пожарной и экологической безопасности, промышленной санитарии и охраны окружающей среды, действующих на момент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оказания услуг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Услуги оказываются на территории, а также в зданиях и сооружениях, принадлежащих филиалу ПАО «РусГидро»-«Каскад Верхневолжских ГЭС».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Заказчик обязан предоставить безопасный и беспрепятственный доступ персоналу Исполнителя, участвующему в оказании услуг, к объектам и их эксплуатационной документации.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для оказания услуг осуществляется в соответствии с Регламентом процесса допуска подрядных организаций на объекты ПАО «РусГидро», утвержденным Приказом ПАО «РусГидро» от 28.04.2023 № 300, и обязательным оформлением наряда-допуска.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оборудованию, инструментам и материалам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зданий или нежилых помещений, принадлежащих исполнителю на праве собственности или на ином законном основании, используемых при осуществлении лицензируемой деятельности, а также оборудования, приборов, материалов и средств информационного обеспечения в соответствии с пунктом 8 статьи 13 Федерального закона «О промышленной безопасности опасных производственных объектов».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Оборудование, инструменты и материалы, необходимые для оказания услуг, приобретаются исполнителем самостоятельно.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Применяемые при оказании услуг инструменты и оборудование должны обслуживаться, ремонтироваться, проверяться, испытываться и проходить техническое освидетельствование в соответствии с требованиями технической документации организации-изготовителя квалифицированным персоналом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 применению допускаются средства измерений, прошедшие поверку в соответствии с положениями закона о единстве измерений.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Предоставление копий документов, подтверждающих наличие зданий или нежилых помещений н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а праве собственности или на ином законном основании, используемых при осуществлении лицензируемой деятельности, а также оборудования, приборов, материалов и средств информационного обеспечения в соответствии с пунктом 8 статьи 13 Федерального закона «О промышленной безопасности опасных производственных объектов».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</w:t>
            </w:r>
          </w:p>
        </w:tc>
        <w:tc>
          <w:tcPr>
            <w:tcW w:w="4922" w:type="dxa"/>
            <w:tcBorders/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в штате исполнителя как минимум 3 экспертов в области промышленной безопасности, которые соответствуют требованиям, установленным Федеральным законом «О промышленной безопасности опасных производственных объектов», и для которых работа в этой организации является основной.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Исполнителем для оказания услуг по договору должна быть сформирована комиссия, включающая не менее одного эксперта в области промышленной безопасности, одного наладчика приборов безопасности, геодезиста (возможно совмещение профессий) и представлены следующие документы, действительные на период проведения работ: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квалификационное удостоверение эксперта (ОА Э14.4 ТУ) в области промышленной безопасности (либо подтверждающая запись в реестре), выданное (оформленное) согласно постановлению Правительства РФ от 02.06.2022 № 1009 «Об аттестации экспертов в области промышленной безопасности» (вместе с «Положением об аттестации экспертов в области промышленной безопасности»);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удостоверение наладчика приборов безопасности грузоподъемных кранов с правом работы с ограничителем предельной нагрузки крана «Альфа-М».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4"/>
                <w:szCs w:val="24"/>
                <w:lang w:val="ru-RU" w:eastAsia="ru-RU" w:bidi="ar-SA"/>
              </w:rPr>
              <w:t>Персонал исполнителя должен иметь удостоверения установленной формы о проверке знаний норм и правил в соответствии с характером выполняемых работ и требованиями НПА и НТД (группа по электробезопасности не ниже II, наличие группы по безопасности работ на высоте (в зависимости от характера выполняемых работ)).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i/>
                <w:i/>
                <w:iCs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документов, подтверждающих наличие в штате исполнителя как минимум 3 экспертов в области промышленной безопасности, которые соответствуют требованиям, установленным Федеральным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законом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«О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промышленной безопасности опасных производственных объектов», и для которых работа в этой организации является основной.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Объем, состав и характер работ по экспертизе промышленной безопасности зависят от типа ПС, его фактического состояния и технологии, в которой ПС применяется на ОПО.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ЭПБ должна проводиться по программе, разработанной Исполнителем не позднее чем за 10 рабочих дней до начала оказания услуг (по инициативе исполнителя и по согласованию с Заказчиком программа может быть дополнена по результатам визуального и измерительного контроля кранов). При проведении ЭПБ ПС выполняются: анализ документации, относящейся к ПС (включая, но не ограничиваясь, акты расследования аварий и инцидентов, связанных с эксплуатацией ПС, заключения экспертизы ранее проводимых экспертиз) и режимам эксплуатации технических устройств (при наличии);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расчетные и аналитические процедуры оценки и прогнозирования технического состояния ПС (при проведении технического диагностирования) и осмотр ПС.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 рамках проведения ЭПБ  выполняется техническое диагностирование ПС в отношении металлоконструкций, узлов, механизмов, электрооборудования, указателей, ограничителей, регистраторов, средств автоматической остановки, предупредительной сигнализации проводятся проверки работоспособности и соответствия требованиям, установленным в документации изготовителя.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Обследование ПС должно производиться с применением неразрушающих методов контроля, фотофиксацией и составлением дефектных ведомостей с оценкой остаточного ресурса (срока службы) (объём и метод контроля отражаются Исполнителем в программе).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Проведение КО РП включает выполнение следующего комплекса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проверку наличия службы эксплуатации ОПО, отвечающей за состояние рельсовых путей; проверку наличия проектной и эксплуатационной документации; выполнение планово-высотной съемки рельсового пути; поэлементное обследование рельсовых путей, включая оценку фактического состояния рельсового пути; подготовку результатов комплексного обследования: оформление инструментальных замеров, включая измерение сопротивления его заземления, и составление ведомости дефектов.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Результаты обследования и диагностирования ПС оформляются в форме заключения ЭПБ.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Оформление заключения (акта) комплексного обследования рельсового пути.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Обслуживание (наладка) приборов безопасности козлового крана Угличской ГЭС с оформлением протокола (удостоверения) об обслуживании (наладке) приборов безопасности козлового крана Угличской ГЭС с внесением записи в паспорт приборов безопасности 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Считывание данных с регистратора параметров козлового крана Угличской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Подготовка протокола (карты) считывания и расшифровки данных с регистратора параметров козлового крана Угличской ГЭС.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при оказании услуг, не относится к категории общедоступной и является конфиденциальной.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услуг не позднее, чем за 3 рабочих дня до планируемой даты передачи Заказчику оригиналов документов, являющихся результатом оказания услуг, обязан предоставить проекты подготовленных документов (согласно п.2.4.1) в адрес специалиста по промышленной безопасности Жигулевского филиала АО «Гидроремонт-ВКК» в г. Жигулевск для рассмотрения и предварительного согласования в электронном виде посредством электронной почты.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Исполнителем заказчику по результатам оказанных услуг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 результатам оказания услуг Исполнителем оформляются следующие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заключение ЭПБ на каждое ПС. Заключение ЭПБ предоставляется на бумажном (2 экз.) и электронном виде в цветном формате PDF (с приложением открепленных усиленных квалифицированных электронных подписей в формате sig руководителя организации, проводившей экспертизу, и эксперт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а (-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ов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)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, участвовавш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его (-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их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)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в проведении экспертизы);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заключение (акт) комплексного обследования рельсового пути на каждый рельсовый путь. Заключение (акт) предоставляется на бумажном (1 экз.) и электронном виде в цветном формате PDF;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протокол (удостоверение) об обслуживании (наладке) приборов безопасности козлового крана Угличской ГЭС предоставляется в бумажном (1 экз.) и электронном виде в цветном формате PDF;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- информационная карта (протокол) по данным регистратора параметров ОПН «Альфа-М» козлового крана Угличской ГЭС  предоставляется в бумажном (1 экз.) и электронном виде форматах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ru-RU" w:bidi="ar-SA"/>
              </w:rPr>
              <w:t>excel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и PDF(в цвете).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лицензии на осуществление деятельности по проведению экспертизы промышленной безопасности технических устройств, применяемых на опасных производственных объектах, действующей на период оказания услуг. Лицензия предоставляется на этапе до заключения договора.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Наличии у Исполнителя собственной или используемой на иных законных основаниях аттестованной лаборатории неразрушающего контроля по видам контроля (не менее): ВИК, УК. (свидетельство об аттестации лаборатории предоставляется до заключения договора). Удостоверения персонала (не менее двух человек), выполняющего работы по неразрушающему контролю; персонал должен иметь области аттестации «3.1. Грузоподъемные краны», «3.10 Крановые пути» в соответствии с СДАНК-02-2020 и виды контроля (не менее): ВИК, УК.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копий: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-лицензии 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на право осуществления деятельности по проведению ЭПБ технических устройств, применяемых на ОПО;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свидетельства об аттестации лаборатории неразрушающего контроля.</w:t>
            </w:r>
          </w:p>
        </w:tc>
        <w:tc>
          <w:tcPr>
            <w:tcW w:w="2194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 за 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выявлении замечаний к содержанию результатов оказания услуг, в т.ч. со стороны надзорных и контролирующих инстанций, Исполнитель обязан устранить замечания и предоставить Заказчику исправленный вариант документации в течение 3 лет с даты подписания Сторонами Акта сдачи-приемки услуг.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 соисполнителям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не вправе привлекать к оказанию услуг по договору соисполнителя.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54643710"/>
      <w:bookmarkStart w:id="35" w:name="_Toc53393312"/>
      <w:bookmarkStart w:id="36" w:name="_Toc53395937"/>
      <w:bookmarkStart w:id="37" w:name="_Toc46743519"/>
      <w:bookmarkStart w:id="38" w:name="_Toc51339699"/>
      <w:bookmarkEnd w:id="37"/>
      <w:bookmarkEnd w:id="38"/>
      <w:r>
        <w:rPr>
          <w:lang w:val="ru-RU"/>
        </w:rPr>
        <w:t>Требования к документации по ценообразованию</w:t>
      </w:r>
      <w:bookmarkEnd w:id="35"/>
      <w:bookmarkEnd w:id="36"/>
      <w:r>
        <w:rPr>
          <w:lang w:val="ru-RU"/>
        </w:rPr>
        <w:t xml:space="preserve"> на этапе закупки</w:t>
      </w:r>
      <w:bookmarkEnd w:id="34"/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(дополнительные документы по ценообразованию к нему не прикладываются). </w:t>
      </w:r>
    </w:p>
    <w:p>
      <w:pPr>
        <w:pStyle w:val="Normal"/>
        <w:keepLines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Toc54281228"/>
      <w:bookmarkStart w:id="40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9"/>
      <w:bookmarkEnd w:id="4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4.1. Требования к оформлению и составлению документации по ценообразованию представлены в Приложении № 1 к настоящим ТТ.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pStyle w:val="ListParagraph"/>
        <w:ind w:left="0" w:hanging="0"/>
        <w:jc w:val="both"/>
        <w:rPr>
          <w:rStyle w:val="Style8"/>
          <w:b w:val="false"/>
          <w:bCs/>
          <w:i w:val="false"/>
          <w:i w:val="false"/>
          <w:shd w:fill="auto" w:val="clear"/>
        </w:rPr>
      </w:pPr>
      <w:r>
        <w:rPr>
          <w:b w:val="false"/>
          <w:bCs/>
          <w:i w:val="false"/>
          <w:shd w:fill="auto" w:val="clear"/>
        </w:rPr>
      </w:r>
      <w:bookmarkStart w:id="41" w:name="_Ref125469522111"/>
      <w:bookmarkStart w:id="42" w:name="_Ref125469522111_Копия_1_Копия_1_Копия_1"/>
      <w:bookmarkStart w:id="43" w:name="_Ref125469522111_Копия_1_Копия_1_Копия_1"/>
      <w:bookmarkStart w:id="44" w:name="_Ref125469522111_Копия_1_Копия_1_Копия_1"/>
      <w:bookmarkStart w:id="45" w:name="_Ref125469522111_Копия_1_Копия_1_Копия_1"/>
      <w:bookmarkStart w:id="46" w:name="_Ref125469522111_Копия_1_Копия_1_Копия_1"/>
      <w:bookmarkStart w:id="47" w:name="_Ref125469522111_Копия_1_Копия_1"/>
      <w:bookmarkStart w:id="48" w:name="_Ref125469522111_Копия_1_Копия_1_Копия_1"/>
      <w:bookmarkStart w:id="49" w:name="_Ref125469522111_Копия_1_Копия_1_Копия_1"/>
      <w:bookmarkStart w:id="50" w:name="_Ref125469522111_Копия_1_Копия_1_Копия_1"/>
      <w:bookmarkStart w:id="51" w:name="_Ref125469522111_Копия_1_Копия_1_Копия_1"/>
      <w:bookmarkStart w:id="52" w:name="_Ref125469522111_Копия_1_Копия_1_Копия_1"/>
      <w:bookmarkStart w:id="53" w:name="_Ref125469522111_Копия_1_Копия_1_Копия_1"/>
      <w:bookmarkStart w:id="54" w:name="_Ref125469522111_Копия_1"/>
      <w:bookmarkStart w:id="55" w:name="_Ref125469522111"/>
      <w:bookmarkStart w:id="56" w:name="_Ref125469522111_Копия_1_Копия_1_Копия_1"/>
      <w:bookmarkStart w:id="57" w:name="_Ref125469522111_Копия_1_Копия_1_Копия_1"/>
      <w:bookmarkStart w:id="58" w:name="_Ref125469522111_Копия_1_Копия_1_Копия_1"/>
      <w:bookmarkStart w:id="59" w:name="_Ref125469522111_Копия_1_Копия_1_Копия_1"/>
      <w:bookmarkStart w:id="60" w:name="_Ref125469522111_Копия_1_Копия_1_Копия_1"/>
      <w:bookmarkStart w:id="61" w:name="_Ref125469522111_Копия_1_Копия_1"/>
      <w:bookmarkStart w:id="62" w:name="_Ref125469522111_Копия_1_Копия_1_Копия_1"/>
      <w:bookmarkStart w:id="63" w:name="_Ref125469522111_Копия_1_Копия_1_Копия_1"/>
      <w:bookmarkStart w:id="64" w:name="_Ref125469522111_Копия_1_Копия_1_Копия_1"/>
      <w:bookmarkStart w:id="65" w:name="_Ref125469522111_Копия_1_Копия_1_Копия_1"/>
      <w:bookmarkStart w:id="66" w:name="_Ref125469522111_Копия_1_Копия_1_Копия_1"/>
      <w:bookmarkStart w:id="67" w:name="_Ref125469522111_Копия_1_Копия_1_Копия_1"/>
      <w:bookmarkStart w:id="68" w:name="_Ref125469522111_Копия_1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>
      <w:pPr>
        <w:pStyle w:val="ListParagraph"/>
        <w:ind w:left="0" w:hanging="0"/>
        <w:jc w:val="both"/>
        <w:rPr/>
      </w:pPr>
      <w:bookmarkStart w:id="69" w:name="_Ref125469522111_Копия_1_Копия_1_Копия_1"/>
      <w:bookmarkEnd w:id="69"/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5.1. На этапе заключения/исполнения договора расчет стоимости услуг производится на основе единичных расценок на каждый вид и объем оказываемых услуг.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ind w:left="0" w:hanging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</w:r>
      <w:r>
        <w:rPr>
          <w:rStyle w:val="Style8"/>
          <w:b w:val="false"/>
          <w:bCs/>
          <w:i w:val="false"/>
          <w:shd w:fill="auto" w:val="clear"/>
        </w:rPr>
        <w:t xml:space="preserve">Приложение 1. </w:t>
      </w:r>
      <w:bookmarkStart w:id="70" w:name="Закладка_12"/>
      <w:bookmarkStart w:id="71" w:name="_Ref125469522"/>
      <w:bookmarkStart w:id="72" w:name="Закладка_131"/>
      <w:bookmarkStart w:id="73" w:name="_Ref1254695221"/>
      <w:r>
        <w:rPr>
          <w:rStyle w:val="Style8"/>
          <w:b w:val="false"/>
          <w:bCs/>
          <w:i w:val="false"/>
          <w:shd w:fill="auto" w:val="clear"/>
        </w:rPr>
        <w:t>Требования к оформлению и составлению документа</w:t>
      </w:r>
      <w:bookmarkEnd w:id="70"/>
      <w:bookmarkEnd w:id="71"/>
      <w:bookmarkEnd w:id="72"/>
      <w:bookmarkEnd w:id="73"/>
      <w:r>
        <w:rPr>
          <w:rStyle w:val="Style8"/>
          <w:b w:val="false"/>
          <w:bCs/>
          <w:i w:val="false"/>
          <w:shd w:fill="auto" w:val="clear"/>
        </w:rPr>
        <w:t>ции по ценообразованию</w:t>
      </w:r>
      <w:r>
        <w:br w:type="page"/>
      </w:r>
    </w:p>
    <w:p>
      <w:pPr>
        <w:pStyle w:val="Normal"/>
        <w:spacing w:lineRule="auto" w:line="264" w:before="0" w:after="10"/>
        <w:ind w:left="4535" w:hanging="0"/>
        <w:jc w:val="right"/>
        <w:rPr/>
      </w:pPr>
      <w:bookmarkStart w:id="74" w:name="_Ref40301253"/>
      <w:bookmarkEnd w:id="74"/>
      <w:r>
        <w:rPr>
          <w:color w:val="000000"/>
          <w:sz w:val="24"/>
          <w:szCs w:val="24"/>
          <w:lang w:eastAsia="en-US"/>
        </w:rPr>
        <w:t>Приложение № 1</w:t>
      </w:r>
    </w:p>
    <w:p>
      <w:pPr>
        <w:pStyle w:val="Normal"/>
        <w:spacing w:lineRule="auto" w:line="264" w:before="0" w:after="4"/>
        <w:ind w:left="4536" w:right="2" w:hanging="0"/>
        <w:jc w:val="right"/>
        <w:rPr/>
      </w:pPr>
      <w:r>
        <w:rPr>
          <w:color w:val="000000"/>
          <w:sz w:val="24"/>
          <w:szCs w:val="24"/>
          <w:lang w:eastAsia="en-US"/>
        </w:rPr>
        <w:t>к техническим требованиям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r>
        <w:rPr>
          <w:rFonts w:cs="Times New Roman"/>
        </w:rPr>
        <w:t xml:space="preserve">Требования к оформлению и составлению документации по 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bookmarkStart w:id="75" w:name="Закладка_1_Копия_1"/>
      <w:r>
        <w:rPr>
          <w:rFonts w:cs="Times New Roman"/>
        </w:rPr>
        <w:t>ценообразованию</w:t>
      </w:r>
      <w:bookmarkEnd w:id="75"/>
    </w:p>
    <w:p>
      <w:pPr>
        <w:pStyle w:val="Normal"/>
        <w:spacing w:lineRule="auto" w:line="264" w:before="0" w:after="5"/>
        <w:ind w:right="-2" w:hanging="1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 xml:space="preserve">ПОЯСНИТЕЛЬНАЯ ЗАПИСКА </w:t>
      </w:r>
    </w:p>
    <w:p>
      <w:pPr>
        <w:pStyle w:val="Normal"/>
        <w:spacing w:lineRule="auto" w:line="264"/>
        <w:ind w:right="-2" w:hanging="1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по заполнению формы №3п</w:t>
      </w:r>
    </w:p>
    <w:p>
      <w:pPr>
        <w:pStyle w:val="Normal"/>
        <w:spacing w:lineRule="auto" w:line="264"/>
        <w:ind w:right="-2" w:hanging="10"/>
        <w:jc w:val="center"/>
        <w:rPr>
          <w:color w:val="000000"/>
          <w:sz w:val="24"/>
          <w:szCs w:val="24"/>
          <w:lang w:eastAsia="en-US"/>
        </w:rPr>
      </w:pPr>
      <w:r>
        <w:rPr>
          <w:b/>
          <w:sz w:val="24"/>
          <w:szCs w:val="24"/>
        </w:rPr>
        <w:t>при составлении смет на НИР/НИОКР</w:t>
      </w:r>
    </w:p>
    <w:p>
      <w:pPr>
        <w:pStyle w:val="Normal"/>
        <w:spacing w:lineRule="auto" w:line="252"/>
        <w:ind w:left="651" w:hanging="0"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</w:t>
      </w:r>
    </w:p>
    <w:p>
      <w:pPr>
        <w:pStyle w:val="ListParagraph"/>
        <w:numPr>
          <w:ilvl w:val="0"/>
          <w:numId w:val="20"/>
        </w:numPr>
        <w:tabs>
          <w:tab w:val="clear" w:pos="708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При составлении калькуляции затрат (форма №3п), разработанным организацией, выполняющей НИР/НИОРК, Заказчику предоставляется обоснование расчета. Сметные расчеты составляются в ценах текущего периода.</w:t>
      </w:r>
    </w:p>
    <w:p>
      <w:pPr>
        <w:pStyle w:val="ListParagraph"/>
        <w:numPr>
          <w:ilvl w:val="0"/>
          <w:numId w:val="21"/>
        </w:numPr>
        <w:tabs>
          <w:tab w:val="clear" w:pos="708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Калькуляцией затрат (форма №3п) рекомендуется определять стоимость работ, цены на которые отсутствуют в МНЗ и СБЦ, внесенных в ФРСН.</w:t>
      </w:r>
    </w:p>
    <w:p>
      <w:pPr>
        <w:pStyle w:val="ListParagraph"/>
        <w:numPr>
          <w:ilvl w:val="0"/>
          <w:numId w:val="22"/>
        </w:numPr>
        <w:tabs>
          <w:tab w:val="clear" w:pos="708"/>
          <w:tab w:val="left" w:pos="1134" w:leader="none"/>
        </w:tabs>
        <w:spacing w:before="240" w:after="0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>Стоимость работ и расходов в соответствии с калькуляцией затрат определяется согласно положениям Методики №707 с учетом следующего:</w:t>
      </w:r>
    </w:p>
    <w:p>
      <w:pPr>
        <w:pStyle w:val="ConsPlusNormal1"/>
        <w:numPr>
          <w:ilvl w:val="1"/>
          <w:numId w:val="23"/>
        </w:numPr>
        <w:tabs>
          <w:tab w:val="clear" w:pos="708"/>
          <w:tab w:val="left" w:pos="1134" w:leader="none"/>
        </w:tabs>
        <w:spacing w:before="240" w:after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НИР/НИОКР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Спр</m:t>
        </m:r>
      </m:oMath>
      <w:r>
        <w:rPr>
          <w:rFonts w:cs="Times New Roman" w:ascii="Times New Roman" w:hAnsi="Times New Roman"/>
          <w:sz w:val="24"/>
          <w:szCs w:val="24"/>
        </w:rPr>
        <w:t>) в соответствии с калькуляцией затрат определяется по формуле:</w:t>
      </w:r>
    </w:p>
    <w:p>
      <w:pPr>
        <w:pStyle w:val="ConsPlusNormal1"/>
        <w:tabs>
          <w:tab w:val="clear" w:pos="708"/>
          <w:tab w:val="left" w:pos="0" w:leader="none"/>
          <w:tab w:val="left" w:pos="1134" w:leader="none"/>
        </w:tabs>
        <w:ind w:firstLine="567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С</m:t>
              </m:r>
            </m:e>
            <m:sub>
              <m:r>
                <w:rPr>
                  <w:rFonts w:ascii="Cambria Math" w:hAnsi="Cambria Math"/>
                </w:rPr>
                <m:t xml:space="preserve">пр</m:t>
              </m:r>
            </m:sub>
          </m:sSub>
          <m:r>
            <w:rPr>
              <w:rFonts w:ascii="Cambria Math" w:hAnsi="Cambria Math"/>
            </w:rPr>
            <m:t xml:space="preserve">=</m:t>
          </m:r>
          <m:sSub>
            <m:e>
              <m:r>
                <w:rPr>
                  <w:rFonts w:ascii="Cambria Math" w:hAnsi="Cambria Math"/>
                </w:rPr>
                <m:t xml:space="preserve">В</m:t>
              </m:r>
            </m:e>
            <m:sub>
              <m:r>
                <w:rPr>
                  <w:rFonts w:ascii="Cambria Math" w:hAnsi="Cambria Math"/>
                </w:rPr>
                <m:t xml:space="preserve">ср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Т</m:t>
              </m:r>
            </m:e>
            <m:sub>
              <m:r>
                <w:rPr>
                  <w:rFonts w:ascii="Cambria Math" w:hAnsi="Cambria Math"/>
                </w:rPr>
                <m:t xml:space="preserve">п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Ч</m:t>
              </m:r>
            </m:e>
            <m:sub>
              <m:r>
                <w:rPr>
                  <w:rFonts w:ascii="Cambria Math" w:hAnsi="Cambria Math"/>
                </w:rPr>
                <m:t xml:space="preserve">общ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К</m:t>
              </m:r>
            </m:e>
            <m:sub>
              <m:r>
                <w:rPr>
                  <w:rFonts w:ascii="Cambria Math" w:hAnsi="Cambria Math"/>
                </w:rPr>
                <m:t xml:space="preserve">кв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уч</m:t>
              </m:r>
            </m:sub>
          </m:sSub>
        </m:oMath>
      </m:oMathPara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где: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Спр</m:t>
        </m:r>
      </m:oMath>
      <w:r>
        <w:rPr>
          <w:rFonts w:cs="Times New Roman"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стоимость проектных работ, определенная в соответствии с калькуляцией затрат, рублей;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Вср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среднедневная выработка одного непосредственного исполнителя, рублей;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Тп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плановая продолжительность выполнения проектных работ, предусмотренных калькуляцией затрат, дни;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Чобщ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общая численность непосредственных исполнителей-проектировщиков, занятых в выполнении проектных работ, предусмотренных калькуляцией затрат, чел.;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Ккв-уч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корректирующий коэффициент, учитывающий степень участия исполнителей различной квалификации в выполнении проектных работ, предусмотренных калькуляцией затрат (далее - коэффициент квалификации-участия);</w:t>
      </w:r>
    </w:p>
    <w:p>
      <w:pPr>
        <w:pStyle w:val="ConsPlusNormal1"/>
        <w:numPr>
          <w:ilvl w:val="1"/>
          <w:numId w:val="24"/>
        </w:numPr>
        <w:tabs>
          <w:tab w:val="clear" w:pos="708"/>
          <w:tab w:val="left" w:pos="1134" w:leader="none"/>
        </w:tabs>
        <w:spacing w:before="240" w:after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среднедневная выработка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m:rPr>
            <m:lit/>
            <m:nor/>
          </m:rPr>
          <w:rPr>
            <w:rFonts w:ascii="Cambria Math" w:hAnsi="Cambria Math"/>
          </w:rPr>
          <m:t xml:space="preserve">ср</m:t>
        </m:r>
      </m:oMath>
      <w:r>
        <w:rPr>
          <w:rFonts w:cs="Times New Roman" w:ascii="Times New Roman" w:hAnsi="Times New Roman"/>
          <w:sz w:val="24"/>
          <w:szCs w:val="24"/>
        </w:rPr>
        <w:t>) определяется по формуле: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0" w:leader="none"/>
          <w:tab w:val="left" w:pos="1134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В</m:t>
              </m:r>
            </m:e>
            <m:sub>
              <m:r>
                <w:rPr>
                  <w:rFonts w:ascii="Cambria Math" w:hAnsi="Cambria Math"/>
                </w:rPr>
                <m:t xml:space="preserve">ср</m:t>
              </m:r>
            </m:sub>
          </m:sSub>
          <m:r>
            <w:rPr>
              <w:rFonts w:ascii="Cambria Math" w:hAnsi="Cambria Math"/>
            </w:rPr>
            <m:t xml:space="preserve">=</m:t>
          </m:r>
          <m:f>
            <m:num>
              <m:sSub>
                <m:e>
                  <m:r>
                    <w:rPr>
                      <w:rFonts w:ascii="Cambria Math" w:hAnsi="Cambria Math"/>
                    </w:rPr>
                    <m:t xml:space="preserve">ЗП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ср</m:t>
                  </m:r>
                </m:sub>
              </m:sSub>
              <m:r>
                <w:rPr>
                  <w:rFonts w:ascii="Cambria Math" w:hAnsi="Cambria Math"/>
                </w:rPr>
                <m:t xml:space="preserve">×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Р</m:t>
                  </m:r>
                </m:e>
              </m:d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К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з</m:t>
                  </m:r>
                </m:sub>
              </m:sSub>
            </m:den>
          </m:f>
        </m:oMath>
      </m:oMathPara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где: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Р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коэффициент уровня рентабельности (сметной прибыли), принимается Р = 0,1 (1%) согласно </w:t>
      </w:r>
      <w:r>
        <w:fldChar w:fldCharType="begin"/>
      </w:r>
      <w:r>
        <w:rPr>
          <w:rStyle w:val="Hyperlink"/>
          <w:sz w:val="24"/>
          <w:szCs w:val="24"/>
          <w:rFonts w:cs="Times New Roman" w:ascii="Times New Roman" w:hAnsi="Times New Roman"/>
        </w:rPr>
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"P1643"</w:instrTex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4"/>
          <w:szCs w:val="24"/>
        </w:rPr>
        <w:t>таблице 1.2</w: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>, приведенной в приложении N 2 к Методике  определения стоимости работ по подготовке проектной документации, утвержденной Приказом Минстроя от 01.10.2021г  №707/пр (далее – Методика №707);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ЗП</m:t>
        </m:r>
        <m:r>
          <m:rPr>
            <m:lit/>
            <m:nor/>
          </m:rPr>
          <w:rPr>
            <w:rFonts w:ascii="Cambria Math" w:hAnsi="Cambria Math"/>
          </w:rPr>
          <m:t xml:space="preserve">ср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среднедневная заработная плата, тыс. руб. Принимается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деятельности в области архитектуры (код </w:t>
      </w:r>
      <w:r>
        <w:rPr>
          <w:rFonts w:cs="Times New Roman" w:ascii="Times New Roman" w:hAnsi="Times New Roman"/>
          <w:sz w:val="24"/>
          <w:szCs w:val="24"/>
          <w:u w:val="single"/>
        </w:rPr>
        <w:t>71.2</w:t>
      </w:r>
      <w:r>
        <w:rPr>
          <w:rStyle w:val="Hyperlink"/>
          <w:rFonts w:cs="Times New Roman" w:ascii="Times New Roman" w:hAnsi="Times New Roman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 xml:space="preserve"> согласно ОК 029-2014 (КДЕС ред. 2) "Общероссийский классификатор видов экономической деятельности" (далее - Общероссийский классификатор) и </w:t>
      </w:r>
      <w:r>
        <w:rPr>
          <w:rFonts w:cs="Times New Roman" w:ascii="Times New Roman" w:hAnsi="Times New Roman"/>
          <w:sz w:val="24"/>
          <w:szCs w:val="24"/>
          <w:u w:val="single"/>
        </w:rPr>
        <w:t>с учетом классификатора объектов административно-территориального деления</w:t>
      </w:r>
      <w:r>
        <w:rPr>
          <w:rFonts w:cs="Times New Roman" w:ascii="Times New Roman" w:hAnsi="Times New Roman"/>
          <w:sz w:val="24"/>
          <w:szCs w:val="24"/>
        </w:rPr>
        <w:t xml:space="preserve"> (ОКАТО) проектной организации, за год, предшествующий году определения сметной стоимости объекта проектирования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проектных работ;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Кз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коэффициент, учитывающий долю оплаты труда производственного персонала в себестоимости проектных работ: К3 принимается в размере 40,06%;</w:t>
      </w:r>
    </w:p>
    <w:p>
      <w:pPr>
        <w:pStyle w:val="ConsPlusNormal1"/>
        <w:numPr>
          <w:ilvl w:val="1"/>
          <w:numId w:val="25"/>
        </w:numPr>
        <w:tabs>
          <w:tab w:val="clear" w:pos="708"/>
          <w:tab w:val="left" w:pos="1134" w:leader="none"/>
        </w:tabs>
        <w:spacing w:before="220" w:after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коэффициент, квалификации-участия (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К</m:t>
            </m:r>
          </m:e>
          <m:sub>
            <m:r>
              <w:rPr>
                <w:rFonts w:ascii="Cambria Math" w:hAnsi="Cambria Math"/>
              </w:rPr>
              <m:t xml:space="preserve">кв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уч</m:t>
            </m:r>
          </m:sub>
        </m:sSub>
      </m:oMath>
      <w:r>
        <w:rPr>
          <w:rFonts w:cs="Times New Roman" w:ascii="Times New Roman" w:hAnsi="Times New Roman"/>
          <w:sz w:val="24"/>
          <w:szCs w:val="24"/>
        </w:rPr>
        <w:t>), определяется по формуле:</w:t>
      </w:r>
    </w:p>
    <w:p>
      <w:pPr>
        <w:pStyle w:val="ConsPlusNormal1"/>
        <w:tabs>
          <w:tab w:val="clear" w:pos="708"/>
          <w:tab w:val="left" w:pos="1134" w:leader="none"/>
        </w:tabs>
        <w:spacing w:before="220" w:after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К</m:t>
              </m:r>
            </m:e>
            <m:sub>
              <m:r>
                <w:rPr>
                  <w:rFonts w:ascii="Cambria Math" w:hAnsi="Cambria Math"/>
                </w:rPr>
                <m:t xml:space="preserve">кв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уч</m:t>
              </m:r>
            </m:sub>
          </m:sSub>
          <m:r>
            <w:rPr>
              <w:rFonts w:ascii="Cambria Math" w:hAnsi="Cambria Math"/>
            </w:rPr>
            <m:t xml:space="preserve">=</m:t>
          </m:r>
          <m:f>
            <m:num>
              <m:nary>
                <m:naryPr>
                  <m:chr m:val="∑"/>
                </m:naryPr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  <m:r>
                    <w:rPr>
                      <w:rFonts w:ascii="Cambria Math" w:hAnsi="Cambria Math"/>
                    </w:rPr>
                    <m:t xml:space="preserve">=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n</m:t>
                  </m:r>
                </m:sup>
                <m:e>
                  <m:f>
                    <m:num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фi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общ</m:t>
                          </m:r>
                        </m:sub>
                      </m:sSub>
                    </m:den>
                  </m:f>
                </m:e>
              </m:nary>
              <m:r>
                <w:rPr>
                  <w:rFonts w:ascii="Cambria Math" w:hAnsi="Cambria Math"/>
                </w:rPr>
                <m:t xml:space="preserve">×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Ч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  <m:r>
                <w:rPr>
                  <w:rFonts w:ascii="Cambria Math" w:hAnsi="Cambria Math"/>
                </w:rPr>
                <m:t xml:space="preserve">×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И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Ч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общ</m:t>
                  </m:r>
                </m:sub>
              </m:sSub>
            </m:den>
          </m:f>
        </m:oMath>
      </m:oMathPara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где: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И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индекс квалификации непосредственных исполнителей согласно </w:t>
      </w:r>
      <w:r>
        <w:fldChar w:fldCharType="begin"/>
      </w:r>
      <w:r>
        <w:rPr>
          <w:rStyle w:val="Hyperlink"/>
          <w:sz w:val="24"/>
          <w:szCs w:val="24"/>
          <w:rFonts w:cs="Times New Roman" w:ascii="Times New Roman" w:hAnsi="Times New Roman"/>
        </w:rPr>
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"P1654"</w:instrTex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4"/>
          <w:szCs w:val="24"/>
        </w:rPr>
        <w:t>таблицам 1.3</w: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- </w:t>
      </w:r>
      <w:r>
        <w:fldChar w:fldCharType="begin"/>
      </w:r>
      <w:r>
        <w:rPr>
          <w:rStyle w:val="Hyperlink"/>
          <w:sz w:val="24"/>
          <w:szCs w:val="24"/>
          <w:rFonts w:cs="Times New Roman" w:ascii="Times New Roman" w:hAnsi="Times New Roman"/>
        </w:rPr>
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"P1701"</w:instrTex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4"/>
          <w:szCs w:val="24"/>
        </w:rPr>
        <w:t>1.4</w: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, приведенным в приложении N 2 к Методике №707. Для отдельных отраслей индексы, приведенные в </w:t>
      </w:r>
      <w:r>
        <w:fldChar w:fldCharType="begin"/>
      </w:r>
      <w:r>
        <w:rPr>
          <w:rStyle w:val="Hyperlink"/>
          <w:sz w:val="24"/>
          <w:szCs w:val="24"/>
          <w:rFonts w:cs="Times New Roman" w:ascii="Times New Roman" w:hAnsi="Times New Roman"/>
        </w:rPr>
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"P1654"</w:instrTex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4"/>
          <w:szCs w:val="24"/>
        </w:rPr>
        <w:t>таблицах 1.3</w: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- </w:t>
      </w:r>
      <w:r>
        <w:fldChar w:fldCharType="begin"/>
      </w:r>
      <w:r>
        <w:rPr>
          <w:rStyle w:val="Hyperlink"/>
          <w:sz w:val="24"/>
          <w:szCs w:val="24"/>
          <w:rFonts w:cs="Times New Roman" w:ascii="Times New Roman" w:hAnsi="Times New Roman"/>
        </w:rPr>
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"P1701"</w:instrTex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4"/>
          <w:szCs w:val="24"/>
        </w:rPr>
        <w:t>1.4</w: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приложения N 2 к Методике №707,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Ч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численность исполнителей одинаковой квалификации, чел.;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T</m:t>
            </m:r>
          </m:e>
          <m:sub>
            <m:r>
              <w:rPr>
                <w:rFonts w:ascii="Cambria Math" w:hAnsi="Cambria Math"/>
              </w:rPr>
              <m:t xml:space="preserve">фi</m:t>
            </m:r>
          </m:sub>
        </m:sSub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фактическое время работы исполнителей одинаковой квалификации, дни.</w:t>
      </w:r>
    </w:p>
    <w:p>
      <w:pPr>
        <w:pStyle w:val="ConsPlusNormal1"/>
        <w:tabs>
          <w:tab w:val="clear" w:pos="708"/>
          <w:tab w:val="left" w:pos="1134" w:leader="none"/>
        </w:tabs>
        <w:spacing w:before="220" w:after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</w:t>
      </w:r>
      <w:hyperlink r:id="rId9">
        <w:r>
          <w:rPr>
            <w:rStyle w:val="Hyperlink"/>
            <w:rFonts w:cs="Times New Roman" w:ascii="Times New Roman" w:hAnsi="Times New Roman"/>
            <w:sz w:val="24"/>
            <w:szCs w:val="24"/>
          </w:rPr>
          <w:t>статье 14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</w:t>
      </w:r>
      <w:hyperlink r:id="rId10">
        <w:r>
          <w:rPr>
            <w:rStyle w:val="Hyperlink"/>
            <w:rFonts w:cs="Times New Roman" w:ascii="Times New Roman" w:hAnsi="Times New Roman"/>
            <w:sz w:val="24"/>
            <w:szCs w:val="24"/>
          </w:rPr>
          <w:t>пункту 10 части 8 статьи 55.20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печатью;</w:t>
      </w:r>
    </w:p>
    <w:p>
      <w:pPr>
        <w:pStyle w:val="ListParagraph"/>
        <w:numPr>
          <w:ilvl w:val="1"/>
          <w:numId w:val="26"/>
        </w:numPr>
        <w:tabs>
          <w:tab w:val="clear" w:pos="708"/>
          <w:tab w:val="left" w:pos="1134" w:leader="none"/>
        </w:tabs>
        <w:spacing w:before="240" w:after="0"/>
        <w:ind w:left="0" w:firstLine="567"/>
        <w:contextualSpacing/>
        <w:jc w:val="both"/>
        <w:rPr/>
      </w:pPr>
      <w:r>
        <w:rPr/>
        <w:t>стоимость НИР/НИОКР, определяемых в соответствии с калькуляцией затрат, не учитывает командировочные расходы исполнителей, определяемые дополнительно.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7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>
          <w:color w:val="000000"/>
        </w:rPr>
      </w:pPr>
      <w:r>
        <w:rPr>
          <w:color w:val="000000"/>
        </w:rPr>
        <w:t>Для обоснования командировочных расходов предоставляется отдельно выполненный расчет (Приложение №1.2)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ConsPlusNormal1"/>
        <w:tabs>
          <w:tab w:val="clear" w:pos="708"/>
          <w:tab w:val="left" w:pos="284" w:leader="none"/>
          <w:tab w:val="left" w:pos="1134" w:leader="none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Лимиты командировочных расходов при производстве НИР/НИОКР не более: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851" w:leader="none"/>
          <w:tab w:val="left" w:pos="1080" w:leader="none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суточные - 700 руб./сутки;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851" w:leader="none"/>
          <w:tab w:val="left" w:pos="1080" w:leader="none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проживание – 5000 руб./сутки;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851" w:leader="none"/>
          <w:tab w:val="left" w:pos="1080" w:leader="none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проезд: поезд (купе) или самолет (класс–эконом с багажом до 20 (двадцати) кг, ручная кладь до 10 (десяти) кг).</w:t>
      </w:r>
    </w:p>
    <w:p>
      <w:pPr>
        <w:pStyle w:val="ListParagraph"/>
        <w:tabs>
          <w:tab w:val="clear" w:pos="708"/>
          <w:tab w:val="left" w:pos="1080" w:leader="none"/>
          <w:tab w:val="left" w:pos="1134" w:leader="none"/>
        </w:tabs>
        <w:ind w:left="0" w:firstLine="567"/>
        <w:jc w:val="both"/>
        <w:rPr/>
      </w:pPr>
      <w:r>
        <w:rPr/>
        <w:t xml:space="preserve">При учете командировочных расходов стоимость проезда (авиа-, ж/д, …) определяется </w:t>
      </w:r>
      <w:r>
        <w:rPr>
          <w:lang w:eastAsia="en-US"/>
        </w:rPr>
        <w:t xml:space="preserve">по наиболее экономичному варианту, </w:t>
      </w:r>
      <w:r>
        <w:rPr/>
        <w:t>Методом анализа ТКП в соответствии с Методикой ПЦ.</w:t>
      </w:r>
    </w:p>
    <w:p>
      <w:pPr>
        <w:sectPr>
          <w:headerReference w:type="default" r:id="rId11"/>
          <w:headerReference w:type="first" r:id="rId12"/>
          <w:type w:val="nextPage"/>
          <w:pgSz w:w="11906" w:h="16838"/>
          <w:pgMar w:left="1418" w:right="851" w:gutter="0" w:header="709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ListParagraph"/>
        <w:tabs>
          <w:tab w:val="clear" w:pos="708"/>
          <w:tab w:val="left" w:pos="1080" w:leader="none"/>
          <w:tab w:val="left" w:pos="1134" w:leader="none"/>
        </w:tabs>
        <w:ind w:left="0" w:firstLine="567"/>
        <w:jc w:val="both"/>
        <w:rPr/>
      </w:pPr>
      <w:r>
        <w:rPr/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pacing w:before="0" w:after="0"/>
        <w:ind w:left="5811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№1.1</w:t>
      </w:r>
    </w:p>
    <w:p>
      <w:pPr>
        <w:pStyle w:val="Normal"/>
        <w:spacing w:before="0" w:after="0"/>
        <w:ind w:left="5811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пояснительной записке</w:t>
      </w:r>
    </w:p>
    <w:p>
      <w:pPr>
        <w:pStyle w:val="Normal"/>
        <w:spacing w:before="0" w:after="0"/>
        <w:ind w:left="5811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 заполнению формы 3П</w:t>
      </w:r>
    </w:p>
    <w:p>
      <w:pPr>
        <w:pStyle w:val="Normal"/>
        <w:spacing w:before="0" w:after="0"/>
        <w:ind w:left="6373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Образец сметы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на проектные работы в соответствии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с калькуляцией затрат (форма 3п)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СМЕТА №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на проектные работы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720" w:right="124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>
      <w:pPr>
        <w:pStyle w:val="Normal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объекта)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720" w:right="142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Заказчик ______________________________________________________________</w:t>
      </w:r>
    </w:p>
    <w:p>
      <w:pPr>
        <w:pStyle w:val="Normal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организации)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720" w:right="124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Проектная организация ___________________________________________________</w:t>
      </w:r>
    </w:p>
    <w:p>
      <w:pPr>
        <w:pStyle w:val="Normal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организации)</w:t>
      </w:r>
    </w:p>
    <w:p>
      <w:pPr>
        <w:pStyle w:val="Normal"/>
        <w:spacing w:before="0" w:after="0"/>
        <w:ind w:left="720" w:right="124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Составлена в уровне цен на 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Расчет коэффициента, учитывающего степень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участия исполнителей-проектировщиков различной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квалификации в выполнении проектных работ (Ккв-уч)</w:t>
      </w:r>
    </w:p>
    <w:tbl>
      <w:tblPr>
        <w:tblW w:w="1005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43"/>
        <w:gridCol w:w="1414"/>
        <w:gridCol w:w="1577"/>
        <w:gridCol w:w="1985"/>
        <w:gridCol w:w="1557"/>
        <w:gridCol w:w="1433"/>
        <w:gridCol w:w="1540"/>
      </w:tblGrid>
      <w:tr>
        <w:trPr/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14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должностей исполнителей</w:t>
            </w: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Фактическое время участия исполнителя в работе, Тф (дни)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Плановая продолжительность выполнения проектных работ, предусмотренных калькуляцией, Тп (дни)</w:t>
            </w:r>
          </w:p>
        </w:tc>
        <w:tc>
          <w:tcPr>
            <w:tcW w:w="1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исполнителей одной квалификации Чi (чел)</w:t>
            </w:r>
          </w:p>
        </w:tc>
        <w:tc>
          <w:tcPr>
            <w:tcW w:w="14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уровня квалификации специалистов исполнителей работы И</w:t>
            </w:r>
            <w:r>
              <w:rPr>
                <w:rFonts w:cs="Times New Roman" w:ascii="Times New Roman" w:hAnsi="Times New Roman"/>
                <w:lang w:val="en-US"/>
              </w:rPr>
              <w:t>i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 квалификации (участия) специалистов одной квалификации,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∑</w:t>
            </w:r>
            <w:r>
              <w:rPr>
                <w:rFonts w:cs="Times New Roman" w:ascii="Times New Roman" w:hAnsi="Times New Roman"/>
              </w:rPr>
              <w:t>(гр.3/итог гр.4 х гр.5 х гр.6) / ∑гр.5</w:t>
            </w:r>
          </w:p>
        </w:tc>
      </w:tr>
      <w:tr>
        <w:trPr/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/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51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"P3816"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*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51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"P3816"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*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51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"P3816"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*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15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"P3816"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*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"P3816"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*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headerReference w:type="default" r:id="rId13"/>
          <w:headerReference w:type="first" r:id="rId14"/>
          <w:type w:val="nextPage"/>
          <w:pgSz w:w="11906" w:h="16838"/>
          <w:pgMar w:left="1418" w:right="851" w:gutter="0" w:header="709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Примечание: &lt;*&gt; Графы для расчета коэффициента в таблице не заполняются</w:t>
      </w:r>
      <w:bookmarkStart w:id="76" w:name="_GoBack"/>
      <w:r>
        <w:br w:type="page"/>
      </w:r>
    </w:p>
    <w:p>
      <w:pPr>
        <w:pStyle w:val="Normal"/>
        <w:jc w:val="center"/>
        <w:rPr/>
      </w:pPr>
      <w:bookmarkEnd w:id="76"/>
      <w:r>
        <w:rPr/>
        <w:t>Расчет стоимости проектных работ в соответствии</w:t>
      </w:r>
    </w:p>
    <w:p>
      <w:pPr>
        <w:pStyle w:val="Normal"/>
        <w:jc w:val="center"/>
        <w:rPr/>
      </w:pPr>
      <w:r>
        <w:rPr/>
        <w:t>с калькуляцией затрат на проектирование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495" w:type="dxa"/>
        <w:jc w:val="left"/>
        <w:tblInd w:w="-7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1831"/>
        <w:gridCol w:w="1277"/>
        <w:gridCol w:w="1700"/>
        <w:gridCol w:w="1842"/>
        <w:gridCol w:w="1134"/>
        <w:gridCol w:w="1700"/>
        <w:gridCol w:w="1422"/>
        <w:gridCol w:w="1706"/>
        <w:gridCol w:w="1621"/>
        <w:gridCol w:w="1260"/>
      </w:tblGrid>
      <w:tr>
        <w:trPr/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Среднемесячная зарплата исполнителей, руб.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Кол-во рабочих дней в месяце, дни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Среднедневная зарплата исполнителей, руб.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</w:t>
            </w: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"P3831"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гр 1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/ </w:t>
            </w: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"P3832"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гр 2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Удельный вес зарплаты в себестоимости работ - Кз, %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Рентабель-ность, %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Среднедневная единичная выработка, руб. (</w:t>
            </w: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"P3833"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гр. 3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x (1 + </w:t>
            </w: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"P3835"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гр. 5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)) / </w:t>
            </w: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"P3834"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гр. 4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Продолжи-тельность разработки (дни)</w:t>
            </w:r>
          </w:p>
        </w:tc>
        <w:tc>
          <w:tcPr>
            <w:tcW w:w="1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исполнителей (чел.)</w:t>
            </w:r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 квалификации (участия)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Ккв-уч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работ, руб.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 = (</w:t>
            </w: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"P3836"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гр. 6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x </w:t>
            </w: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"P3837"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гр. 7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x </w:t>
            </w: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"P3838"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гр. 8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x </w:t>
            </w:r>
            <w:r>
              <w:fldChar w:fldCharType="begin"/>
            </w:r>
            <w:r>
              <w:rPr>
                <w:rStyle w:val="Hyperlink"/>
                <w:rFonts w:cs="Times New Roman" w:ascii="Times New Roman" w:hAnsi="Times New Roman"/>
              </w:rPr>
              <w:instrText xml:space="preserve"> HYPERLINK "../../..//tsclient/_home_sugakds@corp.gidroogk.com_%D0%A0&amp;nbsp%3B%D0%A0%C2%B0%D0%A0%C2%B1%D0%A0%D1%95%D0%A1%E2%80%A1%D0%A0%D1%91%D0%A0%E2%84%96_%D0%A1%D0%83%D0%A1%E2%80%9A%D0%A0%D1%95%D0%A0%C2%BB/%D0%97%D0%B0%D0%BA%D1%83%D0%BF%D0%BA%D0%B8%202025/%D0%AD%D0%9F%D0%91%20%D0%9F%D0%A1%20%D0%96%D0%B8%D0%93%D0%AD%D0%A1/%D0%A2%D0%A2%20%D0%AD%D0%9F%D0%91%20%D0%9F%D0%A1%20%D0%96%D0%B8%D0%93%D0%AD%D0%A1%202025%20%D0%BF%D0%BE%20%D1%88%D0%B0%D0%B1%D0%BB%D0%BE%D0%BD%D1%83%20(%D0%BE%D0%BA%D0%B0%D0%B7%D0%B0%D0%BD%D0%B8%D0%B5%20%D1%83%D1%81%D0%BB%D1%83%D0%B3).docx" \l "P3839"</w:instrText>
            </w:r>
            <w:r>
              <w:rPr>
                <w:rStyle w:val="Hyperlink"/>
                <w:rFonts w:cs="Times New Roman" w:ascii="Times New Roman" w:hAnsi="Times New Roman"/>
              </w:rPr>
              <w:fldChar w:fldCharType="separate"/>
            </w:r>
            <w:r>
              <w:rPr>
                <w:rStyle w:val="Hyperlink"/>
                <w:rFonts w:cs="Times New Roman" w:ascii="Times New Roman" w:hAnsi="Times New Roman"/>
              </w:rPr>
              <w:t>гр. 9</w:t>
            </w:r>
            <w:r>
              <w:rPr>
                <w:rStyle w:val="Hyperlink"/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>)</w:t>
            </w:r>
          </w:p>
        </w:tc>
      </w:tr>
      <w:tr>
        <w:trPr/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 w:eastAsia="Calibri" w:cs="Times New Roman" w:eastAsiaTheme="minorHAnsi"/>
          <w:sz w:val="24"/>
          <w:szCs w:val="24"/>
        </w:rPr>
      </w:pPr>
      <w:r>
        <w:rPr>
          <w:rFonts w:eastAsia="Calibri" w:cs="Times New Roman" w:eastAsiaTheme="minorHAnsi" w:ascii="Times New Roman" w:hAnsi="Times New Roman"/>
          <w:sz w:val="24"/>
          <w:szCs w:val="24"/>
        </w:rPr>
      </w:r>
    </w:p>
    <w:p>
      <w:pPr>
        <w:pStyle w:val="Normal"/>
        <w:ind w:right="2947" w:hanging="0"/>
        <w:jc w:val="both"/>
        <w:rPr>
          <w:rFonts w:eastAsia="Calibri" w:eastAsiaTheme="minorHAnsi"/>
        </w:rPr>
      </w:pPr>
      <w:r>
        <w:rPr/>
        <w:t>Руководитель</w:t>
      </w:r>
    </w:p>
    <w:p>
      <w:pPr>
        <w:pStyle w:val="Normal"/>
        <w:ind w:right="2947" w:hanging="0"/>
        <w:jc w:val="both"/>
        <w:rPr/>
      </w:pPr>
      <w:r>
        <w:rPr/>
        <w:t>проектной организации _______________________________________________________________________________</w:t>
      </w:r>
    </w:p>
    <w:p>
      <w:pPr>
        <w:pStyle w:val="Normal"/>
        <w:ind w:right="2947" w:hanging="0"/>
        <w:jc w:val="center"/>
        <w:rPr>
          <w:i/>
          <w:i/>
          <w:iCs/>
        </w:rPr>
      </w:pPr>
      <w:r>
        <w:rPr>
          <w:i/>
          <w:iCs/>
        </w:rPr>
        <w:t>[подпись (инициалы, фамилия)]</w:t>
      </w:r>
    </w:p>
    <w:p>
      <w:pPr>
        <w:pStyle w:val="Normal"/>
        <w:ind w:right="2947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right="2947" w:hanging="0"/>
        <w:jc w:val="both"/>
        <w:rPr/>
      </w:pPr>
      <w:r>
        <w:rPr/>
        <w:t>Главный инженер</w:t>
      </w:r>
    </w:p>
    <w:p>
      <w:pPr>
        <w:pStyle w:val="Normal"/>
        <w:ind w:right="2947" w:hanging="0"/>
        <w:jc w:val="both"/>
        <w:rPr/>
      </w:pPr>
      <w:r>
        <w:rPr/>
        <w:t>проекта _______________________________________________________________________________________________</w:t>
      </w:r>
    </w:p>
    <w:p>
      <w:pPr>
        <w:pStyle w:val="Normal"/>
        <w:ind w:right="2947" w:hanging="0"/>
        <w:jc w:val="center"/>
        <w:rPr>
          <w:i/>
          <w:i/>
          <w:iCs/>
        </w:rPr>
      </w:pPr>
      <w:r>
        <w:rPr>
          <w:i/>
          <w:iCs/>
        </w:rPr>
        <w:t>[подпись (инициалы, фамилия)]</w:t>
      </w:r>
    </w:p>
    <w:p>
      <w:pPr>
        <w:pStyle w:val="Normal"/>
        <w:ind w:right="2947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right="2947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ConsPlusNormal1"/>
        <w:ind w:hanging="0"/>
        <w:jc w:val="both"/>
        <w:rPr/>
      </w:pPr>
      <w:bookmarkStart w:id="77" w:name="_Hlk146878269"/>
      <w:bookmarkStart w:id="78" w:name="_MON_1758635370"/>
      <w:bookmarkEnd w:id="78"/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_x0000_tole_rId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8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4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3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15" coordsize="21600,21600" o:spt="ole_rId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" type="_x0000_tole_rId15" style="width:84pt;height:54pt;mso-wrap-distance-right:0pt" filled="f" o:ole="">
            <v:imagedata r:id="rId16" o:title=""/>
          </v:shape>
          <o:OLEObject Type="Embed" ProgID="Excel.Sheet.12" ShapeID="ole_rId15" DrawAspect="Icon" ObjectID="_1285475115" r:id="rId15"/>
        </w:object>
      </w:r>
      <w:bookmarkEnd w:id="77"/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1.2</w:t>
      </w:r>
    </w:p>
    <w:p>
      <w:pPr>
        <w:pStyle w:val="Normal"/>
        <w:widowControl w:val="false"/>
        <w:ind w:left="6804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Требованиям к оформлению и составлению сметной документации </w:t>
      </w:r>
    </w:p>
    <w:p>
      <w:pPr>
        <w:pStyle w:val="Normal"/>
        <w:widowControl w:val="false"/>
        <w:ind w:left="6804" w:hanging="0"/>
        <w:jc w:val="right"/>
        <w:rPr>
          <w:rFonts w:cs="Arial"/>
          <w:sz w:val="20"/>
          <w:szCs w:val="20"/>
        </w:rPr>
      </w:pPr>
      <w:r>
        <w:rPr>
          <w:color w:val="000000"/>
          <w:sz w:val="24"/>
          <w:szCs w:val="24"/>
          <w:lang w:eastAsia="en-US"/>
        </w:rPr>
        <w:t>на оказание услуг по эксплуатации подъёмных сооружений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Образец расчета командировочных расходов </w:t>
      </w:r>
    </w:p>
    <w:p>
      <w:pPr>
        <w:pStyle w:val="Normal"/>
        <w:ind w:hanging="567"/>
        <w:jc w:val="right"/>
        <w:rPr/>
      </w:pPr>
      <w:r>
        <w:rPr/>
        <w:t>Приложение № __ к смете № __</w:t>
      </w:r>
    </w:p>
    <w:p>
      <w:pPr>
        <w:pStyle w:val="Normal"/>
        <w:ind w:hanging="567"/>
        <w:jc w:val="center"/>
        <w:rPr>
          <w:b/>
        </w:rPr>
      </w:pPr>
      <w:r>
        <w:rPr>
          <w:b/>
        </w:rPr>
        <w:t>Расчет командировочных расходов</w:t>
      </w:r>
    </w:p>
    <w:p>
      <w:pPr>
        <w:pStyle w:val="Normal"/>
        <w:ind w:left="6373" w:hanging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88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94"/>
        <w:gridCol w:w="1440"/>
        <w:gridCol w:w="1893"/>
        <w:gridCol w:w="1897"/>
        <w:gridCol w:w="2623"/>
        <w:gridCol w:w="1366"/>
        <w:gridCol w:w="1921"/>
        <w:gridCol w:w="1939"/>
        <w:gridCol w:w="1405"/>
      </w:tblGrid>
      <w:tr>
        <w:trPr>
          <w:trHeight w:val="644" w:hRule="atLeast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Пункт назначения</w:t>
            </w:r>
          </w:p>
        </w:tc>
        <w:tc>
          <w:tcPr>
            <w:tcW w:w="18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специалистов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 месту командировки (туда и обратно)</w:t>
            </w:r>
          </w:p>
        </w:tc>
        <w:tc>
          <w:tcPr>
            <w:tcW w:w="26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Проживание в номере гостиницы класса "3 звезды",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чел/сутки.</w:t>
            </w:r>
          </w:p>
        </w:tc>
        <w:tc>
          <w:tcPr>
            <w:tcW w:w="1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Суточные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сутки/руб.</w:t>
            </w:r>
          </w:p>
        </w:tc>
        <w:tc>
          <w:tcPr>
            <w:tcW w:w="19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Продолжительность командировки, сутки</w:t>
            </w:r>
          </w:p>
        </w:tc>
        <w:tc>
          <w:tcPr>
            <w:tcW w:w="19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Продолжительность проживания в гостинице, сутки</w:t>
            </w:r>
          </w:p>
        </w:tc>
        <w:tc>
          <w:tcPr>
            <w:tcW w:w="1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затрат, рубли</w:t>
            </w:r>
          </w:p>
        </w:tc>
      </w:tr>
      <w:tr>
        <w:trPr/>
        <w:tc>
          <w:tcPr>
            <w:tcW w:w="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8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9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9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4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/>
        <w:tc>
          <w:tcPr>
            <w:tcW w:w="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72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сметному расчету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3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 w:eastAsia="Calibri" w:cs="Times New Roman" w:eastAsiaTheme="minorHAnsi"/>
          <w:sz w:val="22"/>
          <w:szCs w:val="22"/>
        </w:rPr>
      </w:pPr>
      <w:r>
        <w:rPr>
          <w:rFonts w:eastAsia="Calibri" w:cs="Times New Roman" w:eastAsiaTheme="minorHAnsi" w:ascii="Times New Roman" w:hAnsi="Times New Roman"/>
          <w:sz w:val="22"/>
          <w:szCs w:val="22"/>
        </w:rPr>
      </w:r>
    </w:p>
    <w:p>
      <w:pPr>
        <w:pStyle w:val="Normal"/>
        <w:ind w:right="2947" w:hanging="0"/>
        <w:jc w:val="both"/>
        <w:rPr>
          <w:rFonts w:eastAsia="Calibri" w:eastAsiaTheme="minorHAnsi"/>
        </w:rPr>
      </w:pPr>
      <w:r>
        <w:rPr/>
        <w:t>Руководитель</w:t>
      </w:r>
    </w:p>
    <w:p>
      <w:pPr>
        <w:pStyle w:val="Normal"/>
        <w:ind w:right="2947" w:hanging="0"/>
        <w:jc w:val="both"/>
        <w:rPr/>
      </w:pPr>
      <w:r>
        <w:rPr/>
        <w:t>Проектной организации ______________________________________________________________</w:t>
      </w:r>
    </w:p>
    <w:p>
      <w:pPr>
        <w:pStyle w:val="Normal"/>
        <w:ind w:right="2947" w:hanging="0"/>
        <w:jc w:val="center"/>
        <w:rPr>
          <w:i/>
          <w:i/>
          <w:iCs/>
        </w:rPr>
      </w:pPr>
      <w:r>
        <w:rPr>
          <w:i/>
          <w:iCs/>
        </w:rPr>
        <w:t>[подпись (инициалы, фамилия)]</w:t>
      </w:r>
    </w:p>
    <w:p>
      <w:pPr>
        <w:pStyle w:val="Normal"/>
        <w:ind w:right="2947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right="2947" w:hanging="0"/>
        <w:jc w:val="both"/>
        <w:rPr/>
      </w:pPr>
      <w:r>
        <w:rPr/>
        <w:t>Главный инженер</w:t>
      </w:r>
    </w:p>
    <w:p>
      <w:pPr>
        <w:pStyle w:val="Normal"/>
        <w:ind w:right="2947" w:hanging="0"/>
        <w:jc w:val="both"/>
        <w:rPr/>
      </w:pPr>
      <w:r>
        <w:rPr/>
        <w:t>проекта ____________________________________________________________________________________</w:t>
      </w:r>
    </w:p>
    <w:p>
      <w:pPr>
        <w:pStyle w:val="Normal"/>
        <w:ind w:right="2947" w:hanging="0"/>
        <w:jc w:val="center"/>
        <w:rPr>
          <w:i/>
          <w:i/>
          <w:iCs/>
        </w:rPr>
      </w:pPr>
      <w:r>
        <w:rPr>
          <w:i/>
          <w:iCs/>
        </w:rPr>
        <w:t>[подпись (инициалы, фамилия)]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/>
      </w:r>
      <w:bookmarkStart w:id="79" w:name="_Ref40301253_Копия_1"/>
      <w:bookmarkStart w:id="80" w:name="_Ref40301253_Копия_1"/>
      <w:bookmarkEnd w:id="80"/>
    </w:p>
    <w:sectPr>
      <w:headerReference w:type="default" r:id="rId17"/>
      <w:headerReference w:type="first" r:id="rId18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Segoe UI 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3C011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3C011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28</w:t>
    </w:r>
    <w:r>
      <w:rPr/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dstrike w:val="false"/>
        <w:strike w:val="false"/>
        <w:sz w:val="28"/>
        <w:i w:val="false"/>
        <w:u w:val="none"/>
        <w:b w:val="false"/>
        <w:effect w:val="none"/>
        <w:szCs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dstrike w:val="false"/>
        <w:strike w:val="false"/>
        <w:sz w:val="28"/>
        <w:u w:val="none"/>
        <w:b w:val="false"/>
        <w:effect w:val="non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2"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dstrike w:val="false"/>
        <w:strike w:val="false"/>
        <w:sz w:val="28"/>
        <w:i w:val="false"/>
        <w:u w:val="none"/>
        <w:b w:val="false"/>
        <w:effect w:val="none"/>
        <w:szCs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dstrike w:val="false"/>
        <w:strike w:val="false"/>
        <w:sz w:val="28"/>
        <w:u w:val="none"/>
        <w:b w:val="false"/>
        <w:effect w:val="non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3"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dstrike w:val="false"/>
        <w:strike w:val="false"/>
        <w:sz w:val="28"/>
        <w:i w:val="false"/>
        <w:u w:val="none"/>
        <w:b w:val="false"/>
        <w:effect w:val="none"/>
        <w:szCs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dstrike w:val="false"/>
        <w:strike w:val="false"/>
        <w:sz w:val="28"/>
        <w:u w:val="none"/>
        <w:b w:val="false"/>
        <w:effect w:val="non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4"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dstrike w:val="false"/>
        <w:strike w:val="false"/>
        <w:sz w:val="28"/>
        <w:i w:val="false"/>
        <w:u w:val="none"/>
        <w:b w:val="false"/>
        <w:effect w:val="none"/>
        <w:szCs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dstrike w:val="false"/>
        <w:strike w:val="false"/>
        <w:sz w:val="28"/>
        <w:u w:val="none"/>
        <w:b w:val="false"/>
        <w:effect w:val="non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5"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dstrike w:val="false"/>
        <w:strike w:val="false"/>
        <w:sz w:val="28"/>
        <w:i w:val="false"/>
        <w:u w:val="none"/>
        <w:b w:val="false"/>
        <w:effect w:val="none"/>
        <w:szCs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dstrike w:val="false"/>
        <w:strike w:val="false"/>
        <w:sz w:val="28"/>
        <w:u w:val="none"/>
        <w:b w:val="false"/>
        <w:effect w:val="non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6"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dstrike w:val="false"/>
        <w:strike w:val="false"/>
        <w:sz w:val="28"/>
        <w:i w:val="false"/>
        <w:u w:val="none"/>
        <w:b w:val="false"/>
        <w:effect w:val="none"/>
        <w:szCs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dstrike w:val="false"/>
        <w:strike w:val="false"/>
        <w:sz w:val="28"/>
        <w:u w:val="none"/>
        <w:b w:val="false"/>
        <w:effect w:val="non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7"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dstrike w:val="false"/>
        <w:strike w:val="false"/>
        <w:sz w:val="28"/>
        <w:i w:val="false"/>
        <w:u w:val="none"/>
        <w:b w:val="false"/>
        <w:effect w:val="none"/>
        <w:szCs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dstrike w:val="false"/>
        <w:strike w:val="false"/>
        <w:sz w:val="28"/>
        <w:u w:val="none"/>
        <w:b w:val="false"/>
        <w:effect w:val="non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8"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dstrike w:val="false"/>
        <w:strike w:val="false"/>
        <w:sz w:val="28"/>
        <w:i w:val="false"/>
        <w:u w:val="none"/>
        <w:b w:val="false"/>
        <w:effect w:val="none"/>
        <w:szCs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dstrike w:val="false"/>
        <w:strike w:val="false"/>
        <w:sz w:val="28"/>
        <w:u w:val="none"/>
        <w:b w:val="false"/>
        <w:effect w:val="non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1"/>
    <w:lvlOverride w:ilvl="0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7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5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WW8Num9z0" w:customStyle="1">
    <w:name w:val="WW8Num9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1" w:customStyle="1">
    <w:name w:val="WW8Num9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2" w:customStyle="1">
    <w:name w:val="WW8Num9z2"/>
    <w:qFormat/>
    <w:rPr>
      <w:rFonts w:ascii="Times New Roman" w:hAnsi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Calibri" w:cs="Times New Roman"/>
    </w:rPr>
  </w:style>
  <w:style w:type="character" w:styleId="WW8Num11z0" w:customStyle="1">
    <w:name w:val="WW8Num11z0"/>
    <w:qFormat/>
    <w:rPr>
      <w:rFonts w:ascii="Arial" w:hAnsi="Arial" w:cs="Symbol"/>
    </w:rPr>
  </w:style>
  <w:style w:type="character" w:styleId="WW8Num11z1" w:customStyle="1">
    <w:name w:val="WW8Num11z1"/>
    <w:qFormat/>
    <w:rPr>
      <w:rFonts w:ascii="Segoe UI Symbol" w:hAnsi="Segoe UI Symbol" w:cs="Segoe UI Symbol"/>
    </w:rPr>
  </w:style>
  <w:style w:type="character" w:styleId="WW8Num11z3" w:customStyle="1">
    <w:name w:val="WW8Num11z3"/>
    <w:qFormat/>
    <w:rPr>
      <w:rFonts w:ascii="Arial" w:hAnsi="Arial" w:cs="Arial"/>
    </w:rPr>
  </w:style>
  <w:style w:type="character" w:styleId="WW8Num12z0" w:customStyle="1">
    <w:name w:val="WW8Num12z0"/>
    <w:qFormat/>
    <w:rPr>
      <w:rFonts w:ascii="Arial" w:hAnsi="Arial" w:cs="Symbol"/>
    </w:rPr>
  </w:style>
  <w:style w:type="character" w:styleId="WW8Num12z1" w:customStyle="1">
    <w:name w:val="WW8Num12z1"/>
    <w:qFormat/>
    <w:rPr>
      <w:rFonts w:ascii="Segoe UI Symbol" w:hAnsi="Segoe UI Symbol" w:cs="Segoe UI Symbol"/>
    </w:rPr>
  </w:style>
  <w:style w:type="character" w:styleId="WW8Num12z3" w:customStyle="1">
    <w:name w:val="WW8Num12z3"/>
    <w:qFormat/>
    <w:rPr>
      <w:rFonts w:ascii="Arial" w:hAnsi="Arial" w:cs="Arial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WW8Num13z0" w:customStyle="1">
    <w:name w:val="WW8Num13z0"/>
    <w:qFormat/>
    <w:rPr>
      <w:rFonts w:cs="Symbol"/>
    </w:rPr>
  </w:style>
  <w:style w:type="character" w:styleId="Linenumber">
    <w:name w:val="line number"/>
    <w:qFormat/>
    <w:rPr/>
  </w:style>
  <w:style w:type="character" w:styleId="ConsPlusNormal" w:customStyle="1">
    <w:name w:val="ConsPlusNormal Знак"/>
    <w:link w:val="ConsPlusNormal1"/>
    <w:qFormat/>
    <w:locked/>
    <w:rsid w:val="00481f00"/>
    <w:rPr>
      <w:rFonts w:ascii="Arial" w:hAnsi="Arial" w:cs="Arial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/>
  </w:style>
  <w:style w:type="character" w:styleId="WW8Num6z0">
    <w:name w:val="WW8Num6z0"/>
    <w:qFormat/>
    <w:rPr>
      <w:rFonts w:ascii="Times New Roman" w:hAnsi="Times New Roman" w:eastAsia="Calibri" w:cs="Times New Roman"/>
    </w:rPr>
  </w:style>
  <w:style w:type="character" w:styleId="WW8Num6z1">
    <w:name w:val="WW8Num6z1"/>
    <w:qFormat/>
    <w:rPr/>
  </w:style>
  <w:style w:type="character" w:styleId="WW8Num7z0">
    <w:name w:val="WW8Num7z0"/>
    <w:qFormat/>
    <w:rPr/>
  </w:style>
  <w:style w:type="character" w:styleId="Style16">
    <w:name w:val="Основной шрифт абзаца"/>
    <w:qFormat/>
    <w:rPr/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9">
    <w:name w:val="Стиль полужирный"/>
    <w:qFormat/>
    <w:rPr>
      <w:rFonts w:cs="Times New Roman"/>
      <w:b/>
      <w:bCs/>
    </w:rPr>
  </w:style>
  <w:style w:type="character" w:styleId="Style20">
    <w:name w:val="Нижний колонтитул Знак"/>
    <w:basedOn w:val="DefaultParagraphFont"/>
    <w:qFormat/>
    <w:rPr>
      <w:sz w:val="28"/>
      <w:szCs w:val="28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23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8" w:customStyle="1">
    <w:name w:val="Раздел регламента"/>
    <w:basedOn w:val="Normal"/>
    <w:qFormat/>
    <w:rsid w:val="00e228fa"/>
    <w:pPr/>
    <w:rPr/>
  </w:style>
  <w:style w:type="paragraph" w:styleId="Style2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9" w:customStyle="1">
    <w:name w:val="Содержимое врезки"/>
    <w:basedOn w:val="Normal"/>
    <w:qFormat/>
    <w:pPr/>
    <w:rPr/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paragraph" w:styleId="Caption1111" w:customStyle="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ConsPlusNonformat" w:customStyle="1">
    <w:name w:val="ConsPlusNonformat"/>
    <w:basedOn w:val="Normal"/>
    <w:qFormat/>
    <w:rsid w:val="00481f00"/>
    <w:pPr/>
    <w:rPr>
      <w:rFonts w:ascii="Courier New" w:hAnsi="Courier New" w:eastAsia="Calibri" w:cs="Courier New" w:eastAsiaTheme="minorHAnsi"/>
      <w:sz w:val="20"/>
      <w:szCs w:val="20"/>
    </w:rPr>
  </w:style>
  <w:style w:type="paragraph" w:styleId="Style42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6"/>
      <w:szCs w:val="16"/>
    </w:rPr>
  </w:style>
  <w:style w:type="paragraph" w:styleId="Xl68">
    <w:name w:val="xl68"/>
    <w:basedOn w:val="Normal"/>
    <w:qFormat/>
    <w:pPr>
      <w:shd w:val="clear" w:fill="FFFF00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6"/>
      <w:szCs w:val="16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76">
    <w:name w:val="xl76"/>
    <w:basedOn w:val="Normal"/>
    <w:qFormat/>
    <w:pP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Xl77">
    <w:name w:val="xl77"/>
    <w:basedOn w:val="Normal"/>
    <w:qFormat/>
    <w:pP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FF0000"/>
      <w:sz w:val="24"/>
      <w:szCs w:val="24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FFFF"/>
      <w:spacing w:lineRule="auto" w:line="240" w:before="280" w:after="280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80">
    <w:name w:val="xl8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="280" w:after="280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82">
    <w:name w:val="xl8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Style43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44">
    <w:name w:val="Абзац списка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yperlink" Target="consultantplus://offline/ref=B32CDE0E905E401B1BFF323EF993DB2C6F62F6A7789C3444C3F7F56C5AF257E783F32977DF4B25AAFDACBC60359FF614F9C1315096B586250A26N" TargetMode="External"/><Relationship Id="rId10" Type="http://schemas.openxmlformats.org/officeDocument/2006/relationships/hyperlink" Target="consultantplus://offline/ref=B32CDE0E905E401B1BFF323EF993DB2C6F6DF7AA75973444C3F7F56C5AF257E783F32974D8482DA7A0F6AC647CCBFC0BFEDE2F5388B50824N" TargetMode="Externa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package" Target="embeddings/oleObject1.xlsx"/><Relationship Id="rId16" Type="http://schemas.openxmlformats.org/officeDocument/2006/relationships/image" Target="media/image1.wmf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B7A8-115B-4BF5-8713-2A8B61DE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Application>AlterOffice/3.4.0.9$Linux_X86_64 LibreOffice_project/b8daf9e823b1a5463a2f48435ddc2e8696e7d4fc</Application>
  <AppVersion>15.0000</AppVersion>
  <Pages>28</Pages>
  <Words>4533</Words>
  <Characters>31706</Characters>
  <CharactersWithSpaces>33036</CharactersWithSpaces>
  <Paragraphs>625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sugakds@corp.gidroogk.com</cp:lastModifiedBy>
  <cp:lastPrinted>2026-02-18T09:39:36Z</cp:lastPrinted>
  <dcterms:modified xsi:type="dcterms:W3CDTF">2026-03-13T13:24:24Z</dcterms:modified>
  <cp:revision>89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