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7.xml" ContentType="application/vnd.openxmlformats-officedocument.wordprocessingml.header+xml"/>
  <Override PartName="/word/header5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5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«УТВЕРЖДАЮ»</w:t>
      </w:r>
    </w:p>
    <w:p>
      <w:pPr>
        <w:pStyle w:val="Style25"/>
        <w:spacing w:before="0"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Директор</w:t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ru-RU"/>
        </w:rPr>
        <w:t xml:space="preserve">Саяно-Шушенского филиала </w:t>
      </w:r>
    </w:p>
    <w:p>
      <w:pPr>
        <w:pStyle w:val="Style25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АО «ТК РусГидро»</w:t>
      </w:r>
    </w:p>
    <w:p>
      <w:pPr>
        <w:pStyle w:val="ListParagraph"/>
        <w:spacing w:before="240" w:after="0"/>
        <w:contextualSpacing/>
        <w:jc w:val="right"/>
        <w:rPr/>
      </w:pPr>
      <w:r>
        <w:rPr/>
        <w:t xml:space="preserve">        </w:t>
      </w:r>
      <w:r>
        <w:rPr/>
        <w:t>_______________В.А. Кяри</w:t>
      </w:r>
    </w:p>
    <w:p>
      <w:pPr>
        <w:pStyle w:val="ListParagraph"/>
        <w:spacing w:before="240" w:after="0"/>
        <w:contextualSpacing/>
        <w:jc w:val="right"/>
        <w:rPr/>
      </w:pPr>
      <w:r>
        <w:rPr/>
        <w:t>«____»________________</w:t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center"/>
        <w:rPr>
          <w:rStyle w:val="Style8"/>
          <w:sz w:val="26"/>
          <w:szCs w:val="26"/>
        </w:rPr>
      </w:pPr>
      <w:r>
        <w:rPr>
          <w:rFonts w:eastAsia="Calibri"/>
          <w:sz w:val="26"/>
          <w:szCs w:val="26"/>
        </w:rPr>
        <w:t>«ОКПД 2: 74.90.12.</w:t>
      </w:r>
      <w:r>
        <w:rPr>
          <w:rFonts w:eastAsia="Calibri"/>
          <w:sz w:val="26"/>
          <w:szCs w:val="26"/>
        </w:rPr>
        <w:t>121</w:t>
      </w:r>
      <w:r>
        <w:rPr>
          <w:rFonts w:eastAsia="Calibri"/>
          <w:sz w:val="26"/>
          <w:szCs w:val="26"/>
        </w:rPr>
        <w:t xml:space="preserve"> Оценка стоимости транспортных средств для нужд Саяно-Шушенского филиала АО ТК «РусГидро»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</w:t>
      </w:r>
      <w:r>
        <w:rPr>
          <w:rFonts w:eastAsia="Calibri"/>
          <w:b/>
          <w:sz w:val="26"/>
          <w:szCs w:val="26"/>
          <w:shd w:fill="auto" w:val="clear"/>
        </w:rPr>
        <w:t xml:space="preserve">№ </w:t>
      </w:r>
      <w:r>
        <w:rPr>
          <w:rStyle w:val="Style8"/>
          <w:rFonts w:eastAsia="Calibri"/>
          <w:sz w:val="26"/>
          <w:szCs w:val="26"/>
          <w:shd w:fill="auto" w:val="clear"/>
        </w:rPr>
        <w:t>4099-</w:t>
      </w:r>
      <w:r>
        <w:rPr>
          <w:rStyle w:val="Style8"/>
          <w:rFonts w:eastAsia="Calibri"/>
          <w:b/>
          <w:i/>
          <w:sz w:val="26"/>
          <w:szCs w:val="26"/>
          <w:shd w:fill="auto" w:val="clear"/>
        </w:rPr>
        <w:t>ПРО ДЭК-2026-ТК-СШФ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rFonts w:eastAsia="新細明體" w:cs="Arial" w:ascii="Calibri" w:hAnsi="Calibri" w:asciiTheme="minorHAnsi" w:cstheme="minorBidi" w:eastAsiaTheme="minorEastAsia" w:hAnsiTheme="minorHAnsi"/>
              <w:vanish w:val="false"/>
              <w:sz w:val="24"/>
              <w:szCs w:val="24"/>
            </w:rPr>
            <w:t>4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 xml:space="preserve">Цель оказания услуг 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0">
            <w:r>
              <w:rPr>
                <w:webHidden/>
                <w:rStyle w:val="Style14"/>
                <w:iCs/>
                <w:vanish w:val="false"/>
              </w:rPr>
              <w:t>1.5.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 xml:space="preserve"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 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rFonts w:eastAsia="新細明體" w:cs="Arial" w:ascii="Calibri" w:hAnsi="Calibri" w:asciiTheme="minorHAnsi" w:cstheme="minorBidi" w:eastAsiaTheme="minorEastAsia" w:hAnsiTheme="minorHAnsi"/>
              <w:vanish w:val="false"/>
              <w:sz w:val="24"/>
              <w:szCs w:val="24"/>
            </w:rPr>
            <w:t>5</w:t>
          </w:r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新細明體" w:cs="Arial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</w:r>
          </w:hyperlink>
          <w:r>
            <w:rPr>
              <w:vanish w:val="false"/>
            </w:rPr>
            <w:t>6</w:t>
          </w:r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_Toc54643711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</w:rPr>
          </w:pPr>
          <w:r>
            <w:rPr/>
          </w:r>
          <w:r>
            <w:rPr/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4643694"/>
      <w:r>
        <w:rPr>
          <w:lang w:val="ru-RU"/>
        </w:rPr>
        <w:t>Общие сведения</w:t>
      </w:r>
      <w:bookmarkEnd w:id="0"/>
    </w:p>
    <w:p>
      <w:pPr>
        <w:pStyle w:val="Heading4"/>
        <w:numPr>
          <w:ilvl w:val="1"/>
          <w:numId w:val="3"/>
        </w:numPr>
        <w:rPr/>
      </w:pPr>
      <w:bookmarkStart w:id="1" w:name="_Toc54643695"/>
      <w:bookmarkStart w:id="2" w:name="_Toc46743505"/>
      <w:r>
        <w:rPr/>
        <w:t>Обозначения и сокращения</w:t>
      </w:r>
      <w:bookmarkEnd w:id="1"/>
      <w:bookmarkEnd w:id="2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ЧМЗАП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Челябинский машиностроительный завод автомобильных прицепов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Комбинированная машина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НЕФАЗ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Нефтекамский автомобильный завод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МЗКТ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Минский завод колёсных тягачей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КАМАЗ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Камский автомобильный завод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ФСО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Федеральный стандарт оценки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Общероссийский классификатор продукции по видам экономической деятельности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3" w:name="_Toc54643696"/>
      <w:bookmarkStart w:id="4" w:name="_Toc46743506"/>
      <w:r>
        <w:rPr/>
        <w:t>Наименование закупаемой продукции</w:t>
      </w:r>
      <w:bookmarkEnd w:id="3"/>
      <w:bookmarkEnd w:id="4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left"/>
        <w:rPr>
          <w:b w:val="false"/>
          <w:bCs w:val="false"/>
          <w:i w:val="false"/>
          <w:i w:val="false"/>
          <w:iCs w:val="false"/>
        </w:rPr>
      </w:pPr>
      <w:r>
        <w:rPr>
          <w:rFonts w:eastAsia="Calibri"/>
          <w:b w:val="false"/>
          <w:bCs w:val="false"/>
          <w:i w:val="false"/>
          <w:iCs w:val="false"/>
          <w:sz w:val="24"/>
          <w:szCs w:val="24"/>
          <w:lang w:eastAsia="x-none"/>
        </w:rPr>
        <w:t>ОКПД 2: 74.90.12.121 Оценка стоимости транспортных средств для нужд Саяно-Шушенского филиала АО ТК «РусГидро.</w:t>
      </w:r>
      <w:r>
        <w:rPr>
          <w:rFonts w:eastAsia="Calibri"/>
          <w:b w:val="false"/>
          <w:bCs w:val="false"/>
          <w:i w:val="false"/>
          <w:iCs w:val="false"/>
          <w:lang w:eastAsia="x-none"/>
        </w:rPr>
        <w:br/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5" w:name="_Toc54643697"/>
      <w:bookmarkStart w:id="6" w:name="_Toc46743507"/>
      <w:r>
        <w:rPr/>
        <w:t xml:space="preserve">Цель </w:t>
      </w:r>
      <w:bookmarkEnd w:id="6"/>
      <w:r>
        <w:rPr>
          <w:lang w:val="ru-RU"/>
        </w:rPr>
        <w:t>оказания услуг</w:t>
      </w:r>
      <w:bookmarkEnd w:id="5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auto" w:val="clear"/>
          <w:lang w:eastAsia="x-none"/>
        </w:rPr>
        <w:t>Определение рыночной стоимости для последующей реализации невостребованных транспортных средств Саяно-Шушенского филиала АО «ТК РусГидро».</w:t>
      </w:r>
    </w:p>
    <w:p>
      <w:pPr>
        <w:pStyle w:val="Heading4"/>
        <w:numPr>
          <w:ilvl w:val="1"/>
          <w:numId w:val="3"/>
        </w:numPr>
        <w:rPr/>
      </w:pPr>
      <w:bookmarkStart w:id="7" w:name="_Toc54643698"/>
      <w:bookmarkStart w:id="8" w:name="_Toc46743508"/>
      <w:r>
        <w:rPr/>
        <w:t>Существующее положение</w:t>
      </w:r>
      <w:bookmarkEnd w:id="8"/>
      <w:r>
        <w:rPr>
          <w:lang w:val="ru-RU"/>
        </w:rPr>
        <w:t xml:space="preserve"> </w:t>
      </w:r>
      <w:bookmarkEnd w:id="7"/>
    </w:p>
    <w:p>
      <w:pPr>
        <w:pStyle w:val="Normal"/>
        <w:ind w:hanging="0"/>
        <w:jc w:val="both"/>
        <w:rPr/>
      </w:pP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auto" w:val="clear"/>
          <w:lang w:eastAsia="x-none"/>
        </w:rPr>
        <w:t>Исполнение Приказа АО «ТК РусГидро» от 05.05.2026 № ТК РГ/126-239 «Об утверждении списка выбываемой техники на 2026»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9" w:name="_Toc54643699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9"/>
    </w:p>
    <w:tbl>
      <w:tblPr>
        <w:tblW w:w="992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6"/>
        <w:gridCol w:w="2864"/>
        <w:gridCol w:w="1870"/>
        <w:gridCol w:w="2550"/>
        <w:gridCol w:w="1823"/>
      </w:tblGrid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iCs/>
                <w:sz w:val="24"/>
                <w:szCs w:val="24"/>
              </w:rPr>
              <w:t>ОКПД 2: 74.90.12.</w:t>
            </w:r>
            <w:r>
              <w:rPr>
                <w:rFonts w:eastAsia="Calibri"/>
                <w:iCs/>
                <w:sz w:val="24"/>
                <w:szCs w:val="24"/>
              </w:rPr>
              <w:t>121</w:t>
            </w:r>
            <w:r>
              <w:rPr>
                <w:rFonts w:eastAsia="Calibri"/>
                <w:iCs/>
                <w:sz w:val="24"/>
                <w:szCs w:val="24"/>
              </w:rPr>
              <w:t xml:space="preserve"> Оценка стоимости транспортных средств для нужд Саяно-Шушенского филиала АО ТК «РусГидро»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Саяно-Шушенский филиал АО «ТК РусГидро», 655619, Республика Хакасия, г. Саяногорск, рп. Черемушки, стр.101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1) </w:t>
            </w:r>
            <w:r>
              <w:rPr>
                <w:iCs/>
                <w:sz w:val="24"/>
                <w:szCs w:val="24"/>
              </w:rPr>
              <w:t>ЧМЗАП 5212А,</w:t>
            </w:r>
            <w:r>
              <w:rPr>
                <w:iCs/>
                <w:sz w:val="24"/>
                <w:szCs w:val="24"/>
              </w:rPr>
              <w:t>заводской номер 768;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iCs/>
                <w:sz w:val="24"/>
                <w:szCs w:val="24"/>
              </w:rPr>
              <w:t>2) ГКБ 8350, VIN X1W835000J0260974;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iCs/>
                <w:sz w:val="24"/>
                <w:szCs w:val="24"/>
              </w:rPr>
              <w:t>3) КО 713-01, VIN ХТ-713-01R12415;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iCs/>
                <w:sz w:val="24"/>
                <w:szCs w:val="24"/>
              </w:rPr>
              <w:t>4)Полуприцеп самодельный, VIN отсутствует;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iCs/>
                <w:sz w:val="24"/>
                <w:szCs w:val="24"/>
              </w:rPr>
              <w:t>5) НЕФАЗ-8560-02, VINХ1F8560E0C0022052;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iCs/>
                <w:sz w:val="24"/>
                <w:szCs w:val="24"/>
              </w:rPr>
              <w:t>6) МЗКТ — 741320,  заводской номер YЗК741320В0100011;</w:t>
            </w:r>
          </w:p>
          <w:p>
            <w:pPr>
              <w:pStyle w:val="Normal"/>
              <w:widowControl w:val="false"/>
              <w:jc w:val="left"/>
              <w:rPr/>
            </w:pPr>
            <w:r>
              <w:rPr>
                <w:iCs/>
                <w:sz w:val="24"/>
                <w:szCs w:val="24"/>
              </w:rPr>
              <w:t>7) КАМАЗ 5320, VIN ХТС532000V1100353.</w:t>
            </w: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10" w:name="_Toc54643700"/>
      <w:bookmarkStart w:id="11" w:name="_Toc46743509"/>
      <w:bookmarkStart w:id="12" w:name="_Hlk49857604"/>
      <w:r>
        <w:rPr/>
        <w:t xml:space="preserve">Информация в отношении исполнения договора, </w:t>
      </w:r>
      <w:bookmarkStart w:id="13" w:name="_Hlk46492347"/>
      <w:r>
        <w:rPr/>
        <w:t xml:space="preserve">которая должна быть учтена при подготовке заявки </w:t>
      </w:r>
      <w:bookmarkEnd w:id="13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r>
        <w:rPr>
          <w:lang w:val="ru-RU"/>
        </w:rPr>
        <w:t xml:space="preserve"> </w:t>
      </w:r>
      <w:bookmarkEnd w:id="10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240"/>
        <w:jc w:val="both"/>
        <w:rPr/>
      </w:pP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</w:rPr>
        <w:t>Исполнитель должен быть аккредитован ПАО «РусГидро»</w:t>
      </w:r>
      <w:bookmarkStart w:id="14" w:name="_Hlk48209761"/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5" w:name="_Toc51339693"/>
      <w:bookmarkStart w:id="16" w:name="_Toc54643702"/>
      <w:bookmarkStart w:id="17" w:name="_Toc50125126"/>
      <w:bookmarkEnd w:id="14"/>
      <w:bookmarkEnd w:id="17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5"/>
      <w:bookmarkEnd w:id="16"/>
    </w:p>
    <w:p>
      <w:pPr>
        <w:pStyle w:val="Heading4"/>
        <w:numPr>
          <w:ilvl w:val="1"/>
          <w:numId w:val="3"/>
        </w:numPr>
        <w:rPr/>
      </w:pPr>
      <w:bookmarkStart w:id="18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8"/>
    </w:p>
    <w:p>
      <w:pPr>
        <w:pStyle w:val="Heading3"/>
        <w:numPr>
          <w:ilvl w:val="2"/>
          <w:numId w:val="3"/>
        </w:numPr>
        <w:rPr/>
      </w:pPr>
      <w:bookmarkStart w:id="19" w:name="_Toc54643704"/>
      <w:r>
        <w:rPr>
          <w:lang w:val="ru-RU"/>
        </w:rPr>
        <w:t>Требования к перечню и объему услуг</w:t>
      </w:r>
      <w:bookmarkEnd w:id="1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0" w:name="_Toc54643705"/>
      <w:bookmarkStart w:id="21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1"/>
      <w:r>
        <w:rPr>
          <w:sz w:val="24"/>
          <w:szCs w:val="24"/>
          <w:lang w:val="ru-RU"/>
        </w:rPr>
        <w:t>и объем оказываемых услуг</w:t>
      </w:r>
      <w:bookmarkEnd w:id="20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87"/>
        <w:gridCol w:w="2124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left"/>
              <w:rPr>
                <w:sz w:val="24"/>
                <w:szCs w:val="24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iCs/>
                <w:sz w:val="24"/>
                <w:szCs w:val="24"/>
                <w:shd w:fill="auto" w:val="clear"/>
              </w:rPr>
              <w:t>ОКПД 2: 74.90.12.</w:t>
            </w:r>
            <w:r>
              <w:rPr>
                <w:rStyle w:val="Style8"/>
                <w:rFonts w:eastAsia="Calibri"/>
                <w:b w:val="false"/>
                <w:bCs w:val="false"/>
                <w:i w:val="false"/>
                <w:iCs/>
                <w:sz w:val="24"/>
                <w:szCs w:val="24"/>
                <w:shd w:fill="auto" w:val="clear"/>
              </w:rPr>
              <w:t>121</w:t>
            </w:r>
            <w:r>
              <w:rPr>
                <w:rStyle w:val="Style8"/>
                <w:rFonts w:eastAsia="Calibri"/>
                <w:b w:val="false"/>
                <w:bCs w:val="false"/>
                <w:i w:val="false"/>
                <w:iCs/>
                <w:sz w:val="24"/>
                <w:szCs w:val="24"/>
                <w:shd w:fill="auto" w:val="clear"/>
              </w:rPr>
              <w:t xml:space="preserve"> Оценка стоимости транспортных средств для нужд Саяно-Шушенского филиала АО ТК «РусГидро»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шт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  <w:sz w:val="24"/>
                <w:szCs w:val="24"/>
                <w:highlight w:val="none"/>
                <w:shd w:fill="auto" w:val="clear"/>
              </w:rPr>
            </w:pPr>
            <w:r>
              <w:rPr>
                <w:i w:val="false"/>
                <w:iCs w:val="false"/>
                <w:sz w:val="24"/>
                <w:szCs w:val="24"/>
                <w:shd w:fill="auto" w:val="clear"/>
              </w:rPr>
              <w:t>7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2" w:name="_Toc54643706"/>
      <w:bookmarkStart w:id="23" w:name="_Toc51339696"/>
      <w:r>
        <w:rPr>
          <w:lang w:val="ru-RU"/>
        </w:rPr>
        <w:t xml:space="preserve">Требования </w:t>
      </w:r>
      <w:bookmarkEnd w:id="23"/>
      <w:r>
        <w:rPr>
          <w:lang w:val="ru-RU"/>
        </w:rPr>
        <w:t>к срокам оказания услуг</w:t>
      </w:r>
      <w:bookmarkEnd w:id="2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4" w:name="_Toc54643707"/>
      <w:bookmarkStart w:id="25" w:name="_Toc50125127"/>
      <w:bookmarkStart w:id="26" w:name="_Toc51339697"/>
      <w:bookmarkStart w:id="27" w:name="_Toc50125126_Копия_1"/>
      <w:bookmarkEnd w:id="2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8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5"/>
      <w:bookmarkEnd w:id="26"/>
      <w:bookmarkEnd w:id="28"/>
      <w:r>
        <w:rPr>
          <w:sz w:val="24"/>
          <w:szCs w:val="24"/>
          <w:lang w:val="ru-RU"/>
        </w:rPr>
        <w:t>оказания услуг</w:t>
      </w:r>
      <w:bookmarkEnd w:id="24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left"/>
              <w:rPr>
                <w:sz w:val="24"/>
                <w:szCs w:val="24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iCs/>
                <w:sz w:val="24"/>
                <w:szCs w:val="24"/>
                <w:shd w:fill="auto" w:val="clear"/>
              </w:rPr>
              <w:t>ОКПД 2: 74.90.12.</w:t>
            </w:r>
            <w:r>
              <w:rPr>
                <w:rStyle w:val="Style8"/>
                <w:rFonts w:eastAsia="Calibri"/>
                <w:b w:val="false"/>
                <w:bCs w:val="false"/>
                <w:i w:val="false"/>
                <w:iCs/>
                <w:sz w:val="24"/>
                <w:szCs w:val="24"/>
                <w:shd w:fill="auto" w:val="clear"/>
              </w:rPr>
              <w:t>121</w:t>
            </w:r>
            <w:r>
              <w:rPr>
                <w:rStyle w:val="Style8"/>
                <w:rFonts w:eastAsia="Calibri"/>
                <w:b w:val="false"/>
                <w:bCs w:val="false"/>
                <w:i w:val="false"/>
                <w:iCs/>
                <w:sz w:val="24"/>
                <w:szCs w:val="24"/>
                <w:shd w:fill="auto" w:val="clear"/>
              </w:rPr>
              <w:t xml:space="preserve"> Оценка стоимости транспортных средств для нужд Саяно-Шушенского филиала АО ТК «РусГидро»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момента заключения договора.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7 (семи) рабочих дней по 31.12.2026г.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29" w:name="_Toc54643709"/>
      <w:bookmarkStart w:id="30" w:name="_Toc51339698"/>
      <w:bookmarkStart w:id="31" w:name="_Toc54643708"/>
      <w:bookmarkStart w:id="32" w:name="_Toc46743511"/>
      <w:r>
        <w:rPr/>
        <w:t xml:space="preserve">Требования к </w:t>
      </w:r>
      <w:bookmarkEnd w:id="32"/>
      <w:r>
        <w:rPr>
          <w:lang w:val="ru-RU"/>
        </w:rPr>
        <w:t xml:space="preserve">качеству </w:t>
      </w:r>
      <w:bookmarkEnd w:id="31"/>
      <w:r>
        <w:rPr>
          <w:lang w:val="ru-RU"/>
        </w:rPr>
        <w:t>продукции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0"/>
      <w:r>
        <w:rPr>
          <w:sz w:val="24"/>
          <w:szCs w:val="24"/>
          <w:lang w:val="ru-RU"/>
        </w:rPr>
        <w:t xml:space="preserve">качеству </w:t>
      </w:r>
      <w:bookmarkEnd w:id="29"/>
      <w:r>
        <w:rPr>
          <w:sz w:val="24"/>
          <w:szCs w:val="24"/>
          <w:lang w:val="ru-RU"/>
        </w:rPr>
        <w:t>продукции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>Наименование услуг/этапа услуг (позиция №</w:t>
      </w:r>
      <w:r>
        <w:rPr>
          <w:b w:val="false"/>
          <w:bCs w:val="false"/>
          <w:i w:val="false"/>
          <w:iCs w:val="false"/>
          <w:sz w:val="24"/>
          <w:szCs w:val="24"/>
          <w:shd w:fill="auto" w:val="clear"/>
        </w:rPr>
        <w:t xml:space="preserve"> </w:t>
      </w:r>
      <w:r>
        <w:rPr>
          <w:rStyle w:val="Style8"/>
          <w:b w:val="false"/>
          <w:bCs w:val="false"/>
          <w:i w:val="false"/>
          <w:iCs w:val="false"/>
          <w:sz w:val="24"/>
          <w:szCs w:val="24"/>
          <w:shd w:fill="auto" w:val="clear"/>
        </w:rPr>
        <w:t>1</w:t>
      </w:r>
      <w:r>
        <w:rPr>
          <w:b/>
          <w:bCs/>
          <w:sz w:val="24"/>
          <w:szCs w:val="24"/>
        </w:rPr>
        <w:t xml:space="preserve">Таблицы 2): </w:t>
      </w:r>
      <w:r>
        <w:rPr>
          <w:rFonts w:eastAsia="Calibri"/>
          <w:b w:val="false"/>
          <w:bCs w:val="false"/>
          <w:iCs/>
          <w:sz w:val="24"/>
          <w:szCs w:val="24"/>
        </w:rPr>
        <w:t>ОКПД 2: 74.90.12.</w:t>
      </w:r>
      <w:r>
        <w:rPr>
          <w:rFonts w:eastAsia="Calibri"/>
          <w:b w:val="false"/>
          <w:bCs w:val="false"/>
          <w:iCs/>
          <w:sz w:val="24"/>
          <w:szCs w:val="24"/>
        </w:rPr>
        <w:t>121</w:t>
      </w:r>
      <w:r>
        <w:rPr>
          <w:rFonts w:eastAsia="Calibri"/>
          <w:b w:val="false"/>
          <w:bCs w:val="false"/>
          <w:iCs/>
          <w:sz w:val="24"/>
          <w:szCs w:val="24"/>
        </w:rPr>
        <w:t xml:space="preserve"> Оценка стоимости транспортных средств для нужд Саяно-Шушенского филиала АО ТК «РусГидро»</w:t>
      </w:r>
      <w:r>
        <w:rPr>
          <w:b w:val="false"/>
          <w:bCs w:val="false"/>
          <w:sz w:val="24"/>
          <w:szCs w:val="24"/>
        </w:rPr>
        <w:t>.</w:t>
      </w:r>
    </w:p>
    <w:tbl>
      <w:tblPr>
        <w:tblStyle w:val="af"/>
        <w:tblW w:w="1488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51"/>
        <w:gridCol w:w="2267"/>
        <w:gridCol w:w="3403"/>
        <w:gridCol w:w="2692"/>
        <w:gridCol w:w="2927"/>
        <w:gridCol w:w="2744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40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561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74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40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9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3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3"/>
          </w:p>
        </w:tc>
        <w:tc>
          <w:tcPr>
            <w:tcW w:w="226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4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269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92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7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Требования к оказанию услуг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Общие требования к оказанию услуг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08"/>
                <w:tab w:val="left" w:pos="496" w:leader="none"/>
              </w:tabs>
              <w:suppressAutoHyphens w:val="true"/>
              <w:spacing w:before="120" w:after="120"/>
              <w:ind w:left="0" w:firstLine="142"/>
              <w:contextualSpacing w:val="false"/>
              <w:jc w:val="both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Оценка движимого имущества в количестве 7ед. 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Исполнитель обязан провести оценку Объекта оценки добросовестно и объективно, силами квалифицированных специалистов – оценщиков соответствующего профиля и к определенному сроку.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445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554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shd w:color="auto" w:fill="auto" w:val="clear"/>
          </w:tcPr>
          <w:p>
            <w:pPr>
              <w:pStyle w:val="Normal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Оценка стоимости транспортных средств проводитса на основании документов</w:t>
            </w:r>
          </w:p>
          <w:p>
            <w:pPr>
              <w:pStyle w:val="Normal"/>
              <w:widowControl w:val="false"/>
              <w:suppressAutoHyphens w:val="true"/>
              <w:ind w:hanging="18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1. Паспорт транспортного средства (ПТС) или Паспорт самоходной машины (ПСМ). </w:t>
            </w:r>
          </w:p>
          <w:p>
            <w:pPr>
              <w:pStyle w:val="Normal"/>
              <w:widowControl w:val="false"/>
              <w:suppressAutoHyphens w:val="true"/>
              <w:ind w:hanging="18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2. Свидетельство о регистрации транспортного средства. </w:t>
            </w:r>
          </w:p>
          <w:p>
            <w:pPr>
              <w:pStyle w:val="Normal"/>
              <w:widowControl w:val="false"/>
              <w:suppressAutoHyphens w:val="true"/>
              <w:ind w:hanging="18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3. Фотоматериалы.</w:t>
            </w:r>
          </w:p>
          <w:p>
            <w:pPr>
              <w:pStyle w:val="Normal"/>
              <w:widowControl w:val="false"/>
              <w:suppressAutoHyphens w:val="true"/>
              <w:ind w:hanging="18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4. Договор купли-продажи</w:t>
            </w:r>
          </w:p>
          <w:p>
            <w:pPr>
              <w:pStyle w:val="Normal"/>
              <w:widowControl w:val="false"/>
              <w:suppressAutoHyphens w:val="true"/>
              <w:ind w:hanging="18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5. Справка об балансовой стоимости </w:t>
            </w:r>
          </w:p>
          <w:p>
            <w:pPr>
              <w:pStyle w:val="Normal"/>
              <w:widowControl w:val="false"/>
              <w:suppressAutoHyphens w:val="true"/>
              <w:ind w:hanging="18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6. Сведенья о ремонтах (при наличии) </w:t>
            </w:r>
          </w:p>
          <w:p>
            <w:pPr>
              <w:pStyle w:val="Normal"/>
              <w:widowControl w:val="false"/>
              <w:suppressAutoHyphens w:val="true"/>
              <w:ind w:hanging="18"/>
              <w:jc w:val="both"/>
              <w:rPr>
                <w:rFonts w:ascii="Times New Roman" w:hAnsi="Times New Roman" w:eastAsia="Times New Roman" w:cs="Times New Roman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 w:val="false"/>
                <w:i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Фотоматериалы предоставляются Заказчиком. 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2267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/>
                <w:i w:val="false"/>
                <w:iCs w:val="false"/>
                <w:kern w:val="0"/>
                <w:sz w:val="24"/>
                <w:szCs w:val="24"/>
                <w:lang w:val="ru-RU" w:eastAsia="ru-RU" w:bidi="ar-SA"/>
              </w:rPr>
              <w:t>Форма составления отчета об оценке</w:t>
            </w:r>
          </w:p>
        </w:tc>
        <w:tc>
          <w:tcPr>
            <w:tcW w:w="3403" w:type="dxa"/>
            <w:tcBorders/>
            <w:shd w:color="auto" w:fill="auto" w:val="clear"/>
          </w:tcPr>
          <w:p>
            <w:pPr>
              <w:pStyle w:val="ListParagraph"/>
              <w:widowControl w:val="false"/>
              <w:suppressAutoHyphens w:val="true"/>
              <w:spacing w:before="0" w:after="60"/>
              <w:ind w:left="170" w:hanging="0"/>
              <w:contextualSpacing/>
              <w:jc w:val="left"/>
              <w:rPr>
                <w:i w:val="false"/>
                <w:i w:val="false"/>
                <w:iCs w:val="false"/>
              </w:rPr>
            </w:pPr>
            <w:r>
              <w:rPr>
                <w:rFonts w:cs="Times New Roman"/>
                <w:i w:val="false"/>
                <w:iCs w:val="false"/>
                <w:kern w:val="0"/>
                <w:lang w:val="ru-RU" w:eastAsia="ru-RU" w:bidi="ar-SA"/>
              </w:rPr>
              <w:t>Отчет составляется на бумажном носителе в двух экземплярах и в форме электронного документа</w:t>
            </w:r>
          </w:p>
        </w:tc>
        <w:tc>
          <w:tcPr>
            <w:tcW w:w="269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>Исполнитель обязуется самостоятельно собирать из общедоступных и профессиональных источников аналитическую и справочную информацию, необходимую для проведения оценки.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 w:val="false"/>
                <w:bCs w:val="false"/>
                <w:kern w:val="0"/>
                <w:sz w:val="24"/>
                <w:szCs w:val="24"/>
                <w:lang w:val="ru-RU" w:eastAsia="ru-RU" w:bidi="ar-SA"/>
              </w:rPr>
              <w:t xml:space="preserve">Исполнитель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определять и анализировать соответствующий рынок, его историю, текущую конъюнктуру и тенденции, а также аналог Объекта оценки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Оценщики в рамках оказания услуг по оценке не проводят специальных экспертиз, в том числе юридическую экспертизу правового положения объекта оценки и экологическую экспертизу объекта оценки, аудиторскую проверку финансовой отчетности и инвентаризацию составных частей объекта оценки.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Оценка проводится в соответствии с требованиями Федерального закона от 29.07.1998 № 135-ФЗ «Об оценочной деятельности в Российской Федерации»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  <w:tc>
          <w:tcPr>
            <w:tcW w:w="29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Результатом оказания Услуг Исполнителя является Отчет об оценке в электронном виде, подписанный усиленной квалифицированной подписью в соответствии с требованиями законодательства Российской Федерации.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обязуется предоставлять Заказчику информацию о требованиях законодательства РФ об оценочной деятельности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обязуется не разглашать конфиденциальную информацию, полученную от Заказчика в ходе проведения оценки, а также результаты проведенной оценки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обязуется хранить электронную версию составленного Отчета об оценке в течение трех лет.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оформляет результаты оценки Объекта оценки письменным Отчетом об оценке, составленным в соответствии с переданными Заказчиком или Плательщиком исходными данными, требованиями Федерального закона «Об оценочной деятельности в Российской Федерации» от 29.07.1998г. № 135-ФЗ и федеральными стандартами оценки, действовавшими в период срока оценки.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  <w:r>
              <w:rPr>
                <w:rStyle w:val="Style8"/>
                <w:rFonts w:eastAsia="Times New Roman" w:cs="Times New Roman"/>
                <w:b w:val="false"/>
                <w:bCs/>
                <w:i w:val="false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 собственности на Отчет об оценке переходит к Заказчику с момента подписания Акта сдачи-приемки оказанных услуг и поступления на расчетный счет Исполнителя суммы окончательного расчета, предусмотренного настоящим Договором. Использовать Отчет об оценке до указанного момента в отношениях с третьими лицами либо в иных целях Заказчик может только с предварительного согласия Исполнителя.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представить Заказчику счета-фактуры, выставленные в сроки и оформленные в порядке, установленном законодательством Российской Федерации. В случае нарушения Исполнителем требований к оформлению счетов-фактур, он обязан произвести замену счета-фактуры в течение 3 (трех) рабочих дней с даты получения соответствующего письменного требования Заказчика. В случае непредоставления Исполнителем в течение 5 (пяти) календарных дней с даты получения авансового платежа счета-фактуры, подтверждающего право Заказчика на вычет НДС, уплаченного дополнительно к такому авансу, Исполнитель обязан в тот же срок возвратить Заказчику разницу между суммой, фактически перечисленной Заказчиком, и суммой соответствующего авансового платежа, без учета НДС. Если в результате составления и выставления Исполнителем счетов-фактур с нарушением порядка и требований, установленных законодательством Российской Федерации, Заказчик понес расходы, связанные с начислением налоговыми органами по такому основанию сумм налога на добавленную стоимость, пеней и налоговых санкций, Исполнитель обязан компенсировать Заказчику сумму таких расходов. Основанием для компенсации являются решения налоговых органов, вынесенные по итогам проведения мероприятий налогового контроля. Сумма расходов компенсируется Исполнителем в течение 10 (десяти) рабочих дней с даты получения соответствующего письменного требования Заказчика.</w:t>
            </w:r>
          </w:p>
        </w:tc>
        <w:tc>
          <w:tcPr>
            <w:tcW w:w="269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об оценке представляется Заказчику по описи (сопроводительному письму) вместе с возвращаемыми оригиналами документов. Руководитель Заказчика или иное должностное лицо по правилам его делопроизводства расписывается в получении Отчета об оценке и возвращаемой документации на копии описи (сопроводительного письма).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 об оценке составляется в 2 (двух) экземплярах на бумажном носителе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2692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927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74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337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0" w:hanging="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5670" w:type="dxa"/>
            <w:gridSpan w:val="2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При оказании Услуг Исполнитель строго соблюдает требования законодательства Российской Федерации об оценочной деятельности, в частности требования: </w:t>
            </w:r>
          </w:p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- Федерального закона «Об оценочной деятельности в Российской Федерации» от 29.07.1998г. № 135-ФЗ; </w:t>
            </w:r>
          </w:p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-Федеральный стандарт оценки «Структура федеральных стандартов оценки и основные понятия, используемые в федеральных стандартах оценки (ФСО I)», утвержденный приказом Минэкономразвития России от 14.04.2022г. № 200;</w:t>
            </w:r>
          </w:p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-Федеральный стандарт оценки «Виды стоимости (ФСО II)», утвержденный приказом Минэкономразвития России от 14.04.2022г. № 200;</w:t>
            </w:r>
          </w:p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-Федеральный стандарт оценки «Процесс оценки (ФСО III)», утвержденный приказом Минэкономразвития России от 14.04.2022г. № 200;</w:t>
            </w:r>
          </w:p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-Федеральный стандарт оценки «Задание на оценку (ФСО IV)», утвержденный приказом Минэкономразвития России от 14.04.2022г. № 200;</w:t>
            </w:r>
          </w:p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-Федеральный стандарт оценки «Подходы и методы оценки» (ФСО V), утвержденный приказом Минэкономразвития России от 14.04.2022г. № 200;</w:t>
            </w:r>
          </w:p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-Федеральный стандарт оценки «Отчет об оценке» (ФСО VI), утвержденный приказом Минэкономразвития России от 14.04.2022г. № 200; </w:t>
            </w:r>
          </w:p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-Федерального стандарта оценки «Оценка стоимости машин и оборудования (ФСО № 10)», утвержденного приказом Минэкономразвития России от 01.06.2015г. № 328; </w:t>
            </w:r>
          </w:p>
          <w:p>
            <w:pPr>
              <w:pStyle w:val="Style27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-Стандартов и правил оценочной деятельности, установленных саморегулируемой организацией оценщиков, членом которой является оценщик, подписавший Отчет об оценке.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927" w:type="dxa"/>
            <w:tcBorders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-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744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  <w:pStyle w:val="Normal"/>
        <w:tabs>
          <w:tab w:val="clear" w:pos="708"/>
          <w:tab w:val="left" w:pos="2131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4" w:name="_Toc54281228"/>
      <w:bookmarkStart w:id="35" w:name="_Toc54643711"/>
      <w:bookmarkStart w:id="36" w:name="_Toc46743519"/>
      <w:bookmarkStart w:id="37" w:name="_Toc51339699"/>
      <w:bookmarkEnd w:id="36"/>
      <w:bookmarkEnd w:id="37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34"/>
      <w:bookmarkEnd w:id="35"/>
    </w:p>
    <w:p>
      <w:pPr>
        <w:pStyle w:val="ListParagraph"/>
        <w:numPr>
          <w:ilvl w:val="1"/>
          <w:numId w:val="12"/>
        </w:numPr>
        <w:tabs>
          <w:tab w:val="clear" w:pos="708"/>
          <w:tab w:val="left" w:pos="851" w:leader="none"/>
        </w:tabs>
        <w:ind w:left="0" w:firstLine="426"/>
        <w:jc w:val="both"/>
        <w:rPr>
          <w:iCs/>
          <w:color w:val="000000" w:themeColor="text1"/>
          <w:lang w:eastAsia="x-none"/>
        </w:rPr>
      </w:pPr>
      <w:r>
        <w:rPr>
          <w:rFonts w:eastAsia="Times New Roman"/>
        </w:rPr>
        <w:t>В цену продукции должны быть включены все затраты, связанные с исполнением обязательств по поставке продукции, в том числе, все налоги, сборы и пошлины, расходы на доставку Продукции до места поставки, погрузку и разгрузку, иные расходы, связанные с исполнением обязательств по Договору</w:t>
      </w:r>
      <w:r>
        <w:rPr>
          <w:iCs/>
          <w:color w:val="000000" w:themeColor="text1"/>
          <w:lang w:eastAsia="x-none"/>
        </w:rPr>
        <w:t>.</w:t>
      </w:r>
    </w:p>
    <w:p>
      <w:pPr>
        <w:pStyle w:val="ListParagraph"/>
        <w:numPr>
          <w:ilvl w:val="1"/>
          <w:numId w:val="3"/>
        </w:numPr>
        <w:tabs>
          <w:tab w:val="clear" w:pos="708"/>
          <w:tab w:val="left" w:pos="851" w:leader="none"/>
        </w:tabs>
        <w:ind w:left="0" w:firstLine="426"/>
        <w:jc w:val="both"/>
        <w:rPr/>
      </w:pPr>
      <w:r>
        <w:rPr>
          <w:rStyle w:val="Style8"/>
          <w:b w:val="false"/>
          <w:bCs/>
          <w:i w:val="false"/>
          <w:iCs w:val="false"/>
          <w:sz w:val="24"/>
          <w:szCs w:val="24"/>
          <w:shd w:fill="auto" w:val="clear"/>
        </w:rPr>
        <w:t>Цена остается фиксированной и не подлежит изменению на все время действия договора.</w:t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 w:val="false"/>
          <w:i w:val="false"/>
          <w:iCs w:val="false"/>
          <w:highlight w:val="none"/>
          <w:shd w:fill="auto" w:val="clear"/>
        </w:rPr>
      </w:pPr>
      <w:r>
        <w:rPr>
          <w:i w:val="false"/>
          <w:iCs w:val="false"/>
          <w:shd w:fill="auto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Cs/>
          <w:sz w:val="24"/>
          <w:szCs w:val="24"/>
          <w:shd w:fill="auto" w:val="clear"/>
        </w:rPr>
        <w:t>Куратор договора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Cs/>
          <w:sz w:val="24"/>
          <w:szCs w:val="24"/>
          <w:shd w:fill="auto" w:val="clear"/>
        </w:rPr>
        <w:t>Старший мастер СШТУ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/>
      </w:pPr>
      <w:r>
        <w:rPr>
          <w:rStyle w:val="Style8"/>
          <w:b w:val="false"/>
          <w:bCs/>
          <w:iCs/>
          <w:sz w:val="24"/>
          <w:szCs w:val="24"/>
          <w:shd w:fill="auto" w:val="clear"/>
        </w:rPr>
        <w:t>А.А. Сулеков                                         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bookmarkStart w:id="38" w:name="_Toc46743519_Копия_2"/>
      <w:bookmarkStart w:id="39" w:name="_Toc51339699_Копия_2"/>
      <w:bookmarkStart w:id="40" w:name="_GoBack"/>
      <w:bookmarkStart w:id="41" w:name="_Toc46743519_Копия_1"/>
      <w:bookmarkStart w:id="42" w:name="_Toc46743519_Копия_1"/>
      <w:bookmarkStart w:id="43" w:name="_Toc46743519_Копия_2"/>
      <w:bookmarkStart w:id="44" w:name="_Toc51339699_Копия_2"/>
      <w:bookmarkStart w:id="45" w:name="_GoBack"/>
      <w:bookmarkStart w:id="46" w:name="_Toc46743519_Копия_1"/>
      <w:bookmarkStart w:id="47" w:name="_Toc46743519_Копия_1"/>
      <w:bookmarkEnd w:id="43"/>
      <w:bookmarkEnd w:id="44"/>
      <w:bookmarkEnd w:id="45"/>
      <w:bookmarkEnd w:id="46"/>
      <w:bookmarkEnd w:id="47"/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0pt;margin-top:0.05pt;width:1.1pt;height:1.1pt;mso-wrap-style:square;v-text-anchor:top;mso-position-horizontal:center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3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paragraph" w:styleId="Style34">
    <w:name w:val="Содержимое таблицы"/>
    <w:basedOn w:val="Normal"/>
    <w:qFormat/>
    <w:pPr>
      <w:widowControl w:val="false"/>
      <w:suppressLineNumbers/>
    </w:pPr>
    <w:rPr/>
  </w:style>
  <w:style w:type="paragraph" w:styleId="Style35">
    <w:name w:val="Заголовок таблицы"/>
    <w:basedOn w:val="Style34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D964E-2ACE-4132-B9BC-50F0488B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Application>AlterOffice/3.4.0.9$Linux_X86_64 LibreOffice_project/b8daf9e823b1a5463a2f48435ddc2e8696e7d4fc</Application>
  <AppVersion>15.0000</AppVersion>
  <Pages>12</Pages>
  <Words>1547</Words>
  <Characters>10445</Characters>
  <CharactersWithSpaces>11794</CharactersWithSpaces>
  <Paragraphs>262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sulekovaa@corp.gidroogk.com</cp:lastModifiedBy>
  <cp:lastPrinted>2026-05-18T13:18:27Z</cp:lastPrinted>
  <dcterms:modified xsi:type="dcterms:W3CDTF">2026-05-18T13:22:53Z</dcterms:modified>
  <cp:revision>37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