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firstLine="567"/>
        <w:jc w:val="right"/>
        <w:rPr>
          <w:b/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азработка специализированных разделов рабочей документации (СС, ОвиК, ВК) по объекту: «Реконструкция золошлакоотвала «Зеленая балка», оборотной системы водоснабжения и системы гидрозолоудаления СП Партизанская ГРЭС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№____________________________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widowControl w:val="false"/>
        <w:ind w:firstLine="567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7"/>
            <w:tabs>
              <w:tab w:val="left" w:pos="708" w:leader="none"/>
              <w:tab w:val="right" w:pos="10065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2712_857294569">
            <w:r>
              <w:rPr>
                <w:webHidden/>
                <w:vanish w:val="false"/>
              </w:rPr>
              <w:t>1.</w:t>
              <w:tab/>
              <w:t>Общие сведения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14_857294569">
            <w:r>
              <w:rPr>
                <w:webHidden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16_857294569">
            <w:r>
              <w:rPr>
                <w:webHidden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18_857294569">
            <w:r>
              <w:rPr>
                <w:webHidden/>
                <w:vanish w:val="false"/>
              </w:rPr>
              <w:t>1.3. Цель выполнения работ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20_857294569">
            <w:r>
              <w:rPr>
                <w:webHidden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22_857294569">
            <w:r>
              <w:rPr>
                <w:webHidden/>
                <w:vanish w:val="false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Генподрядчиком на этапе исполнения договора)</w:t>
              <w:tab/>
              <w:t>4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24_857294569">
            <w:r>
              <w:rPr>
                <w:webHidden/>
                <w:vanish w:val="false"/>
              </w:rPr>
              <w:t>1.6. Иные требования и сведения общего характера</w:t>
              <w:tab/>
              <w:t>4</w:t>
            </w:r>
          </w:hyperlink>
        </w:p>
        <w:p>
          <w:pPr>
            <w:pStyle w:val="17"/>
            <w:tabs>
              <w:tab w:val="left" w:pos="708" w:leader="none"/>
              <w:tab w:val="right" w:pos="10065" w:leader="dot"/>
            </w:tabs>
            <w:rPr/>
          </w:pPr>
          <w:hyperlink w:anchor="__RefHeading___Toc2726_857294569">
            <w:r>
              <w:rPr>
                <w:webHidden/>
                <w:vanish w:val="false"/>
              </w:rPr>
              <w:t>2.</w:t>
              <w:tab/>
              <w:t>Требования к продукции</w:t>
              <w:tab/>
              <w:t>6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28_857294569">
            <w:r>
              <w:rPr>
                <w:webHidden/>
                <w:vanish w:val="false"/>
              </w:rPr>
              <w:t>2.1. Общие требования к составу и объёму разрабатываемых разделов:</w:t>
              <w:tab/>
              <w:t>6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30_857294569">
            <w:r>
              <w:rPr>
                <w:webHidden/>
                <w:vanish w:val="false"/>
              </w:rPr>
              <w:t>2.2. Перечень нормативной документации, в соответствии с требованиями которых необходимо выполнить разработку раздела рабочей документации</w:t>
            </w:r>
            <w:r>
              <w:rPr>
                <w:i/>
              </w:rPr>
              <w:t xml:space="preserve"> Отопление, вентиляция и кондиционирование воздуха, тепловые сети:</w:t>
            </w:r>
            <w:r>
              <w:rPr/>
              <w:tab/>
              <w:t>6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32_857294569">
            <w:r>
              <w:rPr>
                <w:webHidden/>
                <w:vanish w:val="false"/>
              </w:rPr>
              <w:t>2.3. Перечень нормативной документации, в соответствии с требованиями которых необходимо выполнить разработку раздела рабочей документации</w:t>
            </w:r>
            <w:r>
              <w:rPr>
                <w:i/>
              </w:rPr>
              <w:t xml:space="preserve"> Сети связи:</w:t>
            </w:r>
            <w:r>
              <w:rPr/>
              <w:tab/>
              <w:t>6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34_857294569">
            <w:r>
              <w:rPr>
                <w:webHidden/>
                <w:vanish w:val="false"/>
              </w:rPr>
              <w:t>2.4. Требования к объемам и срокам выполнения работ</w:t>
              <w:tab/>
              <w:t>7</w:t>
            </w:r>
          </w:hyperlink>
        </w:p>
        <w:p>
          <w:pPr>
            <w:pStyle w:val="35"/>
            <w:tabs>
              <w:tab w:val="left" w:pos="708" w:leader="none"/>
              <w:tab w:val="right" w:pos="10065" w:leader="dot"/>
            </w:tabs>
            <w:rPr/>
          </w:pPr>
          <w:hyperlink w:anchor="__RefHeading___Toc2736_857294569">
            <w:r>
              <w:rPr>
                <w:webHidden/>
                <w:vanish w:val="false"/>
              </w:rPr>
              <w:t>2.4.1.</w:t>
              <w:tab/>
              <w:t>Требования к видам и объемам работ</w:t>
              <w:tab/>
              <w:t>7</w:t>
            </w:r>
          </w:hyperlink>
        </w:p>
        <w:p>
          <w:pPr>
            <w:pStyle w:val="35"/>
            <w:tabs>
              <w:tab w:val="left" w:pos="708" w:leader="none"/>
              <w:tab w:val="right" w:pos="10065" w:leader="dot"/>
            </w:tabs>
            <w:rPr/>
          </w:pPr>
          <w:hyperlink w:anchor="__RefHeading___Toc2738_857294569">
            <w:r>
              <w:rPr>
                <w:webHidden/>
                <w:vanish w:val="false"/>
              </w:rPr>
              <w:t>2.4.2.</w:t>
              <w:tab/>
              <w:t>Требования к срокам выполнения работ</w:t>
              <w:tab/>
              <w:t>8</w:t>
            </w:r>
          </w:hyperlink>
        </w:p>
        <w:p>
          <w:pPr>
            <w:pStyle w:val="42"/>
            <w:tabs>
              <w:tab w:val="clear" w:pos="708"/>
              <w:tab w:val="right" w:pos="10065" w:leader="dot"/>
            </w:tabs>
            <w:rPr/>
          </w:pPr>
          <w:hyperlink w:anchor="__RefHeading___Toc2740_857294569">
            <w:r>
              <w:rPr>
                <w:webHidden/>
                <w:vanish w:val="false"/>
              </w:rPr>
              <w:t>2.5. Требования к качеству работ</w:t>
              <w:tab/>
              <w:t>9</w:t>
            </w:r>
          </w:hyperlink>
        </w:p>
        <w:p>
          <w:pPr>
            <w:pStyle w:val="17"/>
            <w:tabs>
              <w:tab w:val="left" w:pos="708" w:leader="none"/>
              <w:tab w:val="right" w:pos="10065" w:leader="dot"/>
            </w:tabs>
            <w:rPr/>
          </w:pPr>
          <w:hyperlink w:anchor="__RefHeading___Toc2742_857294569">
            <w:r>
              <w:rPr>
                <w:webHidden/>
                <w:vanish w:val="false"/>
              </w:rPr>
              <w:t>3.</w:t>
              <w:tab/>
              <w:t>Требования к документации по ценообразованию на этапе закупки</w:t>
              <w:tab/>
              <w:t>12</w:t>
            </w:r>
          </w:hyperlink>
        </w:p>
        <w:p>
          <w:pPr>
            <w:pStyle w:val="17"/>
            <w:tabs>
              <w:tab w:val="left" w:pos="708" w:leader="none"/>
              <w:tab w:val="right" w:pos="10065" w:leader="dot"/>
            </w:tabs>
            <w:rPr/>
          </w:pPr>
          <w:hyperlink w:anchor="__RefHeading___Toc2744_857294569">
            <w:r>
              <w:rPr>
                <w:webHidden/>
                <w:vanish w:val="false"/>
              </w:rPr>
              <w:t>4.</w:t>
              <w:tab/>
              <w:t>Приложения</w:t>
              <w:tab/>
              <w:t>23</w:t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17"/>
        <w:tabs>
          <w:tab w:val="clear" w:pos="708"/>
          <w:tab w:val="left" w:pos="560" w:leader="none"/>
          <w:tab w:val="right" w:pos="10055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2"/>
        <w:numPr>
          <w:ilvl w:val="0"/>
          <w:numId w:val="0"/>
        </w:numPr>
        <w:tabs>
          <w:tab w:val="clear" w:pos="0"/>
        </w:tabs>
        <w:ind w:left="432" w:hanging="0"/>
        <w:rPr/>
      </w:pPr>
      <w:r>
        <w:rPr/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  <w:r>
        <w:br w:type="page"/>
      </w:r>
    </w:p>
    <w:p>
      <w:pPr>
        <w:pStyle w:val="1"/>
        <w:ind w:left="0" w:firstLine="567"/>
        <w:rPr>
          <w:lang w:val="ru-RU"/>
        </w:rPr>
      </w:pPr>
      <w:bookmarkStart w:id="0" w:name="__RefHeading___Toc2712_857294569"/>
      <w:bookmarkStart w:id="1" w:name="_Toc204275058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4"/>
        <w:numPr>
          <w:ilvl w:val="1"/>
          <w:numId w:val="25"/>
        </w:numPr>
        <w:ind w:left="432" w:firstLine="567"/>
        <w:rPr/>
      </w:pPr>
      <w:bookmarkStart w:id="3" w:name="__RefHeading___Toc2714_857294569"/>
      <w:bookmarkStart w:id="4" w:name="_Toc204275059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Style w:val="affff6"/>
        <w:tblW w:w="9000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3"/>
        <w:gridCol w:w="7156"/>
      </w:tblGrid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ГТС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Гидротехническое сооружение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ТЭС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Тепловая электростанция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Государственные стандарты РФ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СП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Свод правил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СанПиН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Санитарные (санитарно-эпидемиологические) правила и нормы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ЦММ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Цифровая модель местности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ОВиК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Отопление, вентиляция и кондиционирование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ПД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Проектная документация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ТЗ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Техническое задание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СС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Сети связи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ГРЭС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Государственная районная электростанция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ПГРЭС</w:t>
            </w:r>
          </w:p>
        </w:tc>
        <w:tc>
          <w:tcPr>
            <w:tcW w:w="7156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Партизанская ГРЭС</w:t>
            </w:r>
          </w:p>
        </w:tc>
      </w:tr>
    </w:tbl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4"/>
        <w:numPr>
          <w:ilvl w:val="1"/>
          <w:numId w:val="26"/>
        </w:numPr>
        <w:ind w:left="432" w:firstLine="567"/>
        <w:rPr/>
      </w:pPr>
      <w:bookmarkStart w:id="6" w:name="__RefHeading___Toc2716_857294569"/>
      <w:bookmarkStart w:id="7" w:name="_Toc204275060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Разработка </w:t>
      </w:r>
      <w:r>
        <w:rPr>
          <w:sz w:val="24"/>
          <w:szCs w:val="24"/>
        </w:rPr>
        <w:t xml:space="preserve">специализированных </w:t>
      </w:r>
      <w:r>
        <w:rPr>
          <w:rFonts w:eastAsia="Calibri"/>
          <w:sz w:val="24"/>
          <w:szCs w:val="24"/>
        </w:rPr>
        <w:t xml:space="preserve">разделов рабочей документации </w:t>
      </w:r>
      <w:r>
        <w:rPr>
          <w:sz w:val="24"/>
          <w:szCs w:val="24"/>
        </w:rPr>
        <w:t xml:space="preserve">(СС, ОвиК, ВК) </w:t>
      </w:r>
      <w:r>
        <w:rPr>
          <w:rFonts w:eastAsia="Calibri"/>
          <w:sz w:val="24"/>
          <w:szCs w:val="24"/>
        </w:rPr>
        <w:t xml:space="preserve">по объекту: </w:t>
      </w:r>
      <w:r>
        <w:rPr>
          <w:sz w:val="24"/>
          <w:szCs w:val="24"/>
        </w:rPr>
        <w:t>«Реконструкция золошлакоотвала «Зеленая балка», оборотной системы водоснабжения и системы гидрозолоудаления СП Партизанская ГРЭС».</w:t>
      </w:r>
    </w:p>
    <w:p>
      <w:pPr>
        <w:pStyle w:val="4"/>
        <w:numPr>
          <w:ilvl w:val="1"/>
          <w:numId w:val="27"/>
        </w:numPr>
        <w:ind w:left="432" w:firstLine="567"/>
        <w:rPr>
          <w:sz w:val="24"/>
          <w:szCs w:val="24"/>
        </w:rPr>
      </w:pPr>
      <w:bookmarkStart w:id="9" w:name="__RefHeading___Toc2718_857294569"/>
      <w:bookmarkStart w:id="10" w:name="_Toc204275061"/>
      <w:bookmarkStart w:id="11" w:name="_Toc46743507"/>
      <w:bookmarkEnd w:id="9"/>
      <w:r>
        <w:rPr>
          <w:sz w:val="24"/>
          <w:szCs w:val="24"/>
        </w:rPr>
        <w:t xml:space="preserve">Цель </w:t>
      </w:r>
      <w:bookmarkEnd w:id="11"/>
      <w:r>
        <w:rPr>
          <w:sz w:val="24"/>
          <w:szCs w:val="24"/>
        </w:rPr>
        <w:t>выполнения работ</w:t>
      </w:r>
      <w:bookmarkEnd w:id="10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рабочей документации по объекту: «Реконструкция золошлакоотвала «Зеленая балка», оборотной системы водоснабжения и системы гидрозолоудаления СП Партизанская ГРЭС» выполняется в части: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Отопление, вентиляция и кондиционирование воздуха, тепловые сети;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Сети связи;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Ведомости объёмов работ к каждому подразделу;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объеме, достаточном для прохождения всех необходимых согласований и экспертиз. </w:t>
      </w:r>
    </w:p>
    <w:p>
      <w:pPr>
        <w:pStyle w:val="4"/>
        <w:numPr>
          <w:ilvl w:val="1"/>
          <w:numId w:val="28"/>
        </w:numPr>
        <w:ind w:left="432" w:firstLine="567"/>
        <w:rPr/>
      </w:pPr>
      <w:bookmarkStart w:id="12" w:name="__RefHeading___Toc2720_857294569"/>
      <w:bookmarkStart w:id="13" w:name="_Toc204275062"/>
      <w:bookmarkStart w:id="14" w:name="_Toc46743508"/>
      <w:bookmarkEnd w:id="12"/>
      <w:r>
        <w:rPr/>
        <w:t>Существующее положение</w:t>
      </w:r>
      <w:bookmarkEnd w:id="13"/>
      <w:bookmarkEnd w:id="14"/>
    </w:p>
    <w:p>
      <w:pPr>
        <w:pStyle w:val="Normal"/>
        <w:spacing w:lineRule="auto" w:line="264"/>
        <w:ind w:firstLine="851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 xml:space="preserve">Состав объектов производственного назначения, входящих в систему гидрозолошлакоудаления Партизанской ГРЭС: </w:t>
      </w:r>
    </w:p>
    <w:p>
      <w:pPr>
        <w:pStyle w:val="Normal"/>
        <w:numPr>
          <w:ilvl w:val="0"/>
          <w:numId w:val="11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>Багерная насосная станция второго подъема (БНС-1)</w:t>
      </w:r>
    </w:p>
    <w:p>
      <w:pPr>
        <w:pStyle w:val="Normal"/>
        <w:numPr>
          <w:ilvl w:val="0"/>
          <w:numId w:val="11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>Багерная насосная станция второго подъема (БНС-2)</w:t>
      </w:r>
    </w:p>
    <w:p>
      <w:pPr>
        <w:pStyle w:val="Normal"/>
        <w:numPr>
          <w:ilvl w:val="0"/>
          <w:numId w:val="11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Подача пульпы на золошлакоотвал предусматривается двумя ступенями багерных насосов. БНС-2 располагается на расстоянии 1,3 км от площадки ГРЭС на отм. 112,5 м.</w:t>
      </w:r>
    </w:p>
    <w:p>
      <w:pPr>
        <w:pStyle w:val="Normal"/>
        <w:spacing w:lineRule="auto" w:line="264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Трубопроводы ГЗУ 1-ой очереди:</w:t>
      </w:r>
    </w:p>
    <w:p>
      <w:pPr>
        <w:pStyle w:val="Normal"/>
        <w:numPr>
          <w:ilvl w:val="0"/>
          <w:numId w:val="12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 xml:space="preserve">Три трубопровода </w:t>
      </w:r>
      <w:r>
        <w:rPr>
          <w:rFonts w:eastAsia="Abyssinica SIL" w:cs="Cambria Math" w:ascii="Cambria Math" w:hAnsi="Cambria Math"/>
          <w:color w:val="000000"/>
          <w:szCs w:val="24"/>
        </w:rPr>
        <w:t>∅</w:t>
      </w:r>
      <w:r>
        <w:rPr>
          <w:color w:val="000000"/>
          <w:szCs w:val="24"/>
        </w:rPr>
        <w:t xml:space="preserve"> 377х12, Вст4 сп5 ГОСТ 8732-78</w:t>
      </w:r>
    </w:p>
    <w:p>
      <w:pPr>
        <w:pStyle w:val="Normal"/>
        <w:numPr>
          <w:ilvl w:val="0"/>
          <w:numId w:val="12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Рабочее давление: Р</w:t>
      </w:r>
      <w:r>
        <w:rPr>
          <w:color w:val="000000"/>
          <w:szCs w:val="24"/>
          <w:vertAlign w:val="subscript"/>
        </w:rPr>
        <w:t>раб</w:t>
      </w:r>
      <w:r>
        <w:rPr>
          <w:color w:val="000000"/>
          <w:szCs w:val="24"/>
        </w:rPr>
        <w:t>. (изб.) = 12,0 кг/см</w:t>
      </w:r>
      <w:r>
        <w:rPr>
          <w:color w:val="000000"/>
          <w:szCs w:val="24"/>
          <w:vertAlign w:val="superscript"/>
        </w:rPr>
        <w:t>2</w:t>
      </w:r>
    </w:p>
    <w:p>
      <w:pPr>
        <w:pStyle w:val="Normal"/>
        <w:numPr>
          <w:ilvl w:val="0"/>
          <w:numId w:val="12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Давление гидроиспытания: Р</w:t>
      </w:r>
      <w:r>
        <w:rPr>
          <w:color w:val="000000"/>
          <w:szCs w:val="24"/>
          <w:vertAlign w:val="subscript"/>
        </w:rPr>
        <w:t>исп</w:t>
      </w:r>
      <w:r>
        <w:rPr>
          <w:color w:val="000000"/>
          <w:szCs w:val="24"/>
        </w:rPr>
        <w:t>=13,5 кг/см</w:t>
      </w:r>
      <w:r>
        <w:rPr>
          <w:color w:val="000000"/>
          <w:szCs w:val="24"/>
          <w:vertAlign w:val="superscript"/>
        </w:rPr>
        <w:t>2</w:t>
      </w:r>
    </w:p>
    <w:p>
      <w:pPr>
        <w:pStyle w:val="Normal"/>
        <w:spacing w:lineRule="auto" w:line="264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Трубопроводы ОВ  1-ой очереди:</w:t>
      </w:r>
    </w:p>
    <w:p>
      <w:pPr>
        <w:pStyle w:val="Normal"/>
        <w:numPr>
          <w:ilvl w:val="0"/>
          <w:numId w:val="13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 xml:space="preserve">Два трубопровода </w:t>
      </w:r>
      <w:r>
        <w:rPr>
          <w:rFonts w:eastAsia="Abyssinica SIL" w:cs="Cambria Math" w:ascii="Cambria Math" w:hAnsi="Cambria Math"/>
          <w:color w:val="000000"/>
          <w:szCs w:val="24"/>
        </w:rPr>
        <w:t>∅</w:t>
      </w:r>
      <w:r>
        <w:rPr>
          <w:color w:val="000000"/>
          <w:szCs w:val="24"/>
        </w:rPr>
        <w:t xml:space="preserve"> 426х9, Вст3 сп5 ГОСТ 10704-91</w:t>
      </w:r>
    </w:p>
    <w:p>
      <w:pPr>
        <w:pStyle w:val="Normal"/>
        <w:numPr>
          <w:ilvl w:val="0"/>
          <w:numId w:val="13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Рабочее давление: Р</w:t>
      </w:r>
      <w:r>
        <w:rPr>
          <w:color w:val="000000"/>
          <w:szCs w:val="24"/>
          <w:vertAlign w:val="subscript"/>
        </w:rPr>
        <w:t>раб</w:t>
      </w:r>
      <w:r>
        <w:rPr>
          <w:color w:val="000000"/>
          <w:szCs w:val="24"/>
        </w:rPr>
        <w:t>. (изб.) = 9,0 кг/см</w:t>
      </w:r>
      <w:r>
        <w:rPr>
          <w:color w:val="000000"/>
          <w:szCs w:val="24"/>
          <w:vertAlign w:val="superscript"/>
        </w:rPr>
        <w:t>2</w:t>
      </w:r>
    </w:p>
    <w:p>
      <w:pPr>
        <w:pStyle w:val="Normal"/>
        <w:numPr>
          <w:ilvl w:val="0"/>
          <w:numId w:val="13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Давление гидроиспытания: Р</w:t>
      </w:r>
      <w:r>
        <w:rPr>
          <w:color w:val="000000"/>
          <w:szCs w:val="24"/>
          <w:vertAlign w:val="subscript"/>
        </w:rPr>
        <w:t>исп</w:t>
      </w:r>
      <w:r>
        <w:rPr>
          <w:color w:val="000000"/>
          <w:szCs w:val="24"/>
        </w:rPr>
        <w:t>=10,5 кг/см</w:t>
      </w:r>
      <w:r>
        <w:rPr>
          <w:color w:val="000000"/>
          <w:szCs w:val="24"/>
          <w:vertAlign w:val="superscript"/>
        </w:rPr>
        <w:t>2</w:t>
      </w:r>
    </w:p>
    <w:p>
      <w:pPr>
        <w:pStyle w:val="Normal"/>
        <w:numPr>
          <w:ilvl w:val="0"/>
          <w:numId w:val="13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Протяженность 3,168 км.</w:t>
      </w:r>
    </w:p>
    <w:p>
      <w:pPr>
        <w:pStyle w:val="Normal"/>
        <w:numPr>
          <w:ilvl w:val="0"/>
          <w:numId w:val="13"/>
        </w:numPr>
        <w:spacing w:lineRule="auto" w:line="264" w:before="0" w:after="0"/>
        <w:ind w:left="0" w:firstLine="851"/>
        <w:contextualSpacing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</w:rPr>
        <w:t>Выход золошлаковых отходов (первая очередь) 28,8 т/ч (13,5 м</w:t>
      </w: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>/ч).</w:t>
      </w:r>
    </w:p>
    <w:p>
      <w:pPr>
        <w:pStyle w:val="Normal"/>
        <w:spacing w:lineRule="auto" w:line="264" w:before="0" w:after="0"/>
        <w:ind w:firstLine="851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Уровень ответственности – повышенный (КС-3).</w:t>
      </w:r>
    </w:p>
    <w:p>
      <w:pPr>
        <w:pStyle w:val="Normal"/>
        <w:ind w:firstLine="851"/>
        <w:rPr>
          <w:lang w:eastAsia="x-none"/>
        </w:rPr>
      </w:pPr>
      <w:r>
        <w:rPr>
          <w:lang w:eastAsia="x-none"/>
        </w:rPr>
        <w:t>Нормативная сейсмичность участка трассы ГЗУ и БНС-2 по картам ОСР-2015 составляет: по карте А – 6 баллов, по карте В – 7 баллов, по карте С – 8 баллов.</w:t>
      </w:r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  <w:t xml:space="preserve">Класс ГТС – </w:t>
      </w:r>
      <w:r>
        <w:rPr>
          <w:szCs w:val="24"/>
          <w:lang w:val="en-US"/>
        </w:rPr>
        <w:t>I</w:t>
      </w:r>
      <w:r>
        <w:rPr>
          <w:szCs w:val="24"/>
        </w:rPr>
        <w:t>.</w:t>
      </w:r>
    </w:p>
    <w:p>
      <w:pPr>
        <w:pStyle w:val="Normal"/>
        <w:rPr>
          <w:rStyle w:val="Style16"/>
          <w:b w:val="false"/>
          <w:b w:val="false"/>
          <w:bCs/>
          <w:szCs w:val="24"/>
        </w:rPr>
      </w:pPr>
      <w:r>
        <w:rPr>
          <w:b/>
        </w:rPr>
        <w:t>Таблица 1. Перечень объектов заказчика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0"/>
        <w:gridCol w:w="2268"/>
        <w:gridCol w:w="2977"/>
        <w:gridCol w:w="2133"/>
        <w:gridCol w:w="1843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szCs w:val="24"/>
              </w:rPr>
              <w:t>Партизанская ГРЭС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color w:val="000000"/>
                <w:szCs w:val="24"/>
              </w:rPr>
              <w:t>Приморский край, г. Партизанск, в районе промышленной площадки Партизанской ГРЭС.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/>
              <w:t>Капитальные сооружения Партизанской ГРЭС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4"/>
        <w:numPr>
          <w:ilvl w:val="1"/>
          <w:numId w:val="29"/>
        </w:numPr>
        <w:ind w:left="0" w:firstLine="567"/>
        <w:rPr/>
      </w:pPr>
      <w:bookmarkStart w:id="15" w:name="__RefHeading___Toc2722_857294569"/>
      <w:bookmarkStart w:id="16" w:name="_Toc204275063"/>
      <w:bookmarkStart w:id="17" w:name="_Toc46743509"/>
      <w:bookmarkStart w:id="18" w:name="_Hlk49857604"/>
      <w:bookmarkEnd w:id="15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>(в том числе перечень ресурсов, услуг и документов, предоставляемых</w:t>
      </w:r>
      <w:r>
        <w:rPr>
          <w:lang w:val="ru-RU"/>
        </w:rPr>
        <w:t xml:space="preserve"> Генподрядчиком</w:t>
      </w:r>
      <w:r>
        <w:rPr/>
        <w:t xml:space="preserve"> на этапе исполнения договора)</w:t>
      </w:r>
      <w:bookmarkEnd w:id="16"/>
      <w:bookmarkEnd w:id="17"/>
      <w:bookmarkEnd w:id="18"/>
      <w:r>
        <w:rPr>
          <w:lang w:val="ru-RU"/>
        </w:rPr>
        <w:t xml:space="preserve"> </w:t>
      </w:r>
    </w:p>
    <w:p>
      <w:pPr>
        <w:pStyle w:val="Normal"/>
        <w:ind w:firstLine="567"/>
        <w:jc w:val="both"/>
        <w:rPr>
          <w:b/>
          <w:b/>
        </w:rPr>
      </w:pPr>
      <w:bookmarkStart w:id="20" w:name="_Toc50125126"/>
      <w:bookmarkEnd w:id="20"/>
      <w:r>
        <w:rPr>
          <w:b/>
        </w:rPr>
        <w:t>1.5.1. Перечень исходных данных, предоставляемых для разработки разделов рабочей документации: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Отчёты о проведённых инженерных изысканиях;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Отчёты о проведённых обследованиях изысканиях;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Технические условия на подключение к сетям;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Планировки и чертежи;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Разработанная и согласованная проектная документация.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Исходные данные передаются в соответствии с условиями проекта Договора.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/>
      </w:r>
    </w:p>
    <w:p>
      <w:pPr>
        <w:pStyle w:val="4"/>
        <w:numPr>
          <w:ilvl w:val="1"/>
          <w:numId w:val="30"/>
        </w:numPr>
        <w:ind w:left="0" w:firstLine="567"/>
        <w:rPr>
          <w:lang w:val="ru-RU"/>
        </w:rPr>
      </w:pPr>
      <w:bookmarkStart w:id="21" w:name="__RefHeading___Toc2724_857294569"/>
      <w:bookmarkStart w:id="22" w:name="_Toc204275064"/>
      <w:bookmarkEnd w:id="21"/>
      <w:r>
        <w:rPr/>
        <w:t>Иные требования и сведения общего характера</w:t>
      </w:r>
      <w:bookmarkEnd w:id="22"/>
    </w:p>
    <w:p>
      <w:pPr>
        <w:pStyle w:val="Normal"/>
        <w:spacing w:lineRule="auto" w:line="276"/>
        <w:ind w:firstLine="567"/>
        <w:jc w:val="both"/>
        <w:rPr>
          <w:szCs w:val="24"/>
        </w:rPr>
      </w:pPr>
      <w:r>
        <w:rPr>
          <w:szCs w:val="24"/>
        </w:rPr>
        <w:t>Субподрядчик в рамках договорных обязательств выполняет сопровождение при согласовании рабочей документации с Генеральным Заказчиком.</w:t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1"/>
        <w:ind w:left="0" w:hanging="0"/>
        <w:rPr>
          <w:lang w:val="ru-RU"/>
        </w:rPr>
      </w:pPr>
      <w:bookmarkStart w:id="23" w:name="__RefHeading___Toc2726_857294569"/>
      <w:bookmarkStart w:id="24" w:name="_Toc204275065"/>
      <w:bookmarkStart w:id="25" w:name="_Toc51339693"/>
      <w:bookmarkEnd w:id="23"/>
      <w:r>
        <w:rPr/>
        <w:t>Требования к продукции</w:t>
      </w:r>
      <w:bookmarkEnd w:id="24"/>
      <w:bookmarkEnd w:id="25"/>
    </w:p>
    <w:p>
      <w:pPr>
        <w:pStyle w:val="4"/>
        <w:numPr>
          <w:ilvl w:val="1"/>
          <w:numId w:val="31"/>
        </w:numPr>
        <w:ind w:left="432" w:firstLine="567"/>
        <w:jc w:val="both"/>
        <w:rPr>
          <w:lang w:val="ru-RU"/>
        </w:rPr>
      </w:pPr>
      <w:bookmarkStart w:id="26" w:name="__RefHeading___Toc2728_857294569"/>
      <w:bookmarkStart w:id="27" w:name="_Toc204275066"/>
      <w:bookmarkEnd w:id="26"/>
      <w:r>
        <w:rPr>
          <w:lang w:val="ru-RU"/>
        </w:rPr>
        <w:t>Общие требования к составу и объёму разрабатываемых разделов:</w:t>
      </w:r>
      <w:bookmarkEnd w:id="27"/>
    </w:p>
    <w:p>
      <w:pPr>
        <w:pStyle w:val="ListParagraph"/>
        <w:numPr>
          <w:ilvl w:val="0"/>
          <w:numId w:val="9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>
          <w:lang w:eastAsia="x-none"/>
        </w:rPr>
        <w:t>Всё электротехническое оборудование должно иметь возможность удалённого управления с ЦПУ Партизанской ГРЭС;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>
          <w:lang w:eastAsia="x-none"/>
        </w:rPr>
        <w:t>Для всего электротехнического оборудования должна быть предусмотрена возможность реализации системы мониторинга состояния оборудования по двум каналам (основной и резервный);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>
          <w:lang w:eastAsia="x-none"/>
        </w:rPr>
        <w:t>В рамках комплектов рабочей документации Исполнитель разрабатывает и прикладывает технические требования/опросные листы на проектируемое оборудование.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>
          <w:lang w:eastAsia="x-none"/>
        </w:rPr>
        <w:t>Рабочая документация должна соответствовать проектной документации.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4"/>
        <w:numPr>
          <w:ilvl w:val="1"/>
          <w:numId w:val="32"/>
        </w:numPr>
        <w:ind w:left="432" w:firstLine="567"/>
        <w:jc w:val="both"/>
        <w:rPr>
          <w:i/>
          <w:i/>
          <w:lang w:val="ru-RU"/>
        </w:rPr>
      </w:pPr>
      <w:bookmarkStart w:id="28" w:name="__RefHeading___Toc2730_857294569"/>
      <w:bookmarkStart w:id="29" w:name="_Toc204275069"/>
      <w:bookmarkEnd w:id="28"/>
      <w:r>
        <w:rPr/>
        <w:t xml:space="preserve">Перечень нормативной документации, в соответствии с требованиями которых необходимо выполнить </w:t>
      </w:r>
      <w:r>
        <w:rPr>
          <w:lang w:val="ru-RU"/>
        </w:rPr>
        <w:t>разработку раздела рабочей документации</w:t>
      </w:r>
      <w:r>
        <w:rPr>
          <w:i/>
          <w:lang w:val="ru-RU"/>
        </w:rPr>
        <w:t xml:space="preserve"> </w:t>
      </w:r>
      <w:r>
        <w:rPr>
          <w:i/>
        </w:rPr>
        <w:t>Отопление, вентиляция и кондиционирование воздуха, тепловые сети</w:t>
      </w:r>
      <w:r>
        <w:rPr>
          <w:i/>
          <w:lang w:val="ru-RU"/>
        </w:rPr>
        <w:t>:</w:t>
      </w:r>
      <w:bookmarkEnd w:id="29"/>
    </w:p>
    <w:p>
      <w:pPr>
        <w:pStyle w:val="ListParagraph"/>
        <w:numPr>
          <w:ilvl w:val="0"/>
          <w:numId w:val="9"/>
        </w:numPr>
        <w:ind w:left="0" w:firstLine="851"/>
        <w:jc w:val="both"/>
        <w:rPr>
          <w:lang w:eastAsia="x-none"/>
        </w:rPr>
      </w:pPr>
      <w:r>
        <w:rPr>
          <w:lang w:eastAsia="x-none"/>
        </w:rPr>
        <w:t xml:space="preserve">Постановление Правительства Российской Федерации №87 от 16.02.2008 г. «О составе разделов рабочей документации и требованиях к их содержанию» </w:t>
      </w:r>
      <w:hyperlink r:id="rId2">
        <w:r>
          <w:rPr>
            <w:lang w:eastAsia="x-none"/>
          </w:rPr>
          <w:t>https://docs.cntd.ru/document/902087949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3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/>
        <w:t xml:space="preserve">СП 90.13330.2012 Электростанции тепловые. Актуализированная редакция СНиП </w:t>
      </w:r>
      <w:r>
        <w:rPr>
          <w:lang w:val="en-US"/>
        </w:rPr>
        <w:t>II</w:t>
      </w:r>
      <w:r>
        <w:rPr/>
        <w:t xml:space="preserve">-58-75 </w:t>
      </w:r>
      <w:hyperlink r:id="rId4">
        <w:r>
          <w:rPr/>
          <w:t>https://meganorm.ru/Data2/1/4293788/4293788797.pdf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/>
        <w:t xml:space="preserve">СанПиН 2.2.4.548-96 Санитарные правила и нормы. Гигиенические требования к микроклимату производственных помещений </w:t>
      </w:r>
      <w:hyperlink r:id="rId5">
        <w:r>
          <w:rPr/>
          <w:t>https://meganorm.ru/Data2/1/4294851/4294851474.htm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/>
        <w:t xml:space="preserve">Федеральный закон от 30.03.1999 № 52-ФЗ «О санитарно-эпидемиологическом благополучии населения» </w:t>
      </w:r>
      <w:hyperlink r:id="rId6">
        <w:r>
          <w:rPr/>
          <w:t>https://docs.cntd.ru/document/901729631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Р 21.101-2020 Система рабочей документации для строительства. Основные требования к рабочей и рабочей документации </w:t>
      </w:r>
      <w:hyperlink r:id="rId7">
        <w:r>
          <w:rPr/>
          <w:t>https://meganorm.ru/Data2/1/4293720/4293720404.htm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21.001-2021. Система рабочей документации для строительства (СПДС). Общие положения </w:t>
      </w:r>
      <w:hyperlink r:id="rId8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21.110-2013. Система рабочей документации для строительства (СПДС). Спецификация оборудования, изделий и материалов </w:t>
      </w:r>
      <w:hyperlink r:id="rId9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12.1.003-2014. Система стандартов безопасности труда (ССБТ). Шум. Общие требования безопасности </w:t>
      </w:r>
      <w:hyperlink r:id="rId10">
        <w:r>
          <w:rPr/>
          <w:t>https://meganorm.ru/Data2/1/4293765/4293765641.pdf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СП 14.13330.2018. Строительство в сейсмических районах. Актуализированная редакция СНиП II-7-81* </w:t>
      </w:r>
      <w:hyperlink r:id="rId11">
        <w:r>
          <w:rPr/>
          <w:t>https://meganorm.ru/Data2/1/4293736/4293736459.pdf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СП 60.13330.2020. Отопление, вентиляция и кондиционирование воздуха. Актуализированная редакция СНиП 41-01-2003 </w:t>
      </w:r>
      <w:hyperlink r:id="rId12">
        <w:r>
          <w:rPr/>
          <w:t>https://www.minstroyrf.gov.ru/upload/iblock/404/SP-60.pdf</w:t>
        </w:r>
      </w:hyperlink>
    </w:p>
    <w:p>
      <w:pPr>
        <w:pStyle w:val="ListParagraph"/>
        <w:numPr>
          <w:ilvl w:val="0"/>
          <w:numId w:val="10"/>
        </w:numPr>
        <w:ind w:left="0" w:firstLine="851"/>
        <w:jc w:val="both"/>
        <w:rPr/>
      </w:pPr>
      <w:r>
        <w:rPr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13">
        <w:r>
          <w:rPr/>
          <w:t>https://docs.cntd.ru/document/573500115</w:t>
        </w:r>
      </w:hyperlink>
    </w:p>
    <w:p>
      <w:pPr>
        <w:pStyle w:val="4"/>
        <w:numPr>
          <w:ilvl w:val="1"/>
          <w:numId w:val="33"/>
        </w:numPr>
        <w:ind w:left="432" w:firstLine="567"/>
        <w:jc w:val="both"/>
        <w:rPr>
          <w:i/>
          <w:i/>
          <w:lang w:val="ru-RU"/>
        </w:rPr>
      </w:pPr>
      <w:bookmarkStart w:id="30" w:name="__RefHeading___Toc2732_857294569"/>
      <w:bookmarkStart w:id="31" w:name="_Toc204275070"/>
      <w:bookmarkEnd w:id="30"/>
      <w:r>
        <w:rPr/>
        <w:t xml:space="preserve">Перечень нормативной документации, в соответствии с требованиями которых необходимо выполнить </w:t>
      </w:r>
      <w:r>
        <w:rPr>
          <w:lang w:val="ru-RU"/>
        </w:rPr>
        <w:t>разработку раздела рабочей документации</w:t>
      </w:r>
      <w:r>
        <w:rPr>
          <w:i/>
          <w:lang w:val="ru-RU"/>
        </w:rPr>
        <w:t xml:space="preserve"> Сети связи:</w:t>
      </w:r>
      <w:bookmarkEnd w:id="31"/>
    </w:p>
    <w:p>
      <w:pPr>
        <w:pStyle w:val="ListParagraph"/>
        <w:numPr>
          <w:ilvl w:val="0"/>
          <w:numId w:val="9"/>
        </w:numPr>
        <w:ind w:left="0" w:firstLine="851"/>
        <w:jc w:val="both"/>
        <w:rPr>
          <w:lang w:eastAsia="x-none"/>
        </w:rPr>
      </w:pPr>
      <w:r>
        <w:rPr>
          <w:lang w:eastAsia="x-none"/>
        </w:rPr>
        <w:t xml:space="preserve">Постановление Правительства Российской Федерации №87 от 16.02.2008 г. «О составе разделов рабочей документации и требованиях к их содержанию» </w:t>
      </w:r>
      <w:hyperlink r:id="rId14">
        <w:r>
          <w:rPr>
            <w:lang w:eastAsia="x-none"/>
          </w:rPr>
          <w:t>https://docs.cntd.ru/document/902087949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  <w:tab w:val="left" w:pos="890" w:leader="none"/>
        </w:tabs>
        <w:ind w:left="0" w:firstLine="851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15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>ГОСТ Р 21.101-2020 Система рабочей документации для строительства. Основные требования к рабочей и рабочей документации https://meganorm.ru/Data2/1/4293720/4293720404.htm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21.001-2021. Система рабочей документации для строительства (СПДС). Общие положения </w:t>
      </w:r>
      <w:hyperlink r:id="rId16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21.110-2013. Система рабочей документации для строительства (СПДС). Спецификация оборудования, изделий и материалов </w:t>
      </w:r>
      <w:hyperlink r:id="rId17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10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12.1.003-2014. Система стандартов безопасности труда (ССБТ). Шум. Общие требования безопасности </w:t>
      </w:r>
      <w:hyperlink r:id="rId18">
        <w:r>
          <w:rPr/>
          <w:t>https://meganorm.ru/Data2/1/4293765/4293765641.pdf</w:t>
        </w:r>
      </w:hyperlink>
    </w:p>
    <w:p>
      <w:pPr>
        <w:pStyle w:val="Normal"/>
        <w:tabs>
          <w:tab w:val="clear" w:pos="708"/>
          <w:tab w:val="left" w:pos="464" w:leader="none"/>
        </w:tabs>
        <w:jc w:val="both"/>
        <w:rPr/>
      </w:pPr>
      <w:r>
        <w:rPr/>
        <w:t xml:space="preserve">СП 14.13330.2018. Строительство в сейсмических районах. Актуализированная редакция СНиП II-7-81* </w:t>
      </w:r>
      <w:hyperlink r:id="rId19">
        <w:r>
          <w:rPr/>
          <w:t>https://www.minstroyrf.gov.ru/upload/iblock/b4f/SP-14.13330.2018-na-registr-Rosstandart_pages_deleted.pdf</w:t>
        </w:r>
      </w:hyperlink>
    </w:p>
    <w:p>
      <w:pPr>
        <w:pStyle w:val="Normal"/>
        <w:tabs>
          <w:tab w:val="clear" w:pos="708"/>
          <w:tab w:val="left" w:pos="46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64" w:leader="none"/>
        </w:tabs>
        <w:jc w:val="both"/>
        <w:rPr/>
      </w:pPr>
      <w:r>
        <w:rPr/>
      </w:r>
    </w:p>
    <w:p>
      <w:pPr>
        <w:pStyle w:val="4"/>
        <w:numPr>
          <w:ilvl w:val="1"/>
          <w:numId w:val="34"/>
        </w:numPr>
        <w:ind w:left="432" w:firstLine="567"/>
        <w:rPr>
          <w:lang w:val="ru-RU"/>
        </w:rPr>
      </w:pPr>
      <w:bookmarkStart w:id="32" w:name="__RefHeading___Toc2734_857294569"/>
      <w:bookmarkStart w:id="33" w:name="_Toc204275071"/>
      <w:bookmarkEnd w:id="32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33"/>
    </w:p>
    <w:p>
      <w:pPr>
        <w:pStyle w:val="3"/>
        <w:ind w:left="1224" w:firstLine="567"/>
        <w:rPr/>
      </w:pPr>
      <w:bookmarkStart w:id="34" w:name="__RefHeading___Toc2736_857294569"/>
      <w:bookmarkStart w:id="35" w:name="_Toc204275072"/>
      <w:bookmarkEnd w:id="34"/>
      <w:r>
        <w:rPr/>
        <w:t>Требования к видам и объемам работ</w:t>
      </w:r>
      <w:bookmarkEnd w:id="35"/>
    </w:p>
    <w:p>
      <w:pPr>
        <w:pStyle w:val="Normal"/>
        <w:rPr>
          <w:b/>
          <w:b/>
        </w:rPr>
      </w:pPr>
      <w:bookmarkStart w:id="36" w:name="_Toc51339695"/>
      <w:r>
        <w:rPr>
          <w:b/>
        </w:rPr>
        <w:t xml:space="preserve">Таблица 2. Перечень </w:t>
      </w:r>
      <w:bookmarkEnd w:id="36"/>
      <w:r>
        <w:rPr>
          <w:b/>
        </w:rPr>
        <w:t>и объем выполняемых работ</w:t>
      </w:r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22"/>
        <w:gridCol w:w="2019"/>
        <w:gridCol w:w="211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 / этапа работ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Отопление, вентиляция и кондиционирование воздуха, тепловые сети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Сети связи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rPr>
          <w:bCs/>
          <w:i/>
          <w:i/>
          <w:szCs w:val="24"/>
          <w:shd w:fill="FFFF99" w:val="clear"/>
        </w:rPr>
      </w:pPr>
      <w:r>
        <w:rPr>
          <w:bCs/>
          <w:i/>
          <w:szCs w:val="24"/>
          <w:shd w:fill="FFFF99" w:val="clear"/>
        </w:rPr>
      </w:r>
    </w:p>
    <w:p>
      <w:pPr>
        <w:pStyle w:val="3"/>
        <w:ind w:left="1224" w:firstLine="567"/>
        <w:rPr/>
      </w:pPr>
      <w:bookmarkStart w:id="37" w:name="__RefHeading___Toc2738_857294569"/>
      <w:bookmarkStart w:id="38" w:name="_Toc204275073"/>
      <w:bookmarkStart w:id="39" w:name="_Toc51339696"/>
      <w:bookmarkEnd w:id="37"/>
      <w:r>
        <w:rPr/>
        <w:t xml:space="preserve">Требования </w:t>
      </w:r>
      <w:bookmarkEnd w:id="39"/>
      <w:r>
        <w:rPr/>
        <w:t>к срокам выполнения работ</w:t>
      </w:r>
      <w:bookmarkEnd w:id="38"/>
    </w:p>
    <w:p>
      <w:pPr>
        <w:pStyle w:val="Normal"/>
        <w:rPr>
          <w:b/>
          <w:b/>
        </w:rPr>
      </w:pPr>
      <w:bookmarkStart w:id="40" w:name="_Toc50125127"/>
      <w:bookmarkStart w:id="41" w:name="_Toc51339697"/>
      <w:bookmarkStart w:id="42" w:name="_Toc50125126_Копия_1"/>
      <w:bookmarkEnd w:id="42"/>
      <w:r>
        <w:rPr>
          <w:b/>
        </w:rPr>
        <w:t xml:space="preserve">Таблица 3. </w:t>
      </w:r>
      <w:bookmarkStart w:id="43" w:name="_Hlk50465284"/>
      <w:r>
        <w:rPr>
          <w:b/>
        </w:rPr>
        <w:t xml:space="preserve">Требования по срокам </w:t>
      </w:r>
      <w:bookmarkEnd w:id="40"/>
      <w:bookmarkEnd w:id="41"/>
      <w:bookmarkEnd w:id="43"/>
      <w:r>
        <w:rPr>
          <w:b/>
        </w:rPr>
        <w:t>выполнения работ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3"/>
        <w:gridCol w:w="2984"/>
        <w:gridCol w:w="2977"/>
        <w:gridCol w:w="3116"/>
      </w:tblGrid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работ/ этапа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4" w:name="_Toc46743510"/>
            <w:r>
              <w:rPr>
                <w:b/>
                <w:sz w:val="24"/>
                <w:szCs w:val="24"/>
              </w:rPr>
              <w:t>4</w:t>
            </w:r>
            <w:bookmarkEnd w:id="44"/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113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i/>
                <w:szCs w:val="24"/>
              </w:rPr>
              <w:t>Отопление, вентиляция и кондиционирование воздуха, тепловые сети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color w:val="000000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21.07.2026 г.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113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Сети связи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color w:val="000000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21.07.2026 г.</w:t>
            </w:r>
          </w:p>
        </w:tc>
      </w:tr>
    </w:tbl>
    <w:p>
      <w:pPr>
        <w:sectPr>
          <w:headerReference w:type="default" r:id="rId20"/>
          <w:headerReference w:type="first" r:id="rId21"/>
          <w:type w:val="nextPage"/>
          <w:pgSz w:w="11906" w:h="16838"/>
          <w:pgMar w:left="1134" w:right="707" w:header="680" w:top="1134" w:footer="0" w:bottom="1135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35"/>
        </w:numPr>
        <w:ind w:left="432" w:firstLine="567"/>
        <w:rPr/>
      </w:pPr>
      <w:bookmarkStart w:id="45" w:name="__RefHeading___Toc2740_857294569"/>
      <w:bookmarkStart w:id="46" w:name="_Toc204275074"/>
      <w:bookmarkEnd w:id="45"/>
      <w:r>
        <w:rPr/>
        <w:t xml:space="preserve">Требования к </w:t>
      </w:r>
      <w:r>
        <w:rPr>
          <w:lang w:val="ru-RU"/>
        </w:rPr>
        <w:t>качеству работ</w:t>
      </w:r>
      <w:bookmarkEnd w:id="46"/>
    </w:p>
    <w:p>
      <w:pPr>
        <w:pStyle w:val="Normal"/>
        <w:rPr>
          <w:b/>
          <w:b/>
        </w:rPr>
      </w:pPr>
      <w:bookmarkStart w:id="47" w:name="_Toc51339698"/>
      <w:r>
        <w:rPr>
          <w:b/>
        </w:rPr>
        <w:t xml:space="preserve">Таблица 4. Требования к </w:t>
      </w:r>
      <w:bookmarkEnd w:id="47"/>
      <w:r>
        <w:rPr>
          <w:b/>
        </w:rPr>
        <w:t xml:space="preserve">качеству работ </w:t>
      </w:r>
    </w:p>
    <w:p>
      <w:pPr>
        <w:pStyle w:val="Normal"/>
        <w:widowControl w:val="false"/>
        <w:snapToGrid w:val="false"/>
        <w:spacing w:before="0" w:after="120"/>
        <w:ind w:firstLine="567"/>
        <w:rPr>
          <w:rStyle w:val="Style16"/>
          <w:b w:val="false"/>
          <w:b w:val="false"/>
          <w:iCs/>
          <w:szCs w:val="24"/>
        </w:rPr>
      </w:pPr>
      <w:r>
        <w:rPr>
          <w:b/>
          <w:bCs/>
          <w:szCs w:val="24"/>
        </w:rPr>
        <w:t xml:space="preserve">Наименование работ: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азработка специализированных разделов рабочей документации (СС, ОвиК, ВК) по объекту: «Реконструкция золошлакоотвала «Зеленая балка», оборотной системы водоснабжения и системы гидрозолоудаления СП Партизанская ГРЭС</w:t>
      </w:r>
      <w:r>
        <w:rPr>
          <w:b/>
          <w:bCs/>
          <w:szCs w:val="24"/>
        </w:rPr>
        <w:t>.</w:t>
      </w:r>
    </w:p>
    <w:tbl>
      <w:tblPr>
        <w:tblStyle w:val="affff6"/>
        <w:tblW w:w="10033" w:type="dxa"/>
        <w:jc w:val="left"/>
        <w:tblInd w:w="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0"/>
        <w:gridCol w:w="2717"/>
        <w:gridCol w:w="6366"/>
      </w:tblGrid>
      <w:tr>
        <w:trPr/>
        <w:tc>
          <w:tcPr>
            <w:tcW w:w="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3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Генподрядчика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3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5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Отопление, вентиляция и кондиционирование воздуха, тепловые сети</w:t>
            </w:r>
          </w:p>
        </w:tc>
        <w:tc>
          <w:tcPr>
            <w:tcW w:w="6366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Всё электротехническое оборудование должно иметь возможность интеграции в верхний уровень автоматизированной системы управления технологическими процессами Партизанской ГРЭС с возможностью. удалённого управления;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Всё электротехническое оборудование должно иметь возможность удалённого управления с ЦПУ Партизанской ГРЭС;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Для всего электротехнического оборудования должна быть предусмотрена возможность реализации системы мониторинга состояния оборудования по двум каналам (основной и резервный);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В рамках комплектов рабочей документации Исполнитель разрабатывает и прикладывает технические требования/опросные листы на проектируемое оборудование.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5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Сети связи</w:t>
            </w:r>
          </w:p>
        </w:tc>
        <w:tc>
          <w:tcPr>
            <w:tcW w:w="6366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Всё электротехническое оборудование должно иметь возможность интеграции в верхний уровень автоматизированной системы управления технологическими процессами Партизанской ГРЭС с возможностью. удалённого управления;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Всё электротехническое оборудование должно иметь возможность удалённого управления с ЦПУ Партизанской ГРЭС;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Для всего электротехнического оборудования должна быть предусмотрена возможность реализации системы мониторинга состояния оборудования по двум каналам (основной и резервный);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x-none" w:bidi="ar-SA"/>
              </w:rPr>
              <w:t>В рамках комплектов рабочей документации Исполнитель разрабатывает и прикладывает технические требования/опросные листы на проектируемое оборудование.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разрабатываемым комплектам рабочей документации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Отопление, вентиляция и кондиционирование воздуха, тепловые сети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Постановление Правительства Российской Федерации №87 от 16.02.2008 г. «О составе разделов рабочей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Отчётную документацию оформить в соответствии 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ГОСТ Р 21.101-2020 ОСНОВНЫЕ ТРЕБОВАНИЯ К РАБОЧЕЙ И РАБОЧЕЙ ДОКУМЕНТАЦИИ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Сети святи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Постановление Правительства Российской Федерации №87 от 16.02.2008 г. «О составе разделов рабочей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Отчётную документацию оформить в соответствии 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ГОСТ Р 21.101-2020 ОСНОВНЫЕ ТРЕБОВАНИЯ К РАБОЧЕЙ И РАБОЧЕЙ ДОКУМЕНТАЦИИ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9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контроля качества при разработке разделов рабочей документации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Нормоконтроль осуществлять в соответствии с ГОСТ Р 21.1002-2008 НОРМОКОНТРОЛЬ РАБОЧЕЙ И РАБОЧЕЙ ДОКУМЕНТАЦИИ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субподрядчика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36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2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Отопление, вентиляция и кондиционирование воздуха, тепловые сети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и оглавление раздела ПД должен соответствовать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Постановлению Правительства Российской Федерации №87 от 16.02.2008 г. «О составе разделов рабочей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разделов ПД должно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ГОСТ Р 21.101-2020 ОСНОВНЫЕ ТРЕБОВАНИЯ К РАБОЧЕЙ И РАБОЧЕЙ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представления - на бумажном носителе в 4 экз. и на электронном носителе (CD) в 2 экз. (формат pdf) с учетом требований Приказа Минстроя от 21 ноября 2014 г. N 728/пр.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Представить также исходные форматы материалов: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графический материал –dwg;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текстовый материал – doc, xls.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Сети святи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и оглавление раздела ПД должен соответствовать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Постановлению Правительства Российской Федерации №87 от 16.02.2008 г. «О составе разделов рабочей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разделов ПД должно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ГОСТ Р 21.101-2020 ОСНОВНЫЕ ТРЕБОВАНИЯ К РАБОЧЕЙ И РАБОЧЕЙ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представления - на бумажном носителе в 4 экз. и на электронном носителе (CD) в 2 экз. (формат pdf) с учетом требований Приказа Минстроя от 21 ноября 2014 г. N 728/пр.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приемки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документации</w:t>
            </w:r>
          </w:p>
        </w:tc>
        <w:tc>
          <w:tcPr>
            <w:tcW w:w="63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u w:val="single"/>
                <w:lang w:val="ru-RU" w:eastAsia="ru-RU" w:bidi="ar-SA"/>
              </w:rPr>
              <w:t>ГОСТ Р 21.101-2020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Система рабочей документации для строительства. Основные требования к рабочей и рабочей документации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Субподрядчика документации, определяемой видами работ (помимо указанных в других разделах ТТ)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" w:leader="none"/>
              </w:tabs>
              <w:suppressAutoHyphens w:val="true"/>
              <w:spacing w:before="0" w:after="0"/>
              <w:jc w:val="left"/>
              <w:rPr>
                <w:bCs/>
                <w:color w:val="4472C4" w:themeColor="accent1"/>
                <w:sz w:val="24"/>
                <w:szCs w:val="24"/>
              </w:rPr>
            </w:pPr>
            <w:r>
              <w:rPr>
                <w:bCs/>
                <w:color w:val="4472C4" w:themeColor="accent1"/>
                <w:sz w:val="20"/>
                <w:szCs w:val="24"/>
              </w:rPr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Субподрядчика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 гарантии подрядчика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Экспертиза рабочей документации</w:t>
            </w:r>
          </w:p>
        </w:tc>
        <w:tc>
          <w:tcPr>
            <w:tcW w:w="6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Субподрядчик в рамках договорных обязательств выполняет сопровождение при прохождении государственной экспертизы рабочей документации до получения положительного заключения.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before="60" w:after="60"/>
              <w:ind w:left="57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63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</w:r>
          </w:p>
        </w:tc>
      </w:tr>
    </w:tbl>
    <w:p>
      <w:pPr>
        <w:pStyle w:val="1"/>
        <w:pageBreakBefore w:val="false"/>
        <w:numPr>
          <w:ilvl w:val="0"/>
          <w:numId w:val="0"/>
        </w:numPr>
        <w:spacing w:before="120" w:after="120"/>
        <w:ind w:left="5464" w:hanging="0"/>
        <w:rPr/>
      </w:pPr>
      <w:r>
        <w:rPr/>
      </w:r>
    </w:p>
    <w:sectPr>
      <w:headerReference w:type="default" r:id="rId22"/>
      <w:headerReference w:type="first" r:id="rId23"/>
      <w:type w:val="nextPage"/>
      <w:pgSz w:w="11906" w:h="16838"/>
      <w:pgMar w:left="993" w:right="707" w:header="680" w:top="850" w:footer="0" w:bottom="851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mbria Math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2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pacing w:val="0"/>
        <w:i w:val="false"/>
        <w:u w:val="none"/>
        <w:b w:val="false"/>
        <w:iCs w:val="false"/>
        <w:bCs w:val="false"/>
        <w:color w:val="000000"/>
        <w:lang w:val="ru-RU" w:eastAsia="ru-RU" w:bidi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§"/>
      <w:lvlJc w:val="left"/>
      <w:pPr>
        <w:tabs>
          <w:tab w:val="num" w:pos="0"/>
        </w:tabs>
        <w:ind w:left="70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§"/>
      <w:lvlJc w:val="left"/>
      <w:pPr>
        <w:tabs>
          <w:tab w:val="num" w:pos="0"/>
        </w:tabs>
        <w:ind w:left="70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6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7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8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9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0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1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2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3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4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35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382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1">
    <w:name w:val="Heading 1"/>
    <w:basedOn w:val="3"/>
    <w:next w:val="Normal"/>
    <w:qFormat/>
    <w:rsid w:val="00ce66cb"/>
    <w:pPr>
      <w:numPr>
        <w:ilvl w:val="0"/>
        <w:numId w:val="1"/>
      </w:numPr>
      <w:ind w:left="0" w:hanging="0"/>
      <w:jc w:val="center"/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1"/>
    <w:qFormat/>
    <w:rsid w:val="00ea61a8"/>
    <w:pPr>
      <w:numPr>
        <w:ilvl w:val="1"/>
        <w:numId w:val="1"/>
      </w:numPr>
      <w:outlineLvl w:val="1"/>
    </w:pPr>
    <w:rPr/>
  </w:style>
  <w:style w:type="paragraph" w:styleId="3">
    <w:name w:val="Heading 3"/>
    <w:basedOn w:val="Normal"/>
    <w:next w:val="Normal"/>
    <w:link w:val="3"/>
    <w:autoRedefine/>
    <w:qFormat/>
    <w:rsid w:val="0027324c"/>
    <w:pPr>
      <w:widowControl w:val="false"/>
      <w:numPr>
        <w:ilvl w:val="2"/>
        <w:numId w:val="1"/>
      </w:numPr>
      <w:spacing w:before="120" w:after="120"/>
      <w:outlineLvl w:val="2"/>
    </w:pPr>
    <w:rPr>
      <w:rFonts w:eastAsia="Calibri"/>
      <w:b/>
      <w:szCs w:val="24"/>
      <w:lang w:val="x-none" w:eastAsia="x-none"/>
    </w:rPr>
  </w:style>
  <w:style w:type="paragraph" w:styleId="4">
    <w:name w:val="Heading 4"/>
    <w:basedOn w:val="3"/>
    <w:next w:val="Normal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uiPriority w:val="99"/>
    <w:qFormat/>
    <w:rsid w:val="00d561d9"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ce66cb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27324c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3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qFormat/>
    <w:locked/>
    <w:rsid w:val="00d22f6d"/>
    <w:rPr>
      <w:sz w:val="28"/>
    </w:rPr>
  </w:style>
  <w:style w:type="character" w:styleId="Style13" w:customStyle="1">
    <w:name w:val="Текст сноски Знак"/>
    <w:uiPriority w:val="99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b/>
      <w:i/>
      <w:shd w:fill="FFFF99" w:val="clear"/>
    </w:rPr>
  </w:style>
  <w:style w:type="character" w:styleId="Style17" w:customStyle="1">
    <w:name w:val="Подподпункт Знак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semiHidden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 w:customStyle="1">
    <w:name w:val="Символ концевой сноски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qFormat/>
    <w:rsid w:val="00c36f30"/>
    <w:rPr>
      <w:sz w:val="16"/>
      <w:szCs w:val="16"/>
    </w:rPr>
  </w:style>
  <w:style w:type="character" w:styleId="ConsPlusNormal" w:customStyle="1">
    <w:name w:val="ConsPlusNormal Знак"/>
    <w:qFormat/>
    <w:rsid w:val="00ec3619"/>
    <w:rPr>
      <w:rFonts w:ascii="Arial" w:hAnsi="Arial" w:cs="Arial"/>
    </w:rPr>
  </w:style>
  <w:style w:type="character" w:styleId="Fontstyle01" w:customStyle="1">
    <w:name w:val="fontstyle01"/>
    <w:basedOn w:val="DefaultParagraphFont"/>
    <w:qFormat/>
    <w:rsid w:val="00fc526c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23">
    <w:name w:val="Посещённая гиперссылка"/>
    <w:basedOn w:val="DefaultParagraphFont"/>
    <w:semiHidden/>
    <w:unhideWhenUsed/>
    <w:rsid w:val="003a6ae2"/>
    <w:rPr>
      <w:color w:val="954F72" w:themeColor="followedHyperlink"/>
      <w:u w:val="single"/>
    </w:rPr>
  </w:style>
  <w:style w:type="character" w:styleId="Style24" w:customStyle="1">
    <w:name w:val="Ссылка указателя"/>
    <w:qFormat/>
    <w:rPr/>
  </w:style>
  <w:style w:type="paragraph" w:styleId="Style25" w:customStyle="1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</w:rPr>
  </w:style>
  <w:style w:type="paragraph" w:styleId="Style26">
    <w:name w:val="Body Text"/>
    <w:basedOn w:val="Normal"/>
    <w:rsid w:val="0076353a"/>
    <w:pPr>
      <w:spacing w:before="0" w:after="12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Indexheading1">
    <w:name w:val="index heading1"/>
    <w:basedOn w:val="Style25"/>
    <w:qFormat/>
    <w:pPr/>
    <w:rPr/>
  </w:style>
  <w:style w:type="paragraph" w:styleId="Style3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1" w:customStyle="1">
    <w:name w:val="Раздел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both"/>
    </w:pPr>
    <w:rPr/>
  </w:style>
  <w:style w:type="paragraph" w:styleId="Style33">
    <w:name w:val="Footnote Text"/>
    <w:basedOn w:val="Normal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4" w:customStyle="1">
    <w:name w:val="Колонтитул"/>
    <w:basedOn w:val="Normal"/>
    <w:qFormat/>
    <w:pPr/>
    <w:rPr/>
  </w:style>
  <w:style w:type="paragraph" w:styleId="Style35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Cs w:val="24"/>
    </w:rPr>
  </w:style>
  <w:style w:type="paragraph" w:styleId="Style36">
    <w:name w:val="Body Text Indent"/>
    <w:basedOn w:val="Normal"/>
    <w:rsid w:val="0076353a"/>
    <w:pPr>
      <w:ind w:left="360" w:hanging="0"/>
    </w:pPr>
    <w:rPr>
      <w:szCs w:val="24"/>
    </w:rPr>
  </w:style>
  <w:style w:type="paragraph" w:styleId="Style37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Cs w:val="20"/>
    </w:rPr>
  </w:style>
  <w:style w:type="paragraph" w:styleId="Style38" w:customStyle="1">
    <w:name w:val="Подпункт"/>
    <w:basedOn w:val="Normal"/>
    <w:link w:val="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9" w:customStyle="1">
    <w:name w:val="Раздел регламента"/>
    <w:basedOn w:val="Normal"/>
    <w:qFormat/>
    <w:rsid w:val="00e228fa"/>
    <w:pPr/>
    <w:rPr/>
  </w:style>
  <w:style w:type="paragraph" w:styleId="Style4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2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Cs w:val="24"/>
    </w:rPr>
  </w:style>
  <w:style w:type="paragraph" w:styleId="Quote">
    <w:name w:val="Quote"/>
    <w:basedOn w:val="Normal"/>
    <w:next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3">
    <w:name w:val="Index Heading"/>
    <w:basedOn w:val="Style25"/>
    <w:pPr/>
    <w:rPr/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numPr>
        <w:ilvl w:val="0"/>
        <w:numId w:val="0"/>
      </w:numPr>
      <w:spacing w:before="480" w:after="120"/>
      <w:ind w:left="0" w:hanging="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Cs w:val="24"/>
      <w:lang w:val="x-none" w:eastAsia="x-none"/>
    </w:rPr>
  </w:style>
  <w:style w:type="paragraph" w:styleId="Style4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0"/>
        <w:numId w:val="3"/>
      </w:numPr>
      <w:jc w:val="both"/>
    </w:pPr>
    <w:rPr>
      <w:rFonts w:ascii="Garamond" w:hAnsi="Garamond"/>
      <w:szCs w:val="20"/>
    </w:rPr>
  </w:style>
  <w:style w:type="paragraph" w:styleId="411" w:customStyle="1">
    <w:name w:val="Маркированный список 41"/>
    <w:basedOn w:val="Normal"/>
    <w:qFormat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Cs w:val="24"/>
      <w:lang w:val="x-none" w:eastAsia="x-none"/>
    </w:rPr>
  </w:style>
  <w:style w:type="paragraph" w:styleId="Style4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8" w:customStyle="1">
    <w:name w:val="Подподпункт"/>
    <w:basedOn w:val="Style3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9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0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2">
    <w:name w:val="Endnote Text"/>
    <w:basedOn w:val="Normal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5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Cs w:val="24"/>
    </w:rPr>
  </w:style>
  <w:style w:type="paragraph" w:styleId="111" w:customStyle="1">
    <w:name w:val="УРОВЕНЬ_1."/>
    <w:basedOn w:val="ListParagraph"/>
    <w:link w:val="11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2087949" TargetMode="External"/><Relationship Id="rId3" Type="http://schemas.openxmlformats.org/officeDocument/2006/relationships/hyperlink" Target="https://www.consultant.ru/document/cons_doc_LAW_51040/" TargetMode="External"/><Relationship Id="rId4" Type="http://schemas.openxmlformats.org/officeDocument/2006/relationships/hyperlink" Target="https://meganorm.ru/Data2/1/4293788/4293788797.pdf" TargetMode="External"/><Relationship Id="rId5" Type="http://schemas.openxmlformats.org/officeDocument/2006/relationships/hyperlink" Target="https://meganorm.ru/Data2/1/4294851/4294851474.htm" TargetMode="External"/><Relationship Id="rId6" Type="http://schemas.openxmlformats.org/officeDocument/2006/relationships/hyperlink" Target="https://docs.cntd.ru/document/901729631" TargetMode="External"/><Relationship Id="rId7" Type="http://schemas.openxmlformats.org/officeDocument/2006/relationships/hyperlink" Target="https://meganorm.ru/Data2/1/4293720/4293720404.htm" TargetMode="External"/><Relationship Id="rId8" Type="http://schemas.openxmlformats.org/officeDocument/2006/relationships/hyperlink" Target="https://files.stroyinf.ru/Data/769/76902.pdf" TargetMode="External"/><Relationship Id="rId9" Type="http://schemas.openxmlformats.org/officeDocument/2006/relationships/hyperlink" Target="https://files.stroyinf.ru/Data2/1/4293774/4293774399.pdf" TargetMode="External"/><Relationship Id="rId10" Type="http://schemas.openxmlformats.org/officeDocument/2006/relationships/hyperlink" Target="https://meganorm.ru/Data2/1/4293765/4293765641.pdf" TargetMode="External"/><Relationship Id="rId11" Type="http://schemas.openxmlformats.org/officeDocument/2006/relationships/hyperlink" Target="https://meganorm.ru/Data2/1/4293736/4293736459.pdf" TargetMode="External"/><Relationship Id="rId12" Type="http://schemas.openxmlformats.org/officeDocument/2006/relationships/hyperlink" Target="https://www.minstroyrf.gov.ru/upload/iblock/404/SP-60.pdf" TargetMode="External"/><Relationship Id="rId13" Type="http://schemas.openxmlformats.org/officeDocument/2006/relationships/hyperlink" Target="https://docs.cntd.ru/document/573500115" TargetMode="External"/><Relationship Id="rId14" Type="http://schemas.openxmlformats.org/officeDocument/2006/relationships/hyperlink" Target="https://docs.cntd.ru/document/902087949" TargetMode="External"/><Relationship Id="rId15" Type="http://schemas.openxmlformats.org/officeDocument/2006/relationships/hyperlink" Target="https://www.consultant.ru/document/cons_doc_LAW_51040/" TargetMode="External"/><Relationship Id="rId16" Type="http://schemas.openxmlformats.org/officeDocument/2006/relationships/hyperlink" Target="https://files.stroyinf.ru/Data/769/76902.pdf" TargetMode="External"/><Relationship Id="rId17" Type="http://schemas.openxmlformats.org/officeDocument/2006/relationships/hyperlink" Target="https://files.stroyinf.ru/Data2/1/4293774/4293774399.pdf" TargetMode="External"/><Relationship Id="rId18" Type="http://schemas.openxmlformats.org/officeDocument/2006/relationships/hyperlink" Target="https://meganorm.ru/Data2/1/4293765/4293765641.pdf" TargetMode="External"/><Relationship Id="rId19" Type="http://schemas.openxmlformats.org/officeDocument/2006/relationships/hyperlink" Target="https://www.minstroyrf.gov.ru/upload/iblock/b4f/SP-14.13330.2018-na-registr-Rosstandart_pages_deleted.pdf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header" Target="head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2954-DDC1-4462-80A5-A0ED5FE0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LibreOffice/7.1.8.1$Linux_X86_64 LibreOffice_project/10$Build-1</Application>
  <AppVersion>15.0000</AppVersion>
  <Pages>9</Pages>
  <Words>1800</Words>
  <Characters>13297</Characters>
  <CharactersWithSpaces>14784</CharactersWithSpaces>
  <Paragraphs>271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2026-05-07T09:47:00Z</dcterms:created>
  <dc:creator>Быстров Олег Геннадьевич</dc:creator>
  <dc:description/>
  <dc:language>ru-RU</dc:language>
  <cp:lastModifiedBy/>
  <cp:lastPrinted>2024-02-16T11:07:00Z</cp:lastPrinted>
  <dcterms:modified xsi:type="dcterms:W3CDTF">2026-05-14T17:15:20Z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