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Главный инженер ЦЭС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Филиал ПАО «Якутскэнерго»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_________________М.В. Варейкис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«____»___________________2026г.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276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keepNext w:val="true"/>
        <w:keepLines/>
        <w:spacing w:lineRule="auto" w:line="276"/>
        <w:jc w:val="center"/>
        <w:rPr>
          <w:rFonts w:eastAsia="Calibri"/>
          <w:b/>
          <w:iCs/>
        </w:rPr>
      </w:pPr>
      <w:r>
        <w:rPr>
          <w:rFonts w:eastAsia="Calibri"/>
          <w:b/>
          <w:iCs/>
        </w:rPr>
        <w:br/>
        <w:t>«ОКПД2 27.90.33.110 Поставка запасных частей к ПЭ-6 (Энерговагон) под ремонтную программу Центральных электрических сетей»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5"/>
              <w:vanish w:val="false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</w:rPr>
            <w:fldChar w:fldCharType="separate"/>
          </w:r>
          <w:hyperlink w:anchor="__RefHeading___Toc4530_3336717336">
            <w:r>
              <w:rPr>
                <w:webHidden/>
                <w:rStyle w:val="Style15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532_3336717336">
            <w:r>
              <w:rPr>
                <w:webHidden/>
                <w:rStyle w:val="Style15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534_3336717336">
            <w:r>
              <w:rPr>
                <w:webHidden/>
                <w:rStyle w:val="Style15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536_3336717336">
            <w:r>
              <w:rPr>
                <w:webHidden/>
                <w:rStyle w:val="Style15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538_3336717336">
            <w:r>
              <w:rPr>
                <w:webHidden/>
                <w:rStyle w:val="Style15"/>
                <w:vanish w:val="false"/>
              </w:rPr>
              <w:t xml:space="preserve">2. </w:t>
            </w:r>
            <w:r>
              <w:rPr>
                <w:rStyle w:val="Style15"/>
                <w:iCs/>
              </w:rPr>
              <w:t>Требования к продукции</w:t>
            </w:r>
            <w:r>
              <w:rPr>
                <w:rStyle w:val="Style15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540_3336717336">
            <w:r>
              <w:rPr>
                <w:webHidden/>
                <w:rStyle w:val="Style15"/>
                <w:vanish w:val="false"/>
              </w:rPr>
              <w:t>2.1. Требования к объёмам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4542_3336717336">
            <w:r>
              <w:rPr>
                <w:webHidden/>
                <w:rStyle w:val="Style15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544_3336717336">
            <w:r>
              <w:rPr>
                <w:webHidden/>
                <w:rStyle w:val="Style15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4546_3336717336">
            <w:r>
              <w:rPr>
                <w:webHidden/>
                <w:rStyle w:val="Style15"/>
                <w:vanish w:val="false"/>
              </w:rPr>
              <w:t>2.1.2. Требования к срокам поставки продукции и оказания сопутствующих услуг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548_3336717336">
            <w:r>
              <w:rPr>
                <w:webHidden/>
                <w:rStyle w:val="Style15"/>
                <w:vanish w:val="false"/>
              </w:rPr>
              <w:t>Таблица 2.1 Требования по срокам поставки продукции</w:t>
              <w:tab/>
              <w:t>6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550_3336717336">
            <w:r>
              <w:rPr>
                <w:webHidden/>
                <w:rStyle w:val="Style15"/>
                <w:vanish w:val="false"/>
              </w:rPr>
              <w:t>2.2. Требования к качеству продукции</w:t>
              <w:tab/>
              <w:t>7</w:t>
            </w:r>
          </w:hyperlink>
          <w:r>
            <w:rPr>
              <w:rStyle w:val="Style15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4530_3336717336"/>
      <w:bookmarkStart w:id="1" w:name="_Toc196483763"/>
      <w:bookmarkStart w:id="2" w:name="_Toc51339692"/>
      <w:bookmarkEnd w:id="0"/>
      <w:r>
        <w:rPr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1224" w:hanging="432"/>
        <w:rPr>
          <w:rStyle w:val="Style8"/>
          <w:b/>
          <w:i w:val="false"/>
          <w:i w:val="false"/>
          <w:shd w:fill="auto" w:val="clear"/>
        </w:rPr>
      </w:pPr>
      <w:bookmarkStart w:id="3" w:name="__RefHeading___Toc4532_3336717336"/>
      <w:bookmarkStart w:id="4" w:name="_Toc196483764"/>
      <w:bookmarkStart w:id="5" w:name="_Toc46743505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3"/>
        <w:gridCol w:w="8229"/>
      </w:tblGrid>
      <w:tr>
        <w:trPr>
          <w:cantSplit w:val="true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ЦЭС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Центральные электрические сети</w:t>
            </w:r>
          </w:p>
        </w:tc>
      </w:tr>
      <w:tr>
        <w:trPr>
          <w:cantSplit w:val="true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РФ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ПЭ-6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Дизель-генератор ПЭ-6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1224" w:hanging="432"/>
        <w:rPr/>
      </w:pPr>
      <w:bookmarkStart w:id="6" w:name="__RefHeading___Toc4534_3336717336"/>
      <w:bookmarkStart w:id="7" w:name="_Toc46743506"/>
      <w:bookmarkStart w:id="8" w:name="_Toc196483765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keepNext w:val="true"/>
        <w:keepLines/>
        <w:rPr>
          <w:rFonts w:eastAsia="Calibri"/>
          <w:bCs/>
          <w:i/>
          <w:i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Поставка запасных частей к дизель генератору</w:t>
      </w:r>
      <w:r>
        <w:rPr>
          <w:rFonts w:eastAsia="Calibri"/>
          <w:i/>
          <w:sz w:val="26"/>
          <w:szCs w:val="26"/>
        </w:rPr>
        <w:t xml:space="preserve"> ПЭ-6</w:t>
      </w:r>
      <w:r>
        <w:rPr>
          <w:rFonts w:eastAsia="Calibri"/>
          <w:bCs/>
          <w:i/>
          <w:sz w:val="26"/>
          <w:szCs w:val="26"/>
        </w:rPr>
        <w:t xml:space="preserve">» </w:t>
      </w:r>
      <w:r>
        <w:rPr>
          <w:bCs/>
          <w:i/>
        </w:rPr>
        <w:t xml:space="preserve"> </w:t>
      </w:r>
    </w:p>
    <w:p>
      <w:pPr>
        <w:pStyle w:val="Heading4"/>
        <w:numPr>
          <w:ilvl w:val="1"/>
          <w:numId w:val="3"/>
        </w:numPr>
        <w:ind w:left="1224" w:hanging="432"/>
        <w:rPr/>
      </w:pPr>
      <w:bookmarkStart w:id="9" w:name="__RefHeading___Toc4536_3336717336"/>
      <w:bookmarkStart w:id="10" w:name="_Toc196483766"/>
      <w:bookmarkStart w:id="11" w:name="_Toc46743507"/>
      <w:bookmarkEnd w:id="9"/>
      <w:r>
        <w:rPr/>
        <w:t xml:space="preserve">Цель </w:t>
      </w:r>
      <w:bookmarkEnd w:id="11"/>
      <w:r>
        <w:rPr/>
        <w:t>использования закупаемой продукции</w:t>
      </w:r>
      <w:bookmarkEnd w:id="10"/>
      <w:r>
        <w:rPr/>
        <w:t xml:space="preserve"> </w:t>
      </w:r>
    </w:p>
    <w:p>
      <w:pPr>
        <w:pStyle w:val="Normal"/>
        <w:jc w:val="both"/>
        <w:rPr>
          <w:rFonts w:eastAsia="Calibri"/>
          <w:i/>
          <w:i/>
          <w:sz w:val="24"/>
          <w:szCs w:val="24"/>
          <w:lang w:eastAsia="x-none"/>
        </w:rPr>
      </w:pPr>
      <w:bookmarkStart w:id="12" w:name="_Toc46743510"/>
      <w:bookmarkStart w:id="13" w:name="_Toc50125126"/>
      <w:bookmarkEnd w:id="13"/>
      <w:r>
        <w:rPr>
          <w:rFonts w:eastAsia="Calibri"/>
          <w:i/>
          <w:sz w:val="26"/>
          <w:szCs w:val="26"/>
        </w:rPr>
        <w:t xml:space="preserve">Запасные части ПЭ-6 </w:t>
      </w:r>
      <w:r>
        <w:rPr>
          <w:rFonts w:eastAsia="Calibri"/>
          <w:i/>
          <w:sz w:val="24"/>
          <w:szCs w:val="24"/>
          <w:lang w:eastAsia="x-none"/>
        </w:rPr>
        <w:t>закупаются для ремонтных и эксплуатационных работ с целью обеспечения надежности Центральных электрических сетей Республики Саха (Якутия)»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4" w:name="__RefHeading___Toc4538_3336717336"/>
      <w:bookmarkStart w:id="15" w:name="_Toc51339693"/>
      <w:bookmarkStart w:id="16" w:name="_Toc196483767"/>
      <w:bookmarkEnd w:id="14"/>
      <w:r>
        <w:rPr>
          <w:iCs/>
        </w:rPr>
        <w:t>Требования к продукции</w:t>
      </w:r>
      <w:bookmarkEnd w:id="15"/>
      <w:bookmarkEnd w:id="16"/>
    </w:p>
    <w:p>
      <w:pPr>
        <w:pStyle w:val="Heading4"/>
        <w:numPr>
          <w:ilvl w:val="1"/>
          <w:numId w:val="3"/>
        </w:numPr>
        <w:ind w:left="1224" w:hanging="432"/>
        <w:rPr/>
      </w:pPr>
      <w:bookmarkStart w:id="17" w:name="__RefHeading___Toc4540_3336717336"/>
      <w:bookmarkStart w:id="18" w:name="_Toc196483768"/>
      <w:bookmarkEnd w:id="17"/>
      <w:r>
        <w:rPr/>
        <w:t xml:space="preserve">Требования к объёмам и срокам </w:t>
      </w:r>
      <w:r>
        <w:rPr>
          <w:lang w:val="ru-RU"/>
        </w:rPr>
        <w:t>поставки</w:t>
      </w:r>
      <w:bookmarkEnd w:id="18"/>
    </w:p>
    <w:p>
      <w:pPr>
        <w:pStyle w:val="Heading3"/>
        <w:numPr>
          <w:ilvl w:val="2"/>
          <w:numId w:val="3"/>
        </w:numPr>
        <w:ind w:left="1224" w:hanging="504"/>
        <w:rPr/>
      </w:pPr>
      <w:bookmarkStart w:id="19" w:name="__RefHeading___Toc4542_3336717336"/>
      <w:bookmarkStart w:id="20" w:name="_Toc196483769"/>
      <w:bookmarkEnd w:id="19"/>
      <w:r>
        <w:rPr>
          <w:lang w:val="ru-RU"/>
        </w:rPr>
        <w:t>Перечень и объем закупаемой продукции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1" w:name="__RefHeading___Toc4544_3336717336"/>
      <w:bookmarkStart w:id="22" w:name="_Toc196483770"/>
      <w:bookmarkStart w:id="23" w:name="_Toc51339695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3"/>
      <w:r>
        <w:rPr>
          <w:sz w:val="24"/>
          <w:szCs w:val="24"/>
          <w:lang w:val="ru-RU"/>
        </w:rPr>
        <w:t>и объем закупаемой продукции</w:t>
      </w:r>
      <w:bookmarkEnd w:id="22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Style w:val="affff8"/>
        <w:tblpPr w:bottomFromText="0" w:horzAnchor="text" w:leftFromText="180" w:rightFromText="180" w:tblpX="0" w:tblpY="1" w:topFromText="0" w:vertAnchor="text"/>
        <w:tblW w:w="99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3400"/>
        <w:gridCol w:w="1419"/>
        <w:gridCol w:w="1132"/>
        <w:gridCol w:w="1279"/>
        <w:gridCol w:w="1840"/>
      </w:tblGrid>
      <w:tr>
        <w:trPr/>
        <w:tc>
          <w:tcPr>
            <w:tcW w:w="84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4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ОКПД2</w:t>
            </w:r>
          </w:p>
        </w:tc>
        <w:tc>
          <w:tcPr>
            <w:tcW w:w="18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Применение законодательства о национальном режиме</w:t>
            </w:r>
          </w:p>
        </w:tc>
      </w:tr>
      <w:tr>
        <w:trPr>
          <w:trHeight w:val="445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0" w:type="dxa"/>
            <w:tcBorders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Патрубок топливного бака ТЭМ2 дюрит Пензадизельмаш 100-270-0.8 ТУ38-105894-82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3,00</w:t>
            </w:r>
          </w:p>
        </w:tc>
        <w:tc>
          <w:tcPr>
            <w:tcW w:w="1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27.90.33.110</w:t>
            </w:r>
          </w:p>
        </w:tc>
        <w:tc>
          <w:tcPr>
            <w:tcW w:w="1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Установлен режим  преимущества закупки Российской продукции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0" w:type="dxa"/>
            <w:tcBorders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Редуктор распределительный М62.85.20.003 для дизель-генераторной установки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3,00</w:t>
            </w:r>
          </w:p>
        </w:tc>
        <w:tc>
          <w:tcPr>
            <w:tcW w:w="1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27.90.33.110</w:t>
            </w:r>
          </w:p>
        </w:tc>
        <w:tc>
          <w:tcPr>
            <w:tcW w:w="1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Установлен режим  преимущества закупки Российской продукции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0" w:type="dxa"/>
            <w:tcBorders/>
            <w:shd w:fill="FFFF00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Фильтр тонкой очистки масла 236-1117010-А4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4,00</w:t>
            </w:r>
          </w:p>
        </w:tc>
        <w:tc>
          <w:tcPr>
            <w:tcW w:w="1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27.90.33.110</w:t>
            </w:r>
          </w:p>
        </w:tc>
        <w:tc>
          <w:tcPr>
            <w:tcW w:w="1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Установлен режим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commentReference w:id="0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преимущества закупки Российской продукции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0" w:type="dxa"/>
            <w:tcBorders/>
            <w:shd w:fill="FFFF00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Фильтр грубой очистки топлива 840.1105010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14,00</w:t>
            </w:r>
          </w:p>
        </w:tc>
        <w:tc>
          <w:tcPr>
            <w:tcW w:w="12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27.90.33</w:t>
            </w:r>
            <w:bookmarkStart w:id="24" w:name="_GoBack"/>
            <w:bookmarkEnd w:id="2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.110</w:t>
            </w:r>
          </w:p>
        </w:tc>
        <w:tc>
          <w:tcPr>
            <w:tcW w:w="1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Установлен режим  преимущества закупки Российской продукции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1224" w:hanging="504"/>
        <w:rPr>
          <w:lang w:val="ru-RU"/>
        </w:rPr>
      </w:pPr>
      <w:bookmarkStart w:id="25" w:name="__RefHeading___Toc4546_3336717336"/>
      <w:bookmarkStart w:id="26" w:name="_Toc196483771"/>
      <w:bookmarkEnd w:id="25"/>
      <w:r>
        <w:rPr>
          <w:lang w:val="ru-RU"/>
        </w:rPr>
        <w:t>Требования к срокам поставки продукции и оказания сопутствующих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_RefHeading___Toc4548_3336717336"/>
      <w:bookmarkStart w:id="28" w:name="_Toc196483772"/>
      <w:bookmarkStart w:id="29" w:name="_Toc51339697"/>
      <w:bookmarkStart w:id="30" w:name="_Toc50125127"/>
      <w:bookmarkStart w:id="31" w:name="_Toc50125126_Копия_1"/>
      <w:bookmarkEnd w:id="27"/>
      <w:bookmarkEnd w:id="3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2" w:name="_Hlk50465284"/>
      <w:r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>
        <w:rPr>
          <w:sz w:val="24"/>
          <w:szCs w:val="24"/>
          <w:lang w:val="ru-RU"/>
        </w:rPr>
        <w:t>поставки продукции</w:t>
      </w:r>
      <w:bookmarkEnd w:id="28"/>
      <w:r>
        <w:rPr>
          <w:sz w:val="24"/>
          <w:szCs w:val="24"/>
          <w:lang w:val="ru-RU"/>
        </w:rPr>
        <w:t xml:space="preserve"> </w:t>
      </w:r>
      <w:bookmarkEnd w:id="12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4"/>
        <w:gridCol w:w="2694"/>
        <w:gridCol w:w="1418"/>
        <w:gridCol w:w="1703"/>
        <w:gridCol w:w="1841"/>
        <w:gridCol w:w="1700"/>
      </w:tblGrid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>
          <w:trHeight w:val="70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Позиции № 1-4 Таблицы 1 «Перечень и объем закупаемой продукции»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 позднее 60 дней с даты подписания договора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Календарный график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41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1224" w:hanging="432"/>
        <w:rPr>
          <w:lang w:val="ru-RU"/>
        </w:rPr>
      </w:pPr>
      <w:bookmarkStart w:id="33" w:name="__RefHeading___Toc4550_3336717336"/>
      <w:bookmarkStart w:id="34" w:name="_Toc51339698"/>
      <w:bookmarkStart w:id="35" w:name="_Toc196483773"/>
      <w:bookmarkStart w:id="36" w:name="_Toc75446581"/>
      <w:bookmarkStart w:id="37" w:name="_Toc46743511"/>
      <w:bookmarkEnd w:id="33"/>
      <w:r>
        <w:rPr/>
        <w:t xml:space="preserve">Требования к </w:t>
      </w:r>
      <w:bookmarkEnd w:id="37"/>
      <w:r>
        <w:rPr>
          <w:lang w:val="ru-RU"/>
        </w:rPr>
        <w:t>качеству продукции</w:t>
      </w:r>
      <w:bookmarkEnd w:id="34"/>
      <w:bookmarkEnd w:id="35"/>
      <w:bookmarkEnd w:id="36"/>
    </w:p>
    <w:p>
      <w:pPr>
        <w:pStyle w:val="Normal"/>
        <w:keepNext w:val="true"/>
        <w:spacing w:before="0" w:after="1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 xml:space="preserve">Требования к продукции </w:t>
      </w:r>
    </w:p>
    <w:p>
      <w:pPr>
        <w:pStyle w:val="Normal"/>
        <w:spacing w:before="0" w:after="0"/>
        <w:contextualSpacing/>
        <w:jc w:val="both"/>
        <w:rPr>
          <w:b/>
          <w:bCs/>
          <w:i/>
          <w:i/>
          <w:iCs/>
          <w:sz w:val="24"/>
          <w:szCs w:val="24"/>
          <w:shd w:fill="FFFFFF" w:val="clear"/>
        </w:rPr>
      </w:pPr>
      <w:r>
        <w:rPr>
          <w:b/>
          <w:bCs/>
          <w:i/>
          <w:iCs/>
          <w:sz w:val="24"/>
          <w:szCs w:val="24"/>
        </w:rPr>
        <w:t>Наименование продукции (</w:t>
      </w:r>
      <w:r>
        <w:rPr>
          <w:b/>
          <w:bCs/>
          <w:i/>
          <w:iCs/>
          <w:sz w:val="24"/>
          <w:szCs w:val="24"/>
          <w:shd w:fill="FFFFFF" w:val="clear"/>
        </w:rPr>
        <w:t xml:space="preserve">позиция № 1-4 Таблицы 1 «Перечень и объем закупаемой продукции»): </w:t>
      </w:r>
    </w:p>
    <w:tbl>
      <w:tblPr>
        <w:tblStyle w:val="3a"/>
        <w:tblW w:w="153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7"/>
        <w:gridCol w:w="2237"/>
        <w:gridCol w:w="5208"/>
        <w:gridCol w:w="10"/>
        <w:gridCol w:w="2225"/>
        <w:gridCol w:w="9"/>
        <w:gridCol w:w="2438"/>
        <w:gridCol w:w="11"/>
        <w:gridCol w:w="2158"/>
        <w:gridCol w:w="236"/>
      </w:tblGrid>
      <w:tr>
        <w:trPr/>
        <w:tc>
          <w:tcPr>
            <w:tcW w:w="8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2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2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46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2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52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hanging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4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характеристикам* (включая гарантируемые показатели)</w:t>
            </w:r>
          </w:p>
        </w:tc>
        <w:tc>
          <w:tcPr>
            <w:tcW w:w="22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745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№ 1-4 продукции представлены в Приложении № 1 к настоящим Техническим требованиям</w:t>
            </w:r>
          </w:p>
        </w:tc>
        <w:tc>
          <w:tcPr>
            <w:tcW w:w="22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2.</w:t>
            </w:r>
          </w:p>
        </w:tc>
        <w:tc>
          <w:tcPr>
            <w:tcW w:w="74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2.1.</w:t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 xml:space="preserve">Место поставки </w:t>
            </w:r>
          </w:p>
        </w:tc>
        <w:tc>
          <w:tcPr>
            <w:tcW w:w="52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Запасные части должны быть доставлены Поставщиком по адресу: филиал Центральные электрические сети ПАО «Якутскэнерго», 677021, Республика Саха (Якутия), г. Якутск, проспект Михаила Николаева, д. 26.;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2.2.</w:t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Требования к упаковке </w:t>
            </w:r>
          </w:p>
        </w:tc>
        <w:tc>
          <w:tcPr>
            <w:tcW w:w="52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Запасные части поставляются в специальной упаковке, соответствующей стандартам, ТУ, обязательным правилам и требованиям для тары и упаковки. Упаковка должна обеспечивать полную сохранность запчастей на весь срок его транспортировки с учетом перегрузок и длительного хранения.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</w:tc>
        <w:tc>
          <w:tcPr>
            <w:tcW w:w="74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3.1.</w:t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 xml:space="preserve">Срок гарантии                          к позициям </w:t>
            </w:r>
            <w:r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1-4 </w:t>
            </w: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Таблицы 1 Перечня и объемов закупаемой продукции</w:t>
            </w:r>
          </w:p>
        </w:tc>
        <w:tc>
          <w:tcPr>
            <w:tcW w:w="52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Срок гарантии продукции должен составлять не менее 24 месяцев с момента поставки  запасных частей на склад.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4.</w:t>
            </w:r>
          </w:p>
        </w:tc>
        <w:tc>
          <w:tcPr>
            <w:tcW w:w="7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4.1.</w:t>
            </w:r>
          </w:p>
        </w:tc>
        <w:tc>
          <w:tcPr>
            <w:tcW w:w="7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Поставщик гарантирует обязательное предоставление паспорта качества на все виды запчастей.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5.</w:t>
            </w:r>
          </w:p>
        </w:tc>
        <w:tc>
          <w:tcPr>
            <w:tcW w:w="7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Продукция должна быть новой (срок изготовления не ранее 4 квартала 2026 г.), ранее неиспользованной.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spacing w:before="0" w:after="1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2.3.</w:t>
        <w:tab/>
        <w:t>Требования к качеству продукции</w:t>
      </w:r>
    </w:p>
    <w:p>
      <w:pPr>
        <w:pStyle w:val="Normal"/>
        <w:spacing w:before="0" w:after="120"/>
        <w:ind w:right="397" w:hanging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Таблица 4. Требования к продукции </w:t>
      </w:r>
    </w:p>
    <w:p>
      <w:pPr>
        <w:pStyle w:val="Normal"/>
        <w:spacing w:before="0" w:after="120"/>
        <w:ind w:right="397" w:hanging="0"/>
        <w:jc w:val="both"/>
        <w:rPr>
          <w:i/>
          <w:i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Наименование продукции (позиция №1-4 Таблицы 1 «Перечень и объем закупаемой продукции»):</w:t>
      </w:r>
    </w:p>
    <w:tbl>
      <w:tblPr>
        <w:tblStyle w:val="1c"/>
        <w:tblW w:w="150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"/>
        <w:gridCol w:w="1984"/>
        <w:gridCol w:w="2836"/>
        <w:gridCol w:w="3967"/>
        <w:gridCol w:w="1696"/>
        <w:gridCol w:w="6"/>
        <w:gridCol w:w="1275"/>
        <w:gridCol w:w="2268"/>
      </w:tblGrid>
      <w:tr>
        <w:trPr>
          <w:trHeight w:val="726" w:hRule="atLeast"/>
        </w:trPr>
        <w:tc>
          <w:tcPr>
            <w:tcW w:w="9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28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0"/>
                <w:szCs w:val="20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9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Требование заказчика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0"/>
                <w:szCs w:val="20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54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726" w:hRule="atLeast"/>
        </w:trPr>
        <w:tc>
          <w:tcPr>
            <w:tcW w:w="9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8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39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0"/>
                <w:szCs w:val="20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23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9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720" w:hanging="698"/>
              <w:contextualSpacing/>
              <w:jc w:val="center"/>
              <w:rPr>
                <w:rFonts w:eastAsia="Calibri" w:eastAsiaTheme="minorHAnsi"/>
                <w:i/>
                <w:i/>
                <w:sz w:val="20"/>
                <w:szCs w:val="20"/>
              </w:rPr>
            </w:pPr>
            <w:r>
              <w:rPr>
                <w:rFonts w:eastAsia="Calibri" w:cs="Arial" w:eastAsiaTheme="minorHAnsi" w:ascii="Calibri" w:hAnsi="Calibri"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4"/>
                <w:lang w:val="ru-RU" w:eastAsia="en-US" w:bidi="ar-SA"/>
              </w:rPr>
              <w:t>Патрубок топливного бака ТЭМ2 дюрит Пензадизельмаш 100-270-0.8 ТУ38-105894-82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967" w:type="dxa"/>
            <w:tcBorders/>
            <w:shd w:color="auto" w:fill="auto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4"/>
                <w:lang w:val="ru-RU" w:eastAsia="en-US" w:bidi="ar-SA"/>
              </w:rPr>
              <w:t>Патрубок топливного бака ТЭМ2 дюрит Пензадизельмаш 100-270-0.8 ТУ38-105894-82 для дизель-генераторной установки ПЭ-6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178" w:hanging="178"/>
              <w:contextualSpacing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720" w:hanging="698"/>
              <w:contextualSpacing/>
              <w:jc w:val="center"/>
              <w:rPr>
                <w:rFonts w:eastAsia="Calibri" w:eastAsiaTheme="minorHAnsi"/>
                <w:i/>
                <w:i/>
                <w:sz w:val="20"/>
                <w:szCs w:val="20"/>
              </w:rPr>
            </w:pPr>
            <w:r>
              <w:rPr>
                <w:rFonts w:eastAsia="Calibri" w:cs="Arial" w:eastAsiaTheme="minorHAnsi" w:ascii="Calibri" w:hAnsi="Calibri"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4"/>
                <w:lang w:val="ru-RU" w:eastAsia="en-US" w:bidi="ar-SA"/>
              </w:rPr>
              <w:t>Редуктор распределительный М62.85.20.003 для дизель-генераторной установки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967" w:type="dxa"/>
            <w:tcBorders/>
            <w:shd w:color="auto" w:fill="auto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4"/>
                <w:lang w:val="ru-RU" w:eastAsia="en-US" w:bidi="ar-SA"/>
              </w:rPr>
              <w:t>Редуктор распределительный М62.85.20.003 для дизель-генераторной установки ПЭ-6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178" w:hanging="178"/>
              <w:contextualSpacing/>
              <w:jc w:val="center"/>
              <w:rPr>
                <w:rFonts w:eastAsia="Calibri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720" w:hanging="698"/>
              <w:contextualSpacing/>
              <w:jc w:val="center"/>
              <w:rPr>
                <w:rFonts w:eastAsia="Calibri" w:eastAsiaTheme="minorHAnsi"/>
                <w:i/>
                <w:i/>
                <w:sz w:val="20"/>
                <w:szCs w:val="20"/>
              </w:rPr>
            </w:pPr>
            <w:r>
              <w:rPr>
                <w:rFonts w:eastAsia="Calibri" w:cs="Arial" w:eastAsiaTheme="minorHAnsi" w:ascii="Calibri" w:hAnsi="Calibri"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4"/>
                <w:lang w:val="ru-RU" w:eastAsia="en-US" w:bidi="ar-SA"/>
              </w:rPr>
              <w:t>Фильтр тонкой очистки масла 236-1117010-А4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967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4"/>
                <w:lang w:val="ru-RU" w:eastAsia="en-US" w:bidi="ar-SA"/>
              </w:rPr>
              <w:t>Фильтр тонкой очистки масла 236-1117010-А4 для двигателя ЯМЗ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720" w:hanging="556"/>
              <w:contextualSpacing/>
              <w:jc w:val="left"/>
              <w:rPr>
                <w:rFonts w:eastAsia="Calibri" w:eastAsiaTheme="minorHAnsi"/>
                <w:i/>
                <w:i/>
                <w:sz w:val="20"/>
                <w:szCs w:val="20"/>
              </w:rPr>
            </w:pPr>
            <w:r>
              <w:rPr>
                <w:rFonts w:eastAsia="Calibri" w:cs="Arial" w:eastAsiaTheme="minorHAnsi" w:ascii="Calibri" w:hAnsi="Calibri"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4"/>
                <w:lang w:val="ru-RU" w:eastAsia="en-US" w:bidi="ar-SA"/>
              </w:rPr>
              <w:t>Фильтр грубой очистки топлива 840.1105010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967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4"/>
                <w:lang w:val="ru-RU" w:eastAsia="en-US" w:bidi="ar-SA"/>
              </w:rPr>
              <w:t>Фильтр грубой очистки топлива 840.1105010 для двигателя ЯМЗ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0" w:hanging="0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Calibri" w:cs="Arial" w:ascii="Calibri" w:hAnsi="Calibri"/>
                <w:i/>
                <w:kern w:val="0"/>
                <w:sz w:val="20"/>
                <w:szCs w:val="20"/>
                <w:lang w:val="en-US" w:eastAsia="en-US" w:bidi="ar-SA"/>
              </w:rPr>
              <w:t>2.3.3.</w:t>
            </w:r>
          </w:p>
        </w:tc>
        <w:tc>
          <w:tcPr>
            <w:tcW w:w="878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Позиции № 1-4 Таблицы 1 «Перечень и объем закупаемой продукции»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Требования к документам, передаваемым вместе с оборудованием (на этапе исполнения договора)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0" w:hanging="0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Calibri" w:cs="Arial" w:ascii="Calibri" w:hAnsi="Calibri"/>
                <w:i/>
                <w:kern w:val="0"/>
                <w:sz w:val="20"/>
                <w:szCs w:val="20"/>
                <w:lang w:val="en-US" w:eastAsia="en-US" w:bidi="ar-SA"/>
              </w:rPr>
              <w:t>2.3.3.1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Arial" w:ascii="Calibri" w:hAnsi="Calibri"/>
                <w:bCs/>
                <w:kern w:val="0"/>
                <w:sz w:val="20"/>
                <w:szCs w:val="20"/>
                <w:lang w:val="ru-RU" w:eastAsia="en-US" w:bidi="ar-SA"/>
              </w:rPr>
              <w:t>Позиции № 1-4 Таблицы 1 «Перечень и объем закупаемой продукции»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bCs/>
                <w:kern w:val="0"/>
                <w:sz w:val="20"/>
                <w:szCs w:val="20"/>
                <w:lang w:val="ru-RU" w:eastAsia="en-US" w:bidi="ar-SA"/>
              </w:rPr>
              <w:t>Требования к документам, подтверждающим технические характеристики</w:t>
            </w:r>
          </w:p>
        </w:tc>
        <w:tc>
          <w:tcPr>
            <w:tcW w:w="39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bCs/>
                <w:kern w:val="0"/>
                <w:sz w:val="20"/>
                <w:szCs w:val="20"/>
                <w:lang w:val="ru-RU" w:eastAsia="en-US" w:bidi="ar-SA"/>
              </w:rPr>
              <w:t xml:space="preserve">Продукция должна иметь документы, подтверждающие соответствие ТУ и ГОСТ: сертификаты на продукцию (паспорта качества, декларация соответствия или другие документы, подтверждающие соответствие продукции) на русском языке, либо информационное письмо о том, что продукция, указанная в договоре, не подлежит обязательной сертификации.  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iCs/>
                <w:kern w:val="0"/>
                <w:sz w:val="20"/>
                <w:szCs w:val="20"/>
                <w:lang w:val="ru-RU" w:eastAsia="en-US" w:bidi="ar-SA"/>
              </w:rPr>
              <w:t>Согласие с требованием /  Информационное письмо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0" w:hanging="0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rFonts w:eastAsia="Calibri" w:cs="Arial" w:ascii="Calibri" w:hAnsi="Calibri"/>
                <w:i/>
                <w:kern w:val="0"/>
                <w:sz w:val="20"/>
                <w:szCs w:val="20"/>
                <w:lang w:val="en-US" w:eastAsia="en-US" w:bidi="ar-SA"/>
              </w:rPr>
              <w:t>2.3.4</w:t>
            </w:r>
          </w:p>
        </w:tc>
        <w:tc>
          <w:tcPr>
            <w:tcW w:w="878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0"/>
                <w:szCs w:val="20"/>
                <w:lang w:val="ru-RU" w:eastAsia="en-US" w:bidi="ar-SA"/>
              </w:rPr>
              <w:t>Требования, касающиеся предложений о поставке эквивалентной продукции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2.3.4.1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bCs/>
                <w:kern w:val="0"/>
                <w:sz w:val="20"/>
                <w:szCs w:val="20"/>
                <w:lang w:val="ru-RU" w:eastAsia="en-US" w:bidi="ar-SA"/>
              </w:rPr>
              <w:t>Позиции № 1-4 Таблицы 1 «Перечень и объем закупаемой продукции»</w:t>
            </w:r>
          </w:p>
        </w:tc>
        <w:tc>
          <w:tcPr>
            <w:tcW w:w="28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 w:cs="Arial" w:ascii="Calibri" w:hAnsi="Calibri"/>
                <w:bCs/>
                <w:kern w:val="0"/>
                <w:sz w:val="20"/>
                <w:szCs w:val="20"/>
                <w:lang w:val="ru-RU" w:eastAsia="en-US" w:bidi="ar-SA"/>
              </w:rPr>
              <w:t>Эквивалентная продукция</w:t>
            </w:r>
          </w:p>
        </w:tc>
        <w:tc>
          <w:tcPr>
            <w:tcW w:w="39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bCs/>
                <w:iCs/>
                <w:kern w:val="0"/>
                <w:sz w:val="20"/>
                <w:szCs w:val="20"/>
                <w:lang w:val="ru-RU" w:eastAsia="en-US" w:bidi="ar-SA"/>
              </w:rPr>
              <w:t xml:space="preserve">Участник должен принять во внимание, что ссылки на ТУ, артикулы, марки, модели продукции, указанной в настоящих Технических требованиях, носят описательный, а не обязательный характер.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Arial" w:ascii="Calibri" w:hAnsi="Calibri"/>
                <w:bCs/>
                <w:iCs/>
                <w:kern w:val="0"/>
                <w:sz w:val="20"/>
                <w:szCs w:val="20"/>
                <w:lang w:val="ru-RU" w:eastAsia="en-US" w:bidi="ar-SA"/>
              </w:rPr>
              <w:t xml:space="preserve">В случае, если Участником предлагается эквивалентная продукция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требований в настоящем Техническом требовании, обозначенных как «параметры эквивалентности». </w:t>
            </w:r>
            <w:r>
              <w:rPr>
                <w:rFonts w:eastAsia="Calibri" w:cs="Arial" w:ascii="Calibri" w:hAnsi="Calibri"/>
                <w:bCs/>
                <w:i/>
                <w:iCs/>
                <w:kern w:val="0"/>
                <w:sz w:val="20"/>
                <w:szCs w:val="20"/>
                <w:lang w:val="ru-RU" w:eastAsia="en-US" w:bidi="ar-SA"/>
              </w:rPr>
              <w:t xml:space="preserve"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bCs/>
                <w:i/>
                <w:iCs/>
                <w:kern w:val="0"/>
                <w:sz w:val="20"/>
                <w:szCs w:val="20"/>
                <w:lang w:val="ru-RU" w:eastAsia="en-US" w:bidi="ar-SA"/>
              </w:rPr>
              <w:t>в том числе, по гарантийным срокам и срокам эксплуатации.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iCs/>
                <w:kern w:val="0"/>
                <w:sz w:val="20"/>
                <w:szCs w:val="20"/>
                <w:lang w:val="ru-RU" w:eastAsia="en-US" w:bidi="ar-SA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firstLine="357"/>
        <w:jc w:val="both"/>
        <w:rPr>
          <w:i/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</w:r>
    </w:p>
    <w:p>
      <w:pPr>
        <w:pStyle w:val="Normal"/>
        <w:ind w:firstLine="357"/>
        <w:jc w:val="both"/>
        <w:rPr>
          <w:i/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</w:r>
    </w:p>
    <w:p>
      <w:pPr>
        <w:pStyle w:val="Normal"/>
        <w:ind w:firstLine="357"/>
        <w:jc w:val="both"/>
        <w:rPr>
          <w:i/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</w:r>
    </w:p>
    <w:tbl>
      <w:tblPr>
        <w:tblStyle w:val="affff8"/>
        <w:tblW w:w="149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68"/>
        <w:gridCol w:w="7465"/>
      </w:tblGrid>
      <w:tr>
        <w:trPr>
          <w:trHeight w:val="1104" w:hRule="atLeast"/>
        </w:trPr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Начальник ДС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__________________/Дягилев И.А./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«____»____________2026г.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Составил: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Мастер 1 группы ДС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__________________/Мартынов Г.Г./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</w:t>
            </w:r>
          </w:p>
        </w:tc>
      </w:tr>
    </w:tbl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851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martynovgg" w:date="2026-04-15T11:31:10Z" w:initials="m">
    <w:p>
      <w:pPr>
        <w:kinsoku w:val="true"/>
        <w:overflowPunct w:val="false"/>
        <w:autoSpaceDE w:val="true"/>
        <w:bidi w:val="0"/>
        <w:spacing w:before="0" w:after="0" w:lineRule="auto" w:line="240"/>
        <w:ind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Cs w:val="20"/>
          <w:u w:val="none"/>
          <w:shd w:fill="auto" w:val="clear"/>
          <w:vertAlign w:val="baseline"/>
          <w:em w:val="none"/>
          <w:lang w:bidi="ar-SA" w:eastAsia="ru-RU" w:val="ru-RU"/>
        </w:rPr>
        <w:t>Перенесены с потребностей ПАЭС-2500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/>
        <w:szCs w:val="24"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6a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ind w:left="1224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Заголовок Знак"/>
    <w:basedOn w:val="DefaultParagraphFont"/>
    <w:uiPriority w:val="10"/>
    <w:qFormat/>
    <w:rsid w:val="00581590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Style22" w:customStyle="1">
    <w:name w:val="Char Style 22"/>
    <w:basedOn w:val="DefaultParagraphFont"/>
    <w:link w:val="Style211"/>
    <w:qFormat/>
    <w:rsid w:val="00f849e6"/>
    <w:rPr>
      <w:sz w:val="23"/>
      <w:szCs w:val="23"/>
      <w:shd w:fill="FFFFFF" w:val="clear"/>
    </w:rPr>
  </w:style>
  <w:style w:type="character" w:styleId="CharStyle43" w:customStyle="1">
    <w:name w:val="Char Style 43"/>
    <w:basedOn w:val="DefaultParagraphFont"/>
    <w:qFormat/>
    <w:rsid w:val="00ff103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styleId="CharStyle42" w:customStyle="1">
    <w:name w:val="Char Style 42"/>
    <w:basedOn w:val="DefaultParagraphFont"/>
    <w:link w:val="Style37"/>
    <w:qFormat/>
    <w:rsid w:val="00ff103a"/>
    <w:rPr>
      <w:i/>
      <w:iCs/>
      <w:sz w:val="23"/>
      <w:szCs w:val="23"/>
      <w:shd w:fill="FFFFFF" w:val="clear"/>
    </w:rPr>
  </w:style>
  <w:style w:type="character" w:styleId="CharStyle44" w:customStyle="1">
    <w:name w:val="Char Style 44"/>
    <w:basedOn w:val="CharStyle22"/>
    <w:qFormat/>
    <w:rsid w:val="00ff103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CharStyle26" w:customStyle="1">
    <w:name w:val="Char Style 26"/>
    <w:basedOn w:val="CharStyle22"/>
    <w:qFormat/>
    <w:rsid w:val="00800b0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CharStyle25" w:customStyle="1">
    <w:name w:val="Char Style 25"/>
    <w:basedOn w:val="CharStyle22"/>
    <w:qFormat/>
    <w:rsid w:val="00800b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CharStyle49" w:customStyle="1">
    <w:name w:val="Char Style 49"/>
    <w:basedOn w:val="CharStyle22"/>
    <w:qFormat/>
    <w:rsid w:val="00800b00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Style15" w:customStyle="1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14"/>
    <w:uiPriority w:val="10"/>
    <w:qFormat/>
    <w:rsid w:val="00581590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211" w:customStyle="1">
    <w:name w:val="Style 21"/>
    <w:basedOn w:val="Normal"/>
    <w:link w:val="CharStyle22"/>
    <w:qFormat/>
    <w:rsid w:val="00f849e6"/>
    <w:pPr>
      <w:widowControl w:val="false"/>
      <w:shd w:val="clear" w:color="auto" w:fill="FFFFFF"/>
      <w:spacing w:lineRule="exact" w:line="274" w:before="420" w:after="0"/>
      <w:jc w:val="both"/>
    </w:pPr>
    <w:rPr>
      <w:sz w:val="23"/>
      <w:szCs w:val="23"/>
    </w:rPr>
  </w:style>
  <w:style w:type="paragraph" w:styleId="Style37" w:customStyle="1">
    <w:name w:val="Style 37"/>
    <w:basedOn w:val="Normal"/>
    <w:link w:val="CharStyle42"/>
    <w:qFormat/>
    <w:rsid w:val="00ff103a"/>
    <w:pPr>
      <w:widowControl w:val="false"/>
      <w:shd w:val="clear" w:color="auto" w:fill="FFFFFF"/>
      <w:spacing w:lineRule="exact" w:line="274" w:before="240" w:after="0"/>
    </w:pPr>
    <w:rPr>
      <w:i/>
      <w:iCs/>
      <w:sz w:val="23"/>
      <w:szCs w:val="23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a">
    <w:name w:val="Сетка таблицы3"/>
    <w:basedOn w:val="a5"/>
    <w:uiPriority w:val="39"/>
    <w:rsid w:val="007a2c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comments" Target="comment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4EF9D-9F70-4FA3-AB56-689B6E00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Application>AlterOffice/3.4.0.9$Linux_X86_64 LibreOffice_project/b8daf9e823b1a5463a2f48435ddc2e8696e7d4fc</Application>
  <AppVersion>15.0000</AppVersion>
  <Pages>8</Pages>
  <Words>1005</Words>
  <Characters>7101</Characters>
  <CharactersWithSpaces>7868</CharactersWithSpaces>
  <Paragraphs>230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2024-05-02T06:45:00Z</dcterms:created>
  <dc:creator>Быстров Олег Геннадьевич</dc:creator>
  <dc:description/>
  <dc:language>ru-RU</dc:language>
  <cp:lastModifiedBy>martynovgg</cp:lastModifiedBy>
  <cp:lastPrinted>2023-06-13T05:29:00Z</cp:lastPrinted>
  <dcterms:modified xsi:type="dcterms:W3CDTF">2026-04-15T11:33:18Z</dcterms:modified>
  <cp:revision>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