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 xml:space="preserve">ОКПД2 [20.30.22.180] Поставка герметизирующих материалов производства АБРИС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нужд Жигулевского филиала 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/>
        </w:rPr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color w:val="000000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[20.30.22.180] Поставка герметизирующих материалов производства «Абрис»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olor w:val="000000"/>
          <w:sz w:val="24"/>
          <w:szCs w:val="24"/>
        </w:rPr>
      </w:pPr>
      <w:bookmarkStart w:id="4" w:name="_Toc51339693"/>
      <w:bookmarkStart w:id="5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color w:val="000000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Герметик шовный Абрис С-Ш 40 мм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мастично-полимерный</w:t>
            </w:r>
          </w:p>
        </w:tc>
        <w:tc>
          <w:tcPr>
            <w:tcW w:w="1485" w:type="dxa"/>
            <w:vMerge w:val="restart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20.30.22.180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м.п.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2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00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7,5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Мастика битумно-полимерная гидроизоляционная Абрис Ру-к</w:t>
            </w:r>
          </w:p>
        </w:tc>
        <w:tc>
          <w:tcPr>
            <w:tcW w:w="1485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1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80,65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4894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Материал герметизирующий Абрис С-ДБ шнур</w:t>
            </w:r>
          </w:p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50х500х50</w:t>
            </w:r>
          </w:p>
        </w:tc>
        <w:tc>
          <w:tcPr>
            <w:tcW w:w="1485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color w:val="000000"/>
                <w:szCs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4"/>
                <w:lang w:val="ru-RU" w:eastAsia="en-US" w:bidi="ar-SA"/>
              </w:rPr>
              <w:t>4000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color w:val="000000"/>
          <w:szCs w:val="24"/>
        </w:rPr>
      </w:pPr>
      <w:bookmarkStart w:id="12" w:name="_Toc75446579"/>
      <w:bookmarkStart w:id="13" w:name="_Toc51339697"/>
      <w:bookmarkStart w:id="14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Герметик шовный Абрис С-Ш 40 мм мастично-полимерный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30.10.202</w:t>
            </w:r>
            <w:r>
              <w:rPr>
                <w:rFonts w:cs="Times New Roman"/>
                <w:color w:val="000000" w:themeColor="text1"/>
                <w:szCs w:val="24"/>
              </w:rPr>
              <w:t>7</w:t>
            </w:r>
            <w:r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Мастика битумно-полимерная гидроизоляционная Абрис Ру-к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Материал герметизирующий Абрис С-ДБ шнур 50х500х50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rPr>
          <w:szCs w:val="24"/>
        </w:rPr>
      </w:pPr>
      <w:r>
        <w:rPr>
          <w:rFonts w:cs="Times New Roman"/>
          <w:i/>
          <w:color w:val="000000" w:themeColor="text1"/>
        </w:rPr>
        <w:t>*Поставка осуществляется по заявкам. Сроки поставки указаны в соответствии с производственным графиком по договору подряда №1090-235-2023/ 3-РЕМ-2023-ЖиГЭСот 03.11.23</w:t>
      </w:r>
    </w:p>
    <w:p>
      <w:pPr>
        <w:pStyle w:val="Normal"/>
        <w:widowControl w:val="false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color w:val="000000"/>
          <w:szCs w:val="24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color w:val="000000"/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686"/>
        <w:gridCol w:w="2162"/>
        <w:gridCol w:w="1665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Герметик шовный Абрис С-Ш мастично-полимерный</w:t>
            </w:r>
          </w:p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Материал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Мастично-полимерный  материал в виде шнура, покрытый антиадгезионным материалом.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ТУ 5772-003-43008408-99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геометрические размеры:</w:t>
            </w:r>
          </w:p>
          <w:p>
            <w:pPr>
              <w:pStyle w:val="BodyText"/>
              <w:widowControl w:val="false"/>
              <w:spacing w:lineRule="atLeast" w:line="27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Диаметр, мм;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ниже -20°С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эксплуатации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от -60°С до +70°С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Водопоглощение, %, 24ч, не более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0,30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Прочность связи с металлом при отслаивании, Н/м, не менее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Прочность связи с бетоном при отрыве, МПа, не менее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0,1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Cs w:val="24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Сопротивление текучести при 70°С, мм, не более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Мастика битумно-полимерная гидроизоляционная Абрис Ру-к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Материал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Мастика в виде однородной пастообразной массы.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ТУ 5775-004-52471462-2003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эксплуатации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 минус 60°С до плюс 160°С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Пенетрация, 0,1 мм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350-420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Массовая доля сухого вещества, %, не менее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Паропроницаемость, мг/мч Па,</w:t>
            </w:r>
          </w:p>
          <w:p>
            <w:pPr>
              <w:pStyle w:val="BodyText"/>
              <w:widowControl w:val="false"/>
              <w:spacing w:lineRule="atLeast" w:line="27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</w:t>
            </w:r>
          </w:p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0,01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1.3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Материал герметизирующий Абрис С-ДБ шнур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Материал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Самоклеящаяся герметизирующая деталь, покрытая с двух сторон антиадгезионным материалом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ТУ 5772-003-43008408-99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ниже -20°С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Основные геометрические размеры, мм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длина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ширина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высота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Температура эксплуатации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 -60°С до +70°С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Водопоглощение, %, 24ч, не более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0,30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Прочность связи с металлом при отслаивании, Н/м, не менее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Сопротивление текучести при 70°С, мм, не более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_Копия_1"/>
            <w:bookmarkEnd w:id="17"/>
            <w:r>
              <w:rPr>
                <w:rFonts w:cs="Times New Roman"/>
                <w:color w:val="000000"/>
                <w:szCs w:val="24"/>
              </w:rPr>
              <w:t>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</w:t>
            </w:r>
            <w:bookmarkStart w:id="18" w:name="_GoBack"/>
            <w:bookmarkEnd w:id="18"/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</w:tbl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jc w:val="center"/>
        <w:rPr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color w:val="000000"/>
          <w:szCs w:val="24"/>
        </w:rPr>
      </w:pPr>
      <w:r>
        <w:rPr>
          <w:rFonts w:eastAsia="Calibri" w:cs="Times New Roman"/>
          <w:color w:val="000000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Calibri" w:cs="Times New Roman"/>
          <w:color w:val="000000"/>
          <w:szCs w:val="24"/>
          <w:lang w:eastAsia="x-none"/>
        </w:rPr>
        <w:t>(с учетом прилагаемой к ней инструкции по заполнению)</w:t>
      </w:r>
      <w:bookmarkEnd w:id="19"/>
      <w:r>
        <w:rPr>
          <w:rFonts w:eastAsia="Calibri" w:cs="Times New Roman"/>
          <w:color w:val="000000"/>
          <w:szCs w:val="24"/>
          <w:lang w:eastAsia="x-none"/>
        </w:rPr>
        <w:t>, приведенной в Документации о закупке.</w:t>
      </w:r>
      <w:bookmarkStart w:id="20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color w:val="000000"/>
          <w:szCs w:val="24"/>
        </w:rPr>
      </w:pPr>
      <w:r>
        <w:rPr>
          <w:rFonts w:eastAsia="Calibri" w:cs="Times New Roman"/>
          <w:color w:val="000000"/>
          <w:szCs w:val="24"/>
          <w:lang w:eastAsia="x-none"/>
        </w:rPr>
        <w:t>Дополнительные документы по ценообразованию</w:t>
      </w:r>
      <w:bookmarkEnd w:id="20"/>
      <w:r>
        <w:rPr>
          <w:rFonts w:eastAsia="Calibri" w:cs="Times New Roman"/>
          <w:color w:val="000000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color w:val="000000"/>
          <w:szCs w:val="24"/>
        </w:rPr>
        <w:t xml:space="preserve">Начальник цеха ГТС                 </w:t>
      </w:r>
      <w:r>
        <w:rPr>
          <w:rStyle w:val="Strong"/>
          <w:b w:val="false"/>
          <w:color w:val="000000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color w:val="000000"/>
          <w:szCs w:val="24"/>
        </w:rPr>
        <w:t xml:space="preserve">                    К.В. Сенчев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34832919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0644861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6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D592-8EFB-44B2-AFBD-EB01DF89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12870</TotalTime>
  <Application>AlterOffice/3.4.0.9$Linux_X86_64 LibreOffice_project/b8daf9e823b1a5463a2f48435ddc2e8696e7d4fc</Application>
  <AppVersion>15.0000</AppVersion>
  <Pages>6</Pages>
  <Words>734</Words>
  <Characters>5037</Characters>
  <CharactersWithSpaces>5690</CharactersWithSpaces>
  <Paragraphs>171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2025-08-12T09:45:00Z</cp:lastPrinted>
  <dcterms:modified xsi:type="dcterms:W3CDTF">2026-05-18T15:33:39Z</dcterms:modified>
  <cp:revision>247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