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>ОКПД2 [25.11.23.119] Поставка  свай стальных, винтовых</w:t>
      </w:r>
      <w:bookmarkStart w:id="0" w:name="_GoBack"/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для нужд Жигулевского филиала </w:t>
      </w:r>
      <w:bookmarkEnd w:id="0"/>
      <w:r>
        <w:rPr>
          <w:b/>
          <w:sz w:val="28"/>
          <w:szCs w:val="28"/>
        </w:rPr>
        <w:t>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color w:val="000000" w:themeColor="text1"/>
          <w:sz w:val="22"/>
          <w:szCs w:val="22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i w:val="false"/>
          <w:i w:val="false"/>
          <w:iCs w:val="false"/>
          <w:sz w:val="22"/>
          <w:szCs w:val="22"/>
        </w:rPr>
      </w:pPr>
      <w:bookmarkStart w:id="1" w:name="_Toc75446568"/>
      <w:bookmarkStart w:id="2" w:name="_Toc46743506"/>
      <w:r>
        <w:rPr>
          <w:i w:val="false"/>
          <w:iCs w:val="false"/>
          <w:color w:val="000000" w:themeColor="text1"/>
          <w:sz w:val="22"/>
          <w:szCs w:val="22"/>
        </w:rPr>
        <w:t>Наименование закупаемой продукции</w:t>
      </w:r>
      <w:bookmarkEnd w:id="1"/>
      <w:bookmarkEnd w:id="2"/>
    </w:p>
    <w:p>
      <w:pPr>
        <w:pStyle w:val="Heading1"/>
        <w:ind w:hanging="0"/>
        <w:jc w:val="both"/>
        <w:rPr>
          <w:i w:val="false"/>
          <w:i w:val="false"/>
          <w:iCs w:val="false"/>
          <w:sz w:val="22"/>
          <w:szCs w:val="22"/>
        </w:rPr>
      </w:pPr>
      <w:r>
        <w:rPr>
          <w:b w:val="false"/>
          <w:i w:val="false"/>
          <w:iCs w:val="false"/>
          <w:color w:val="000000" w:themeColor="text1"/>
          <w:sz w:val="22"/>
          <w:szCs w:val="22"/>
          <w:lang w:val="ru-RU"/>
        </w:rPr>
        <w:t>«ОКПД2 [25.11.23.119] Поставка свай стальных, винтовых для нужд Жигулевского филиала (далее - продукция)»</w:t>
      </w:r>
      <w:bookmarkStart w:id="3" w:name="_Toc75446569"/>
    </w:p>
    <w:p>
      <w:pPr>
        <w:pStyle w:val="Normal"/>
        <w:ind w:firstLine="419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</w:rPr>
      </w:r>
    </w:p>
    <w:p>
      <w:pPr>
        <w:pStyle w:val="Heading4"/>
        <w:numPr>
          <w:ilvl w:val="1"/>
          <w:numId w:val="1"/>
        </w:numPr>
        <w:ind w:left="0" w:firstLine="709"/>
        <w:rPr>
          <w:i w:val="false"/>
          <w:i w:val="false"/>
          <w:iCs w:val="false"/>
          <w:sz w:val="22"/>
          <w:szCs w:val="22"/>
        </w:rPr>
      </w:pPr>
      <w:bookmarkStart w:id="4" w:name="_Toc46743507"/>
      <w:r>
        <w:rPr>
          <w:i w:val="false"/>
          <w:iCs w:val="false"/>
          <w:color w:val="000000" w:themeColor="text1"/>
          <w:sz w:val="22"/>
          <w:szCs w:val="22"/>
        </w:rPr>
        <w:t xml:space="preserve">Цель </w:t>
      </w:r>
      <w:bookmarkEnd w:id="4"/>
      <w:r>
        <w:rPr>
          <w:i w:val="false"/>
          <w:iCs w:val="false"/>
          <w:color w:val="000000" w:themeColor="text1"/>
          <w:sz w:val="22"/>
          <w:szCs w:val="22"/>
        </w:rPr>
        <w:t xml:space="preserve">использования закупаемой продукции </w:t>
      </w:r>
      <w:bookmarkEnd w:id="3"/>
      <w:r>
        <w:rPr>
          <w:i w:val="false"/>
          <w:iCs w:val="false"/>
          <w:color w:val="000000" w:themeColor="text1"/>
          <w:sz w:val="22"/>
          <w:szCs w:val="22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iCs w:val="false"/>
          <w:color w:val="000000" w:themeColor="text1"/>
          <w:sz w:val="22"/>
          <w:szCs w:val="22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iCs w:val="false"/>
          <w:color w:val="000000" w:themeColor="text1"/>
          <w:sz w:val="22"/>
          <w:szCs w:val="22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2"/>
          <w:szCs w:val="24"/>
        </w:rPr>
        <w:t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i w:val="false"/>
          <w:i w:val="false"/>
          <w:iCs w:val="false"/>
          <w:sz w:val="22"/>
          <w:szCs w:val="22"/>
        </w:rPr>
      </w:pPr>
      <w:bookmarkStart w:id="5" w:name="_Toc75446573"/>
      <w:bookmarkStart w:id="6" w:name="_Toc51339693"/>
      <w:r>
        <w:rPr>
          <w:i w:val="false"/>
          <w:iCs w:val="false"/>
          <w:color w:val="000000" w:themeColor="text1"/>
          <w:sz w:val="22"/>
          <w:szCs w:val="22"/>
        </w:rPr>
        <w:t>Требования к продукции</w:t>
      </w:r>
      <w:bookmarkEnd w:id="5"/>
      <w:bookmarkEnd w:id="6"/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  <w:lang w:eastAsia="x-none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i w:val="false"/>
          <w:i w:val="false"/>
          <w:iCs w:val="false"/>
          <w:sz w:val="22"/>
          <w:szCs w:val="22"/>
        </w:rPr>
      </w:pPr>
      <w:bookmarkStart w:id="7" w:name="_Toc75446574"/>
      <w:r>
        <w:rPr>
          <w:i w:val="false"/>
          <w:iCs w:val="false"/>
          <w:color w:val="000000" w:themeColor="text1"/>
          <w:sz w:val="22"/>
          <w:szCs w:val="22"/>
        </w:rPr>
        <w:t xml:space="preserve">Требования к объемам и срокам </w:t>
      </w:r>
      <w:r>
        <w:rPr>
          <w:i w:val="false"/>
          <w:iCs w:val="false"/>
          <w:color w:val="000000" w:themeColor="text1"/>
          <w:sz w:val="22"/>
          <w:szCs w:val="22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1"/>
        </w:numPr>
        <w:ind w:left="0" w:firstLine="709"/>
        <w:rPr>
          <w:i w:val="false"/>
          <w:i w:val="false"/>
          <w:iCs w:val="false"/>
          <w:sz w:val="22"/>
          <w:szCs w:val="22"/>
        </w:rPr>
      </w:pPr>
      <w:bookmarkStart w:id="8" w:name="_Toc75446575"/>
      <w:r>
        <w:rPr>
          <w:i w:val="false"/>
          <w:iCs w:val="false"/>
          <w:color w:val="000000" w:themeColor="text1"/>
          <w:sz w:val="22"/>
          <w:szCs w:val="22"/>
        </w:rPr>
        <w:t>Перечень и объем закупаемой продукции</w:t>
      </w:r>
      <w:bookmarkEnd w:id="8"/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  <w:lang w:val="x-none" w:eastAsia="x-none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x-none" w:eastAsia="x-none"/>
        </w:rPr>
      </w:r>
    </w:p>
    <w:p>
      <w:pPr>
        <w:pStyle w:val="Normal"/>
        <w:jc w:val="both"/>
        <w:rPr>
          <w:i w:val="false"/>
          <w:i w:val="false"/>
          <w:iCs w:val="false"/>
          <w:sz w:val="22"/>
          <w:szCs w:val="22"/>
        </w:rPr>
      </w:pPr>
      <w:bookmarkStart w:id="9" w:name="_Toc75446576"/>
      <w:bookmarkStart w:id="10" w:name="_Toc51339695"/>
      <w:r>
        <w:rPr>
          <w:rFonts w:cs="Times New Roman"/>
          <w:i w:val="false"/>
          <w:iCs w:val="false"/>
          <w:color w:val="000000" w:themeColor="text1"/>
          <w:sz w:val="22"/>
          <w:szCs w:val="22"/>
        </w:rPr>
        <w:t xml:space="preserve">Таблица 2.1 Перечень </w:t>
      </w:r>
      <w:bookmarkEnd w:id="10"/>
      <w:r>
        <w:rPr>
          <w:rFonts w:cs="Times New Roman"/>
          <w:i w:val="false"/>
          <w:iCs w:val="false"/>
          <w:color w:val="000000" w:themeColor="text1"/>
          <w:sz w:val="22"/>
          <w:szCs w:val="22"/>
        </w:rPr>
        <w:t>и объем закупаемой продукци</w:t>
      </w:r>
      <w:bookmarkEnd w:id="9"/>
      <w:r>
        <w:rPr>
          <w:rFonts w:cs="Times New Roman"/>
          <w:i w:val="false"/>
          <w:iCs w:val="false"/>
          <w:color w:val="000000" w:themeColor="text1"/>
          <w:sz w:val="22"/>
          <w:szCs w:val="22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32"/>
        <w:gridCol w:w="1350"/>
        <w:gridCol w:w="1378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x-non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ОКПД 2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x-non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x-non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3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Свая винтовая SVF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стальная 89х2000х3.5мм с фланцем Свайбер-М</w:t>
            </w:r>
          </w:p>
        </w:tc>
        <w:tc>
          <w:tcPr>
            <w:tcW w:w="14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i w:val="false"/>
                <w:iCs w:val="false"/>
                <w:color w:val="000000" w:themeColor="text1"/>
                <w:sz w:val="22"/>
                <w:szCs w:val="22"/>
              </w:rPr>
              <w:t>25.11.23.119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</w:tbl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</w:rPr>
      </w:r>
    </w:p>
    <w:p>
      <w:pPr>
        <w:pStyle w:val="Heading3"/>
        <w:numPr>
          <w:ilvl w:val="2"/>
          <w:numId w:val="1"/>
        </w:numPr>
        <w:ind w:left="0" w:firstLine="709"/>
        <w:rPr>
          <w:i w:val="false"/>
          <w:i w:val="false"/>
          <w:iCs w:val="false"/>
          <w:sz w:val="22"/>
          <w:szCs w:val="22"/>
        </w:rPr>
      </w:pPr>
      <w:bookmarkStart w:id="11" w:name="_Toc75446578"/>
      <w:bookmarkStart w:id="12" w:name="_Toc51339696"/>
      <w:r>
        <w:rPr>
          <w:i w:val="false"/>
          <w:iCs w:val="false"/>
          <w:color w:val="000000" w:themeColor="text1"/>
          <w:sz w:val="22"/>
          <w:szCs w:val="22"/>
        </w:rPr>
        <w:t xml:space="preserve">Требования </w:t>
      </w:r>
      <w:bookmarkEnd w:id="12"/>
      <w:r>
        <w:rPr>
          <w:i w:val="false"/>
          <w:iCs w:val="false"/>
          <w:color w:val="000000" w:themeColor="text1"/>
          <w:sz w:val="22"/>
          <w:szCs w:val="22"/>
        </w:rPr>
        <w:t xml:space="preserve">к срокам поставки продукции </w:t>
      </w:r>
      <w:bookmarkEnd w:id="11"/>
    </w:p>
    <w:p>
      <w:pPr>
        <w:pStyle w:val="Normal"/>
        <w:rPr>
          <w:i w:val="false"/>
          <w:i w:val="false"/>
          <w:iCs w:val="false"/>
          <w:sz w:val="22"/>
          <w:szCs w:val="22"/>
        </w:rPr>
      </w:pPr>
      <w:bookmarkStart w:id="13" w:name="_Toc75446579"/>
      <w:bookmarkStart w:id="14" w:name="_Toc50125127"/>
      <w:bookmarkStart w:id="15" w:name="_Toc51339697"/>
      <w:r>
        <w:rPr>
          <w:rFonts w:eastAsia="Calibri" w:cs="Times New Roman"/>
          <w:i w:val="false"/>
          <w:iCs w:val="false"/>
          <w:color w:val="000000" w:themeColor="text1"/>
          <w:sz w:val="22"/>
          <w:szCs w:val="22"/>
          <w:lang w:eastAsia="x-none"/>
        </w:rPr>
        <w:t xml:space="preserve">Таблица 2.2 </w:t>
      </w:r>
      <w:bookmarkStart w:id="16" w:name="_Hlk50465284"/>
      <w:r>
        <w:rPr>
          <w:rFonts w:eastAsia="Calibri" w:cs="Times New Roman"/>
          <w:i w:val="false"/>
          <w:iCs w:val="false"/>
          <w:color w:val="000000" w:themeColor="text1"/>
          <w:sz w:val="22"/>
          <w:szCs w:val="22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eastAsia="Calibri" w:cs="Times New Roman"/>
          <w:i w:val="false"/>
          <w:iCs w:val="false"/>
          <w:color w:val="000000" w:themeColor="text1"/>
          <w:sz w:val="22"/>
          <w:szCs w:val="22"/>
          <w:lang w:eastAsia="x-none"/>
        </w:rPr>
        <w:t>поставки продукции</w:t>
      </w:r>
      <w:bookmarkEnd w:id="13"/>
      <w:r>
        <w:rPr>
          <w:rFonts w:eastAsia="Calibri" w:cs="Times New Roman"/>
          <w:i w:val="false"/>
          <w:iCs w:val="false"/>
          <w:color w:val="000000" w:themeColor="text1"/>
          <w:sz w:val="22"/>
          <w:szCs w:val="22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4"/>
        <w:gridCol w:w="1757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b/>
                <w:i w:val="false"/>
                <w:iCs w:val="fals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b/>
                <w:i w:val="false"/>
                <w:iCs w:val="fals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b/>
                <w:i w:val="false"/>
                <w:iCs w:val="fals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b/>
                <w:i w:val="false"/>
                <w:iCs w:val="false"/>
                <w:color w:val="000000" w:themeColor="text1"/>
                <w:sz w:val="22"/>
                <w:szCs w:val="22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Свая винтовая SVF стальная 89х2000х3.5мм с фланцем Свайбер-М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color w:val="000000" w:themeColor="text1"/>
                <w:sz w:val="22"/>
                <w:szCs w:val="22"/>
              </w:rPr>
              <w:t>Не позднее 30.04.2027*</w:t>
            </w:r>
          </w:p>
        </w:tc>
      </w:tr>
    </w:tbl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color w:val="000000" w:themeColor="text1"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</w:rPr>
      </w:r>
    </w:p>
    <w:p>
      <w:pPr>
        <w:pStyle w:val="Normal"/>
        <w:jc w:val="both"/>
        <w:rPr>
          <w:i w:val="false"/>
          <w:i w:val="false"/>
          <w:iCs w:val="false"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</w:rPr>
        <w:t xml:space="preserve">*в соответствии с производственным графиком по договору подряда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2"/>
          <w:szCs w:val="24"/>
        </w:rPr>
        <w:t>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  <w:lang w:eastAsia="x-none"/>
        </w:rPr>
        <w:t xml:space="preserve">Требования к качеству продукции </w:t>
      </w:r>
    </w:p>
    <w:p>
      <w:pPr>
        <w:pStyle w:val="Normal"/>
        <w:rPr>
          <w:sz w:val="22"/>
          <w:szCs w:val="22"/>
        </w:rPr>
      </w:pPr>
      <w:bookmarkStart w:id="17" w:name="_Toc75446582"/>
      <w:r>
        <w:rPr>
          <w:rFonts w:eastAsia="Calibri" w:cs="Times New Roman"/>
          <w:color w:val="000000" w:themeColor="text1"/>
          <w:sz w:val="22"/>
          <w:szCs w:val="22"/>
          <w:lang w:eastAsia="x-none"/>
        </w:rPr>
        <w:t>Таблица 2.3. Требования к продукции</w:t>
      </w:r>
      <w:bookmarkEnd w:id="17"/>
      <w:r>
        <w:rPr>
          <w:rFonts w:eastAsia="Calibri" w:cs="Times New Roman"/>
          <w:color w:val="000000" w:themeColor="text1"/>
          <w:sz w:val="22"/>
          <w:szCs w:val="22"/>
          <w:lang w:eastAsia="x-none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rFonts w:eastAsia="Calibri" w:cs="Times New Roman"/>
          <w:bCs/>
          <w:color w:val="000000" w:themeColor="text1"/>
          <w:sz w:val="22"/>
          <w:szCs w:val="22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491"/>
        <w:gridCol w:w="2550"/>
        <w:gridCol w:w="2055"/>
        <w:gridCol w:w="1772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DotumChe" w:cs="Times New Roman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DotumChe" w:cs="Times New Roman"/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Свая винтовая SVF стальная 89х2000х3.5мм с фланцем Свайбер-М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 мм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 металла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3,5 мм</w:t>
            </w:r>
          </w:p>
        </w:tc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Сталь Ст3</w:t>
            </w:r>
          </w:p>
        </w:tc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сваи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 мм</w:t>
            </w:r>
          </w:p>
        </w:tc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 w:themeColor="text1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52" w:before="13" w:after="0"/>
        <w:ind w:left="197" w:right="258" w:firstLine="511"/>
        <w:jc w:val="both"/>
        <w:rPr>
          <w:rFonts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/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/>
          <w:b/>
          <w:sz w:val="24"/>
          <w:szCs w:val="24"/>
          <w:lang w:eastAsia="x-non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 w:val="24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 w:val="24"/>
          <w:szCs w:val="24"/>
          <w:lang w:eastAsia="x-none"/>
        </w:rPr>
        <w:t>, приведенной в Документации о закупке.</w:t>
      </w:r>
      <w:bookmarkStart w:id="19" w:name="_Hlk88327292"/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 w:val="24"/>
          <w:szCs w:val="24"/>
          <w:lang w:eastAsia="x-none"/>
        </w:rPr>
        <w:t xml:space="preserve"> в состав заявки не включаются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sz w:val="24"/>
          <w:szCs w:val="24"/>
        </w:rPr>
        <w:t xml:space="preserve">Начальник цеха ГТС                 </w:t>
      </w:r>
      <w:r>
        <w:rPr>
          <w:rStyle w:val="Strong"/>
          <w:b w:val="false"/>
          <w:sz w:val="24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sz w:val="24"/>
          <w:szCs w:val="24"/>
        </w:rPr>
        <w:t xml:space="preserve">                    К.В. Сенчев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425" w:footer="11" w:bottom="8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27699376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77340368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AFE3-30B0-4155-B17D-DDB7C543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14670</TotalTime>
  <Application>AlterOffice/3.4.0.9$Linux_X86_64 LibreOffice_project/b8daf9e823b1a5463a2f48435ddc2e8696e7d4fc</Application>
  <AppVersion>15.0000</AppVersion>
  <Pages>4</Pages>
  <Words>528</Words>
  <Characters>3626</Characters>
  <CharactersWithSpaces>4129</CharactersWithSpaces>
  <Paragraphs>111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2026-02-02T09:17:20Z</cp:lastPrinted>
  <dcterms:modified xsi:type="dcterms:W3CDTF">2026-05-19T09:39:46Z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