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oter1.xml" ContentType="application/vnd.openxmlformats-officedocument.wordprocessingml.footer+xml"/>
  <Override PartName="/word/styles.xml" ContentType="application/vnd.openxmlformats-officedocument.wordprocessingml.styles+xml"/>
  <Override PartName="/word/_rels/document.xml.rels" ContentType="application/vnd.openxmlformats-package.relationships+xml"/>
  <Override PartName="/word/footer6.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oter5.xml" ContentType="application/vnd.openxmlformats-officedocument.wordprocessingml.footer+xml"/>
  <Override PartName="/word/fontTable.xml" ContentType="application/vnd.openxmlformats-officedocument.wordprocessingml.fontTabl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sz w:val="24"/>
        </w:rPr>
      </w:pPr>
      <w:r>
        <w:rPr>
          <w:sz w:val="24"/>
        </w:rPr>
        <w:t>Договор поставки № _______</w:t>
      </w:r>
    </w:p>
    <w:p>
      <w:pPr>
        <w:pStyle w:val="Normal"/>
        <w:shd w:val="clear" w:color="auto" w:fill="FFFFFF"/>
        <w:spacing w:before="0" w:after="120"/>
        <w:rPr>
          <w:sz w:val="24"/>
          <w:szCs w:val="24"/>
        </w:rPr>
      </w:pPr>
      <w:r>
        <w:rPr>
          <w:sz w:val="24"/>
          <w:szCs w:val="24"/>
        </w:rPr>
        <w:t>Республика Хакасия, г. Саяногорск, рп. Черемушки</w:t>
        <w:tab/>
        <w:t xml:space="preserve"> </w:t>
        <w:tab/>
        <w:t>«___» __________ 20__ 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_________________, действующего на основании ______________, с одной стороны, и</w:t>
      </w:r>
    </w:p>
    <w:p>
      <w:pPr>
        <w:pStyle w:val="Normal"/>
        <w:spacing w:before="0" w:after="120"/>
        <w:ind w:firstLine="567"/>
        <w:jc w:val="both"/>
        <w:rPr>
          <w:sz w:val="24"/>
          <w:szCs w:val="24"/>
        </w:rPr>
      </w:pPr>
      <w:r>
        <w:rPr>
          <w:b/>
          <w:sz w:val="24"/>
          <w:szCs w:val="24"/>
        </w:rPr>
        <w:t>________________(___________),</w:t>
      </w:r>
      <w:r>
        <w:rPr>
          <w:sz w:val="24"/>
          <w:szCs w:val="24"/>
        </w:rPr>
        <w:t xml:space="preserve"> именуемое в дальнейшем «</w:t>
      </w:r>
      <w:r>
        <w:rPr>
          <w:b/>
          <w:sz w:val="24"/>
          <w:szCs w:val="24"/>
        </w:rPr>
        <w:t>Поставщик</w:t>
      </w:r>
      <w:r>
        <w:rPr>
          <w:sz w:val="24"/>
          <w:szCs w:val="24"/>
        </w:rPr>
        <w:t xml:space="preserve">», в лице ________________, действующего на основании ______________,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sz w:val="24"/>
          <w:szCs w:val="24"/>
        </w:rPr>
      </w:pPr>
      <w:r>
        <w:rPr>
          <w:sz w:val="24"/>
          <w:szCs w:val="24"/>
        </w:rPr>
        <w:t>по результатам проведенного ____________(</w:t>
      </w:r>
      <w:r>
        <w:rPr>
          <w:i/>
          <w:sz w:val="24"/>
          <w:szCs w:val="24"/>
        </w:rPr>
        <w:t>указывается закупочная процедура</w:t>
      </w:r>
      <w:r>
        <w:rPr>
          <w:sz w:val="24"/>
          <w:szCs w:val="24"/>
        </w:rPr>
        <w:t xml:space="preserve">), что подтверждается Протоколом №____ от </w:t>
      </w:r>
      <w:r>
        <w:rPr>
          <w:bCs/>
          <w:sz w:val="24"/>
          <w:szCs w:val="24"/>
        </w:rPr>
        <w:t>«_____» _________ 20 __ г.,</w:t>
      </w:r>
      <w:r>
        <w:rPr>
          <w:sz w:val="24"/>
          <w:szCs w:val="24"/>
        </w:rPr>
        <w:t xml:space="preserve"> </w:t>
      </w:r>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b w:val="false"/>
          <w:sz w:val="24"/>
        </w:rPr>
      </w:pPr>
      <w:r>
        <w:rPr>
          <w:b w:val="false"/>
          <w:sz w:val="24"/>
        </w:rPr>
        <w:t>Поставщик обязуется передать Покупателю _____________________________ (далее – «Продукция») на условиях, согласованных Сторонами в Договоре, в соответствии со Спецификацией (</w:t>
      </w:r>
      <w:r>
        <w:rPr>
          <w:sz w:val="24"/>
        </w:rPr>
        <w:t>Приложение № 1</w:t>
      </w:r>
      <w:r>
        <w:rPr>
          <w:b w:val="false"/>
          <w:sz w:val="24"/>
        </w:rPr>
        <w:t>),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Саяно-Шушенского филиала АО «Гидроремонт-ВКК» в п.Черемушки.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Место поставки: РФ, г. ___________, ул._______________, д.____ (далее – «Место поставки»).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 xml:space="preserve">Срок поставки Продукции по договору: не позднее _____________________. </w:t>
      </w:r>
    </w:p>
    <w:p>
      <w:pPr>
        <w:pStyle w:val="ListParagraph"/>
        <w:shd w:val="clear" w:color="auto" w:fill="FFFFFF"/>
        <w:tabs>
          <w:tab w:val="clear" w:pos="720"/>
          <w:tab w:val="left" w:pos="540" w:leader="none"/>
          <w:tab w:val="left" w:pos="1425" w:leader="none"/>
        </w:tabs>
        <w:spacing w:before="0" w:after="120"/>
        <w:ind w:left="567" w:hanging="0"/>
        <w:contextualSpacing w:val="false"/>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Общая стоимость Продукции (далее – «Цена Договора») по Договору составляет __________(__________________) рублей _____ копеек, в том числе НДС (20 %) в размере ___________(____________) рублей ____ копеек.</w:t>
      </w:r>
      <w:r>
        <w:rPr>
          <w:bCs/>
          <w:szCs w:val="28"/>
        </w:rPr>
        <w:t xml:space="preserve">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rPr>
      </w:pPr>
      <w:r>
        <w:rPr>
          <w:color w:val="000000"/>
          <w:sz w:val="24"/>
          <w:szCs w:val="24"/>
        </w:rPr>
        <w:t>Стоимость Продукции.</w:t>
      </w:r>
    </w:p>
    <w:p>
      <w:pPr>
        <w:pStyle w:val="Normal"/>
        <w:tabs>
          <w:tab w:val="clear" w:pos="720"/>
          <w:tab w:val="left" w:pos="0" w:leader="none"/>
          <w:tab w:val="left" w:pos="851" w:leader="none"/>
        </w:tabs>
        <w:spacing w:before="0" w:after="120"/>
        <w:jc w:val="both"/>
        <w:rPr>
          <w:sz w:val="24"/>
          <w:szCs w:val="24"/>
        </w:rPr>
      </w:pPr>
      <w:r>
        <w:rPr>
          <w:bCs/>
          <w:sz w:val="24"/>
          <w:szCs w:val="24"/>
        </w:rPr>
        <w:tab/>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Оплата в соответствии с Договором осуществляется следующим образом: </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2.5.1. Авансовый платеж в размере 30 % (тридцати процентов) от Цены Договора  выплачивается в срок, не превышающий 30 (тридцать) календарных дней с даты получения Покупателем счета, выставленного Поставщиком, но не ранее 30 (тридцати) календарных дней до даты поставки Продукции.</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 xml:space="preserve">2.5.2.  Платеж в размере 60 % (шестидесяти процентов) от стоимости поставленной Продукции, согласно Спецификации </w:t>
      </w:r>
      <w:bookmarkStart w:id="0" w:name="_GoBack"/>
      <w:bookmarkEnd w:id="0"/>
      <w:r>
        <w:rPr>
          <w:sz w:val="24"/>
          <w:szCs w:val="24"/>
        </w:rPr>
        <w:t xml:space="preserve">(Приложение № 1), производится Покупателем </w:t>
      </w:r>
      <w:r>
        <w:rPr>
          <w:sz w:val="24"/>
          <w:szCs w:val="24"/>
          <w:highlight w:val="yellow"/>
        </w:rPr>
        <w:t>в течение 30 (тридцати) календарных дней / 7 (семи) рабочих дней</w:t>
      </w:r>
      <w:r>
        <w:rPr>
          <w:rStyle w:val="FootnoteReference"/>
          <w:sz w:val="24"/>
          <w:szCs w:val="24"/>
          <w:highlight w:val="yellow"/>
        </w:rPr>
        <w:footnoteReference w:id="2"/>
      </w:r>
      <w:r>
        <w:rPr>
          <w:sz w:val="24"/>
          <w:szCs w:val="24"/>
        </w:rPr>
        <w:t xml:space="preserve"> с даты подписания Товарной накладной по форме ТОРГ-12 или Универсального передаточного документа (УПД) на Продукцию, при условии получении счета, выставленного Поставщиком с учетом п. 2.6 Договора. При этом в счетах на оплату, выставленных Поставщиком, должна быть отдельно выделена сумма обеспечительного платежа.</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 xml:space="preserve">2.5.3. Обеспечительный платеж в размере 10 % (десяти процентов) от стоимости Продукции производится в течение 70 (семидесяти) календарных дней с даты исполнения Поставщиком всех обязательств по Договору при отсутствии претензий и требований со стороны Покупателя и с учетом п.2.6. Договора на основании счета, выставленного Поставщиком. </w:t>
      </w:r>
    </w:p>
    <w:p>
      <w:pPr>
        <w:pStyle w:val="Normal"/>
        <w:shd w:val="clear" w:color="auto" w:fill="FFFFFF"/>
        <w:tabs>
          <w:tab w:val="clear" w:pos="720"/>
          <w:tab w:val="left" w:pos="567" w:leader="none"/>
          <w:tab w:val="left" w:pos="1440" w:leader="none"/>
        </w:tabs>
        <w:spacing w:before="0" w:after="120"/>
        <w:ind w:firstLine="567"/>
        <w:jc w:val="both"/>
        <w:rPr>
          <w:sz w:val="24"/>
          <w:szCs w:val="24"/>
          <w:highlight w:val="yellow"/>
        </w:rPr>
      </w:pPr>
      <w:r>
        <w:rPr>
          <w:sz w:val="23"/>
          <w:szCs w:val="23"/>
        </w:rPr>
        <w:t xml:space="preserve">         </w:t>
      </w:r>
      <w:r>
        <w:rPr>
          <w:sz w:val="23"/>
          <w:szCs w:val="23"/>
        </w:rPr>
        <w:t xml:space="preserve">2.5.4. </w:t>
      </w:r>
      <w:r>
        <w:rPr>
          <w:sz w:val="24"/>
          <w:szCs w:val="24"/>
          <w:highlight w:val="yellow"/>
        </w:rPr>
        <w:t>Если сумма авансового платежа по Договору составляет 5 000 000 (пять миллионов) рублей и более (без учета НДС) Поставщик в срок не позднее 3 (трех) рабочих дней до предполагаемой даты выплаты авансового платежа, предоставляет обеспечение исполнения обязательств по возврату предварительной оплаты (аванса)</w:t>
      </w:r>
      <w:r>
        <w:rPr>
          <w:sz w:val="24"/>
          <w:highlight w:val="yellow"/>
          <w:vertAlign w:val="superscript"/>
        </w:rPr>
        <w:t xml:space="preserve"> </w:t>
      </w:r>
      <w:r>
        <w:rPr>
          <w:sz w:val="24"/>
          <w:szCs w:val="24"/>
          <w:highlight w:val="yellow"/>
        </w:rPr>
        <w:t>в виде банковской гарантии, оформленной в соответствии с требованиями Приложения № 2 к Договору.</w:t>
      </w:r>
    </w:p>
    <w:p>
      <w:pPr>
        <w:pStyle w:val="Normal"/>
        <w:shd w:val="clear" w:color="auto" w:fill="FFFFFF"/>
        <w:tabs>
          <w:tab w:val="clear" w:pos="720"/>
          <w:tab w:val="left" w:pos="567" w:leader="none"/>
          <w:tab w:val="left" w:pos="1440" w:leader="none"/>
        </w:tabs>
        <w:spacing w:before="0" w:after="120"/>
        <w:jc w:val="both"/>
        <w:rPr>
          <w:sz w:val="24"/>
          <w:szCs w:val="24"/>
          <w:highlight w:val="yellow"/>
        </w:rPr>
      </w:pPr>
      <w:r>
        <w:rPr>
          <w:sz w:val="24"/>
          <w:szCs w:val="24"/>
          <w:highlight w:val="yellow"/>
        </w:rPr>
        <w:tab/>
        <w:t xml:space="preserve">В случае отзыва лицензии Банка-Гаранта банковская гарантия в обеспечение возврата предварительной оплаты (аванса) должна быть заменена на новую банковскую гарантию другого Банка-Гаранта в течение 30 (тридцати) календарных дней с даты отзыва лицензии Банка-Гаранта. </w:t>
      </w:r>
    </w:p>
    <w:p>
      <w:pPr>
        <w:pStyle w:val="Normal"/>
        <w:shd w:val="clear" w:color="auto" w:fill="FFFFFF"/>
        <w:tabs>
          <w:tab w:val="clear" w:pos="720"/>
          <w:tab w:val="left" w:pos="567" w:leader="none"/>
          <w:tab w:val="left" w:pos="1440" w:leader="none"/>
        </w:tabs>
        <w:spacing w:before="0" w:after="120"/>
        <w:jc w:val="both"/>
        <w:rPr>
          <w:sz w:val="24"/>
          <w:szCs w:val="24"/>
          <w:highlight w:val="yellow"/>
        </w:rPr>
      </w:pPr>
      <w:r>
        <w:rPr>
          <w:sz w:val="24"/>
          <w:szCs w:val="24"/>
          <w:highlight w:val="yellow"/>
        </w:rPr>
        <w:tab/>
        <w:t>В случае непредставления Поставщиком в установленный срок новой банковской гарантии Покупатель вправе удерживать сумму неотработанного аванса при выплате каждого платежа, причитающегося Поставщику, до полного зачета неотработанного аванса.</w:t>
      </w:r>
    </w:p>
    <w:p>
      <w:pPr>
        <w:pStyle w:val="Normal"/>
        <w:shd w:val="clear" w:color="auto" w:fill="FFFFFF"/>
        <w:tabs>
          <w:tab w:val="clear" w:pos="720"/>
          <w:tab w:val="left" w:pos="567" w:leader="none"/>
          <w:tab w:val="left" w:pos="1440" w:leader="none"/>
        </w:tabs>
        <w:jc w:val="both"/>
        <w:rPr>
          <w:sz w:val="24"/>
          <w:szCs w:val="24"/>
        </w:rPr>
      </w:pPr>
      <w:r>
        <w:rPr>
          <w:sz w:val="24"/>
          <w:szCs w:val="24"/>
          <w:highlight w:val="yellow"/>
        </w:rPr>
        <w:tab/>
        <w:t>За не предоставление либо несвоевременное предоставление/ переоформление Поставщиком банковской гарантии, предусмотренной Договором, Покупатель вправе потребовать уплаты Поставщиком неустойки в размере 0,03 (ноль целых и три сотых) процента от Цены Договора за каждый день просрочки.</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 xml:space="preserve"> </w:t>
      </w:r>
      <w:r>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w:t>
      </w:r>
      <w:bookmarkStart w:id="1" w:name="_Hlk130023344"/>
      <w:r>
        <w:rPr>
          <w:sz w:val="24"/>
          <w:szCs w:val="24"/>
          <w:highlight w:val="yellow"/>
        </w:rPr>
        <w:t>календарных</w:t>
      </w:r>
      <w:r>
        <w:rPr>
          <w:sz w:val="24"/>
          <w:szCs w:val="24"/>
        </w:rPr>
        <w:t xml:space="preserve"> </w:t>
      </w:r>
      <w:bookmarkEnd w:id="1"/>
      <w:r>
        <w:rPr>
          <w:sz w:val="24"/>
          <w:szCs w:val="24"/>
        </w:rPr>
        <w:t>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6"/>
        </w:numPr>
        <w:tabs>
          <w:tab w:val="clear" w:pos="720"/>
          <w:tab w:val="left" w:pos="851" w:leader="none"/>
          <w:tab w:val="left" w:pos="1425" w:leader="none"/>
        </w:tabs>
        <w:spacing w:before="0" w:after="120"/>
        <w:ind w:left="0" w:firstLine="567"/>
        <w:contextualSpacing w:val="false"/>
        <w:jc w:val="both"/>
        <w:rPr>
          <w:highlight w:val="none"/>
          <w:shd w:fill="FFBF00" w:val="clear"/>
        </w:rPr>
      </w:pPr>
      <w:r>
        <w:rPr>
          <w:rFonts w:cs="Times New Roman"/>
          <w:color w:val="000000"/>
          <w:sz w:val="24"/>
          <w:szCs w:val="24"/>
          <w:shd w:fill="FFBF00" w:val="clear"/>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поставленной Продукции.</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Сертификат качества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Технический паспорт на русском языке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Инструкция по эксплуатации (монтажу и т.п.) на русском языке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Упаковочный лист на Продукцию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Сертификат о происхождении Продукции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 xml:space="preserve">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sz w:val="24"/>
          <w:szCs w:val="24"/>
          <w:shd w:fill="FFBF00" w:val="clear"/>
        </w:rPr>
        <w:t>(</w:t>
      </w:r>
      <w:r>
        <w:rPr>
          <w:rFonts w:cs="Times New Roman"/>
          <w:color w:val="000000"/>
          <w:sz w:val="24"/>
          <w:szCs w:val="24"/>
          <w:shd w:fill="FFBF00" w:val="clear"/>
        </w:rPr>
        <w:t xml:space="preserve">в ред. </w:t>
      </w:r>
      <w:hyperlink r:id="rId2">
        <w:r>
          <w:rPr>
            <w:rStyle w:val="Hyperlink"/>
            <w:rFonts w:cs="Times New Roman"/>
            <w:color w:val="000000"/>
            <w:sz w:val="24"/>
            <w:szCs w:val="24"/>
            <w:u w:val="none"/>
            <w:shd w:fill="FFBF00" w:val="clear"/>
          </w:rPr>
          <w:t>Постановления Правительства РФ от 21.12.2020 № 2200 (ред. от 30.12.2022</w:t>
        </w:r>
      </w:hyperlink>
      <w:r>
        <w:rPr>
          <w:rFonts w:cs="Times New Roman"/>
          <w:sz w:val="24"/>
          <w:szCs w:val="24"/>
          <w:shd w:fill="FFBF00" w:val="clear"/>
        </w:rPr>
        <w:t>))</w:t>
      </w:r>
      <w:r>
        <w:rPr>
          <w:sz w:val="24"/>
          <w:szCs w:val="24"/>
        </w:rPr>
        <w:t>;</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 xml:space="preserve">товарно-транспортную накладную формы №1-Т </w:t>
      </w:r>
      <w:r>
        <w:rPr>
          <w:color w:val="000000"/>
          <w:sz w:val="24"/>
          <w:szCs w:val="24"/>
          <w:shd w:fill="FFBF00" w:val="clear"/>
        </w:rPr>
        <w:t xml:space="preserve">(для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color w:val="000000"/>
          <w:sz w:val="24"/>
          <w:szCs w:val="24"/>
          <w:shd w:fill="FFBF00" w:val="clear"/>
        </w:rPr>
        <w:t xml:space="preserve">(в ред. </w:t>
      </w:r>
      <w:hyperlink r:id="rId3">
        <w:r>
          <w:rPr>
            <w:rStyle w:val="Hyperlink"/>
            <w:rFonts w:cs="Times New Roman"/>
            <w:color w:val="000000"/>
            <w:sz w:val="24"/>
            <w:szCs w:val="24"/>
            <w:u w:val="none"/>
            <w:shd w:fill="FFBF00" w:val="clear"/>
          </w:rPr>
          <w:t>Постановления Правительства РФ от 21.12.2020 № 2200 (ред. от 30.12.2022</w:t>
        </w:r>
      </w:hyperlink>
      <w:r>
        <w:rPr>
          <w:rFonts w:cs="Times New Roman"/>
          <w:color w:val="000000"/>
          <w:sz w:val="24"/>
          <w:szCs w:val="24"/>
          <w:shd w:fill="FFBF00" w:val="clear"/>
        </w:rPr>
        <w:t>)).</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Поставщику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sz w:val="24"/>
          <w:szCs w:val="24"/>
        </w:rPr>
        <w:t xml:space="preserve"> 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sz w:val="24"/>
          <w:szCs w:val="24"/>
          <w:shd w:fill="FFBF00" w:val="clear"/>
        </w:rPr>
        <w:t>(</w:t>
      </w:r>
      <w:r>
        <w:rPr>
          <w:rFonts w:cs="Times New Roman"/>
          <w:color w:val="000000"/>
          <w:sz w:val="24"/>
          <w:szCs w:val="24"/>
          <w:shd w:fill="FFBF00" w:val="clear"/>
        </w:rPr>
        <w:t xml:space="preserve">в ред. </w:t>
      </w:r>
      <w:hyperlink r:id="rId4">
        <w:r>
          <w:rPr>
            <w:rStyle w:val="Hyperlink"/>
            <w:rFonts w:cs="Times New Roman"/>
            <w:color w:val="000000"/>
            <w:sz w:val="24"/>
            <w:szCs w:val="24"/>
            <w:u w:val="none"/>
            <w:shd w:fill="FFBF00" w:val="clear"/>
          </w:rPr>
          <w:t>Постановления Правительства РФ от 21.12.2020 № 2200 (ред. от 30.12.2022</w:t>
        </w:r>
      </w:hyperlink>
      <w:r>
        <w:rPr>
          <w:rFonts w:cs="Times New Roman"/>
          <w:sz w:val="24"/>
          <w:szCs w:val="24"/>
          <w:shd w:fill="FFBF00" w:val="clear"/>
        </w:rPr>
        <w:t>))</w:t>
      </w:r>
      <w:r>
        <w:rPr>
          <w:sz w:val="24"/>
          <w:szCs w:val="24"/>
        </w:rPr>
        <w:t xml:space="preserve">. В случае отсутствия замечаний Покупатель подписывает </w:t>
      </w:r>
      <w:r>
        <w:rPr>
          <w:color w:val="000000"/>
          <w:sz w:val="24"/>
          <w:szCs w:val="24"/>
        </w:rPr>
        <w:t>товарную накладную унифицированной формы ТОРГ-12.</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На Продукцию устанавливается гарантийный срок, равный ________ (______________________) месяцам, исчисляемый с даты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2" w:name="OLE_LINK5"/>
      <w:bookmarkStart w:id="3" w:name="OLE_LINK6"/>
      <w:r>
        <w:rPr>
          <w:sz w:val="24"/>
          <w:szCs w:val="24"/>
        </w:rPr>
        <w:t>Покупателем в соответствии с п. 3.14. Договора</w:t>
      </w:r>
      <w:bookmarkEnd w:id="2"/>
      <w:bookmarkEnd w:id="3"/>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shd w:val="clear" w:color="auto" w:fill="FFFFFF"/>
        <w:tabs>
          <w:tab w:val="clear" w:pos="720"/>
          <w:tab w:val="left" w:pos="1276" w:leader="none"/>
          <w:tab w:val="left" w:pos="1418" w:leader="none"/>
        </w:tabs>
        <w:spacing w:before="0" w:after="12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shd w:val="clear" w:color="auto" w:fill="FFFFFF"/>
        <w:tabs>
          <w:tab w:val="clear" w:pos="720"/>
          <w:tab w:val="left" w:pos="1276" w:leader="none"/>
        </w:tabs>
        <w:spacing w:before="0" w:after="120"/>
        <w:ind w:left="360" w:hanging="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highlight w:val="yellow"/>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sz w:val="28"/>
          <w:szCs w:val="28"/>
          <w:highlight w:val="yellow"/>
        </w:rPr>
        <w:t xml:space="preserve"> </w:t>
      </w:r>
      <w:r>
        <w:rPr>
          <w:sz w:val="24"/>
          <w:szCs w:val="24"/>
          <w:highlight w:val="yellow"/>
        </w:rPr>
        <w:t>При этом такая неустойка является единственным возмещением объективно оцененных Сторонами возможных убытков Поставщика (исключительная неустойка)</w:t>
      </w:r>
      <w:r>
        <w:rPr>
          <w:sz w:val="24"/>
          <w:szCs w:val="24"/>
        </w:rPr>
        <w:t xml:space="preserve">.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highlight w:val="yellow"/>
        </w:rPr>
        <w:t xml:space="preserve">В случае </w:t>
      </w:r>
      <w:bookmarkStart w:id="4" w:name="_Hlk130023740"/>
      <w:r>
        <w:rPr>
          <w:sz w:val="24"/>
          <w:szCs w:val="24"/>
          <w:highlight w:val="yellow"/>
        </w:rPr>
        <w:t xml:space="preserve">нарушения </w:t>
      </w:r>
      <w:bookmarkEnd w:id="4"/>
      <w:r>
        <w:rPr>
          <w:sz w:val="24"/>
          <w:szCs w:val="24"/>
          <w:highlight w:val="yellow"/>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r>
        <w:rPr>
          <w:sz w:val="24"/>
          <w:szCs w:val="24"/>
        </w:rPr>
        <w:t xml:space="preserve">. </w:t>
      </w:r>
    </w:p>
    <w:p>
      <w:pPr>
        <w:pStyle w:val="Normal"/>
        <w:tabs>
          <w:tab w:val="clear" w:pos="720"/>
          <w:tab w:val="left" w:pos="1701" w:leader="none"/>
        </w:tabs>
        <w:jc w:val="both"/>
        <w:rPr>
          <w:sz w:val="24"/>
          <w:szCs w:val="24"/>
          <w:highlight w:val="yellow"/>
        </w:rPr>
      </w:pPr>
      <w:r>
        <w:rPr>
          <w:sz w:val="24"/>
          <w:szCs w:val="24"/>
        </w:rPr>
        <w:tab/>
      </w:r>
      <w:r>
        <w:rPr>
          <w:sz w:val="24"/>
          <w:szCs w:val="24"/>
          <w:highlight w:val="yellow"/>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pPr>
        <w:pStyle w:val="Normal"/>
        <w:numPr>
          <w:ilvl w:val="0"/>
          <w:numId w:val="17"/>
        </w:numPr>
        <w:tabs>
          <w:tab w:val="clear" w:pos="720"/>
          <w:tab w:val="left" w:pos="1701" w:leader="none"/>
        </w:tabs>
        <w:ind w:left="0" w:firstLine="709"/>
        <w:jc w:val="both"/>
        <w:rPr>
          <w:rFonts w:eastAsia="Calibri"/>
          <w:bCs/>
          <w:sz w:val="24"/>
          <w:szCs w:val="24"/>
          <w:highlight w:val="yellow"/>
        </w:rPr>
      </w:pPr>
      <w:r>
        <w:rPr>
          <w:rFonts w:eastAsia="Calibri"/>
          <w:bCs/>
          <w:sz w:val="24"/>
          <w:szCs w:val="24"/>
          <w:highlight w:val="yellow"/>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highlight w:val="yellow"/>
        </w:rPr>
        <w:t>Продукции</w:t>
      </w:r>
      <w:r>
        <w:rPr>
          <w:rFonts w:eastAsia="Calibri"/>
          <w:bCs/>
          <w:sz w:val="24"/>
          <w:szCs w:val="24"/>
          <w:highlight w:val="yellow"/>
        </w:rPr>
        <w:t xml:space="preserve">, влияющих на возможность эксплуатации (использования) </w:t>
      </w:r>
      <w:r>
        <w:rPr>
          <w:sz w:val="24"/>
          <w:szCs w:val="24"/>
          <w:highlight w:val="yellow"/>
        </w:rPr>
        <w:t>Продукции</w:t>
      </w:r>
      <w:r>
        <w:rPr>
          <w:rFonts w:eastAsia="Calibri"/>
          <w:bCs/>
          <w:sz w:val="24"/>
          <w:szCs w:val="24"/>
          <w:highlight w:val="yellow"/>
        </w:rPr>
        <w:t xml:space="preserve"> в целом;</w:t>
      </w:r>
    </w:p>
    <w:p>
      <w:pPr>
        <w:pStyle w:val="Normal"/>
        <w:numPr>
          <w:ilvl w:val="0"/>
          <w:numId w:val="17"/>
        </w:numPr>
        <w:tabs>
          <w:tab w:val="clear" w:pos="720"/>
          <w:tab w:val="left" w:pos="1701" w:leader="none"/>
        </w:tabs>
        <w:ind w:left="0" w:firstLine="709"/>
        <w:jc w:val="both"/>
        <w:rPr>
          <w:rFonts w:eastAsia="Calibri"/>
          <w:bCs/>
          <w:sz w:val="24"/>
          <w:szCs w:val="24"/>
          <w:highlight w:val="yellow"/>
        </w:rPr>
      </w:pPr>
      <w:r>
        <w:rPr>
          <w:rFonts w:eastAsia="Calibri"/>
          <w:bCs/>
          <w:sz w:val="24"/>
          <w:szCs w:val="24"/>
          <w:highlight w:val="yellow"/>
        </w:rPr>
        <w:t xml:space="preserve">неустойки в размере 0,1 (ноль целых и одна десятая) процента от стоимости некачественной </w:t>
      </w:r>
      <w:r>
        <w:rPr>
          <w:sz w:val="24"/>
          <w:szCs w:val="24"/>
          <w:highlight w:val="yellow"/>
        </w:rPr>
        <w:t>Продукции</w:t>
      </w:r>
      <w:r>
        <w:rPr>
          <w:rFonts w:eastAsia="Calibri"/>
          <w:bCs/>
          <w:sz w:val="24"/>
          <w:szCs w:val="24"/>
          <w:highlight w:val="yellow"/>
        </w:rPr>
        <w:t xml:space="preserve"> за каждый день просрочки – в случае несвоевременного устранения выявленных недостатков </w:t>
      </w:r>
      <w:r>
        <w:rPr>
          <w:sz w:val="24"/>
          <w:szCs w:val="24"/>
          <w:highlight w:val="yellow"/>
        </w:rPr>
        <w:t>Продукции</w:t>
      </w:r>
      <w:r>
        <w:rPr>
          <w:rFonts w:eastAsia="Calibri"/>
          <w:bCs/>
          <w:sz w:val="24"/>
          <w:szCs w:val="24"/>
          <w:highlight w:val="yellow"/>
        </w:rPr>
        <w:t xml:space="preserve">, не влияющих на возможность эксплуатации (использования) </w:t>
      </w:r>
      <w:r>
        <w:rPr>
          <w:sz w:val="24"/>
          <w:szCs w:val="24"/>
          <w:highlight w:val="yellow"/>
        </w:rPr>
        <w:t>Продукции</w:t>
      </w:r>
      <w:r>
        <w:rPr>
          <w:rFonts w:eastAsia="Calibri"/>
          <w:bCs/>
          <w:sz w:val="24"/>
          <w:szCs w:val="24"/>
          <w:highlight w:val="yellow"/>
        </w:rPr>
        <w:t xml:space="preserve"> в целом.</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9"/>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widowControl/>
        <w:numPr>
          <w:ilvl w:val="1"/>
          <w:numId w:val="6"/>
        </w:numPr>
        <w:shd w:val="clear" w:color="auto" w:fill="FFFFFF"/>
        <w:tabs>
          <w:tab w:val="clear" w:pos="720"/>
        </w:tabs>
        <w:ind w:left="0" w:firstLine="567"/>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shd w:val="clear" w:color="auto" w:fill="FFFFFF"/>
        <w:tabs>
          <w:tab w:val="clear" w:pos="720"/>
          <w:tab w:val="left" w:pos="567" w:leader="none"/>
          <w:tab w:val="left" w:pos="840" w:leader="none"/>
        </w:tabs>
        <w:ind w:left="0" w:firstLine="567"/>
        <w:jc w:val="both"/>
        <w:rPr>
          <w:color w:val="000000"/>
          <w:sz w:val="24"/>
          <w:szCs w:val="24"/>
        </w:rPr>
      </w:pPr>
      <w:r>
        <w:rPr>
          <w:color w:val="000000"/>
          <w:sz w:val="24"/>
          <w:szCs w:val="24"/>
        </w:rPr>
        <w:t xml:space="preserve">Каналы связи Линия доверия Группы РусГидро: </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Электронная почта: ld@rushydro.ru.</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ind w:left="0" w:hanging="0"/>
        <w:jc w:val="both"/>
        <w:outlineLvl w:val="0"/>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widowControl/>
        <w:numPr>
          <w:ilvl w:val="0"/>
          <w:numId w:val="0"/>
        </w:numPr>
        <w:tabs>
          <w:tab w:val="clear" w:pos="720"/>
          <w:tab w:val="left" w:pos="567" w:leader="none"/>
        </w:tabs>
        <w:bidi w:val="0"/>
        <w:spacing w:before="0" w:after="120"/>
        <w:ind w:left="0" w:right="0" w:firstLine="567"/>
        <w:jc w:val="both"/>
        <w:outlineLvl w:val="0"/>
        <w:rPr>
          <w:sz w:val="24"/>
          <w:szCs w:val="24"/>
        </w:rPr>
      </w:pPr>
      <w:r>
        <w:rPr>
          <w:sz w:val="24"/>
          <w:szCs w:val="24"/>
          <w:shd w:fill="FFFF00" w:val="clear"/>
        </w:rPr>
        <w:t>6.13 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b/>
          <w:bCs/>
          <w:sz w:val="24"/>
          <w:szCs w:val="24"/>
        </w:rPr>
      </w:pPr>
      <w:r>
        <w:rPr>
          <w:b/>
          <w:bCs/>
          <w:sz w:val="24"/>
          <w:szCs w:val="24"/>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5">
        <w:r>
          <w:rPr>
            <w:sz w:val="24"/>
            <w:szCs w:val="24"/>
          </w:rPr>
          <w:t>№ 18162/09</w:t>
        </w:r>
      </w:hyperlink>
      <w:r>
        <w:rPr>
          <w:sz w:val="24"/>
          <w:szCs w:val="24"/>
        </w:rPr>
        <w:t xml:space="preserve"> и от 25.05.2010 </w:t>
      </w:r>
      <w:hyperlink r:id="rId6">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7">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5" w:name="Par2"/>
      <w:bookmarkEnd w:id="5"/>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города Москвы.</w:t>
      </w:r>
    </w:p>
    <w:p>
      <w:pPr>
        <w:pStyle w:val="Normal"/>
        <w:widowControl w:val="false"/>
        <w:shd w:val="clear" w:color="auto" w:fill="FFFFFF"/>
        <w:tabs>
          <w:tab w:val="left" w:pos="720" w:leader="none"/>
        </w:tabs>
        <w:spacing w:before="0" w:after="120"/>
        <w:ind w:left="567" w:hanging="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12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false"/>
        <w:spacing w:before="0" w:after="120"/>
        <w:ind w:left="567" w:hanging="0"/>
        <w:jc w:val="both"/>
        <w:textAlignment w:val="baseline"/>
        <w:rPr>
          <w:b w:val="false"/>
          <w:sz w:val="24"/>
          <w:szCs w:val="24"/>
        </w:rPr>
      </w:pPr>
      <w:r>
        <w:rPr>
          <w:b w:val="false"/>
          <w:sz w:val="24"/>
          <w:szCs w:val="24"/>
        </w:rPr>
        <w:t>- Приложение № 1 – Спецификация.</w:t>
      </w:r>
    </w:p>
    <w:p>
      <w:pPr>
        <w:pStyle w:val="Normal"/>
        <w:spacing w:before="0" w:after="120"/>
        <w:ind w:left="567" w:hanging="567"/>
        <w:rPr>
          <w:sz w:val="24"/>
          <w:szCs w:val="24"/>
        </w:rPr>
      </w:pPr>
      <w:bookmarkStart w:id="6" w:name="sub_1"/>
      <w:r>
        <w:rPr>
          <w:sz w:val="24"/>
          <w:szCs w:val="24"/>
        </w:rPr>
        <w:tab/>
        <w:t>- Приложение № 2 – Финансовое обеспечение исполнения обязательств.</w:t>
      </w:r>
      <w:bookmarkEnd w:id="6"/>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7"/>
        <w:gridCol w:w="4786"/>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786" w:type="dxa"/>
            <w:tcBorders/>
          </w:tcPr>
          <w:p>
            <w:pPr>
              <w:pStyle w:val="Normal"/>
              <w:widowControl w:val="false"/>
              <w:rPr>
                <w:b/>
                <w:sz w:val="24"/>
                <w:szCs w:val="24"/>
                <w:u w:val="single"/>
              </w:rPr>
            </w:pPr>
            <w:r>
              <w:rPr>
                <w:b/>
                <w:sz w:val="24"/>
                <w:szCs w:val="24"/>
                <w:u w:val="single"/>
              </w:rPr>
              <w:t>Поставщик:</w:t>
            </w:r>
          </w:p>
        </w:tc>
      </w:tr>
      <w:tr>
        <w:trPr/>
        <w:tc>
          <w:tcPr>
            <w:tcW w:w="4927" w:type="dxa"/>
            <w:tcBorders/>
          </w:tcPr>
          <w:p>
            <w:pPr>
              <w:pStyle w:val="Normal"/>
              <w:widowControl w:val="false"/>
              <w:rPr>
                <w:sz w:val="22"/>
                <w:szCs w:val="22"/>
              </w:rPr>
            </w:pPr>
            <w:r>
              <w:rPr>
                <w:sz w:val="22"/>
                <w:szCs w:val="22"/>
              </w:rPr>
            </w:r>
          </w:p>
          <w:p>
            <w:pPr>
              <w:pStyle w:val="Normal"/>
              <w:widowControl w:val="false"/>
              <w:rPr>
                <w:b/>
                <w:sz w:val="22"/>
                <w:szCs w:val="22"/>
              </w:rPr>
            </w:pPr>
            <w:r>
              <w:rPr>
                <w:b/>
                <w:sz w:val="22"/>
                <w:szCs w:val="22"/>
              </w:rPr>
              <w:t>Акционерное общество</w:t>
            </w:r>
          </w:p>
          <w:p>
            <w:pPr>
              <w:pStyle w:val="Normal"/>
              <w:widowControl w:val="false"/>
              <w:rPr>
                <w:b/>
                <w:sz w:val="22"/>
                <w:szCs w:val="22"/>
              </w:rPr>
            </w:pPr>
            <w:r>
              <w:rPr>
                <w:b/>
                <w:sz w:val="22"/>
                <w:szCs w:val="22"/>
              </w:rPr>
              <w:t>«Гидроремонт-ВКК» (АО «Гидроремонт-ВКК»)</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tc>
        <w:tc>
          <w:tcPr>
            <w:tcW w:w="4786"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юридического лица)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p>
            <w:pPr>
              <w:pStyle w:val="Normal"/>
              <w:widowControl w:val="false"/>
              <w:rPr>
                <w:sz w:val="22"/>
                <w:szCs w:val="22"/>
              </w:rPr>
            </w:pPr>
            <w:r>
              <w:rPr>
                <w:sz w:val="22"/>
                <w:szCs w:val="22"/>
              </w:rPr>
            </w:r>
          </w:p>
        </w:tc>
      </w:tr>
      <w:tr>
        <w:trPr/>
        <w:tc>
          <w:tcPr>
            <w:tcW w:w="492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w:t>
            </w:r>
            <w:r>
              <w:rPr>
                <w:sz w:val="22"/>
                <w:szCs w:val="22"/>
                <w:shd w:fill="FFFF00" w:val="clear"/>
              </w:rPr>
              <w:t>_______________</w:t>
            </w:r>
            <w:r>
              <w:rPr>
                <w:sz w:val="22"/>
                <w:szCs w:val="22"/>
              </w:rPr>
              <w:t xml:space="preserve"> /</w:t>
            </w:r>
          </w:p>
          <w:p>
            <w:pPr>
              <w:pStyle w:val="Normal"/>
              <w:widowControl w:val="false"/>
              <w:rPr>
                <w:sz w:val="22"/>
                <w:szCs w:val="22"/>
              </w:rPr>
            </w:pPr>
            <w:r>
              <w:rPr>
                <w:sz w:val="22"/>
                <w:szCs w:val="22"/>
              </w:rPr>
              <w:t>м.п.</w:t>
            </w:r>
          </w:p>
        </w:tc>
        <w:tc>
          <w:tcPr>
            <w:tcW w:w="4786"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w:t>
            </w:r>
            <w:r>
              <w:rPr>
                <w:sz w:val="22"/>
                <w:szCs w:val="22"/>
                <w:shd w:fill="FFFF00" w:val="clear"/>
              </w:rPr>
              <w:t>_______________</w:t>
            </w:r>
            <w:r>
              <w:rPr>
                <w:sz w:val="22"/>
                <w:szCs w:val="22"/>
              </w:rPr>
              <w:t xml:space="preserve"> /</w:t>
            </w:r>
          </w:p>
          <w:p>
            <w:pPr>
              <w:pStyle w:val="Normal"/>
              <w:widowControl w:val="false"/>
              <w:rPr>
                <w:sz w:val="22"/>
                <w:szCs w:val="22"/>
              </w:rPr>
            </w:pPr>
            <w:r>
              <w:rPr>
                <w:sz w:val="22"/>
                <w:szCs w:val="22"/>
              </w:rPr>
              <w:t>м.п.</w:t>
            </w:r>
          </w:p>
        </w:tc>
      </w:tr>
    </w:tbl>
    <w:p>
      <w:pPr>
        <w:sectPr>
          <w:headerReference w:type="default" r:id="rId8"/>
          <w:footerReference w:type="even" r:id="rId9"/>
          <w:footerReference w:type="default" r:id="rId10"/>
          <w:footerReference w:type="first" r:id="rId11"/>
          <w:footnotePr>
            <w:numFmt w:val="decimal"/>
          </w:footnotePr>
          <w:type w:val="nextPage"/>
          <w:pgSz w:w="11906" w:h="16838"/>
          <w:pgMar w:left="1701" w:right="849" w:gutter="0" w:header="720" w:top="1134" w:footer="720" w:bottom="1134"/>
          <w:pgNumType w:fmt="decimal"/>
          <w:formProt w:val="false"/>
          <w:textDirection w:val="lrTb"/>
          <w:docGrid w:type="default" w:linePitch="100" w:charSpace="8192"/>
        </w:sectPr>
      </w:pPr>
    </w:p>
    <w:p>
      <w:pPr>
        <w:pStyle w:val="BodyText"/>
        <w:numPr>
          <w:ilvl w:val="0"/>
          <w:numId w:val="0"/>
        </w:numPr>
        <w:spacing w:before="0" w:after="120"/>
        <w:ind w:left="0" w:firstLine="567"/>
        <w:jc w:val="right"/>
        <w:outlineLvl w:val="0"/>
        <w:rPr>
          <w:b/>
          <w:bCs/>
          <w:sz w:val="24"/>
          <w:szCs w:val="24"/>
        </w:rPr>
      </w:pPr>
      <w:r>
        <w:rPr>
          <w:b/>
          <w:bCs/>
          <w:sz w:val="24"/>
          <w:szCs w:val="24"/>
        </w:rPr>
        <w:t>Приложение № 1</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_____от «___» _________ ______ г.</w:t>
      </w:r>
    </w:p>
    <w:p>
      <w:pPr>
        <w:pStyle w:val="Normal"/>
        <w:numPr>
          <w:ilvl w:val="0"/>
          <w:numId w:val="0"/>
        </w:numPr>
        <w:spacing w:before="0" w:after="120"/>
        <w:ind w:left="0" w:firstLine="567"/>
        <w:jc w:val="center"/>
        <w:outlineLvl w:val="0"/>
        <w:rPr>
          <w:b/>
          <w:sz w:val="24"/>
          <w:szCs w:val="24"/>
        </w:rPr>
      </w:pPr>
      <w:r>
        <w:rPr>
          <w:b/>
          <w:sz w:val="24"/>
          <w:szCs w:val="24"/>
        </w:rPr>
        <w:t>Спецификация №__</w:t>
      </w:r>
    </w:p>
    <w:p>
      <w:pPr>
        <w:pStyle w:val="Normal"/>
        <w:numPr>
          <w:ilvl w:val="0"/>
          <w:numId w:val="0"/>
        </w:numPr>
        <w:spacing w:before="0" w:after="120"/>
        <w:ind w:left="0" w:firstLine="567"/>
        <w:jc w:val="center"/>
        <w:outlineLvl w:val="0"/>
        <w:rPr>
          <w:b/>
          <w:i/>
          <w:i/>
          <w:color w:val="FF0000"/>
          <w:sz w:val="22"/>
          <w:szCs w:val="22"/>
        </w:rPr>
      </w:pPr>
      <w:r>
        <w:rPr>
          <w:b/>
          <w:i/>
          <w:color w:val="FF0000"/>
          <w:sz w:val="22"/>
          <w:szCs w:val="22"/>
        </w:rPr>
        <w:t>(заполняется на основании предложения, указанного в заявке участника закупки и технических требований)</w:t>
      </w:r>
    </w:p>
    <w:tbl>
      <w:tblPr>
        <w:tblW w:w="10632" w:type="dxa"/>
        <w:jc w:val="left"/>
        <w:tblInd w:w="-175" w:type="dxa"/>
        <w:tblLayout w:type="fixed"/>
        <w:tblCellMar>
          <w:top w:w="0" w:type="dxa"/>
          <w:left w:w="108" w:type="dxa"/>
          <w:bottom w:w="0" w:type="dxa"/>
          <w:right w:w="108" w:type="dxa"/>
        </w:tblCellMar>
        <w:tblLook w:val="04a0" w:noHBand="0" w:noVBand="1" w:firstColumn="1" w:lastRow="0" w:lastColumn="0" w:firstRow="1"/>
      </w:tblPr>
      <w:tblGrid>
        <w:gridCol w:w="710"/>
        <w:gridCol w:w="850"/>
        <w:gridCol w:w="421"/>
        <w:gridCol w:w="1705"/>
        <w:gridCol w:w="1559"/>
        <w:gridCol w:w="708"/>
        <w:gridCol w:w="711"/>
        <w:gridCol w:w="849"/>
        <w:gridCol w:w="1701"/>
        <w:gridCol w:w="1417"/>
      </w:tblGrid>
      <w:tr>
        <w:trPr>
          <w:trHeight w:val="510" w:hRule="atLeast"/>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Поз. №</w:t>
            </w:r>
          </w:p>
        </w:tc>
        <w:tc>
          <w:tcPr>
            <w:tcW w:w="127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Наименование</w:t>
            </w:r>
          </w:p>
        </w:tc>
        <w:tc>
          <w:tcPr>
            <w:tcW w:w="170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bCs/>
                <w:sz w:val="22"/>
                <w:szCs w:val="22"/>
              </w:rPr>
            </w:pPr>
            <w:r>
              <w:rPr>
                <w:sz w:val="24"/>
                <w:szCs w:val="24"/>
              </w:rPr>
              <w:t>Страна происхождения Продукции / цифровой код страны</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Характеристики продукции</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Тип</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Ед. изм.</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Количество</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Цена  за единицу (руб., с НДС __%/ без НДС)</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Сумма (руб., с НДС __%/ без НДС)</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1.</w:t>
            </w:r>
          </w:p>
        </w:tc>
        <w:tc>
          <w:tcPr>
            <w:tcW w:w="1271"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1705"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w:t>
            </w:r>
          </w:p>
        </w:tc>
        <w:tc>
          <w:tcPr>
            <w:tcW w:w="7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w:t>
            </w:r>
          </w:p>
        </w:tc>
        <w:tc>
          <w:tcPr>
            <w:tcW w:w="84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w:t>
            </w:r>
          </w:p>
        </w:tc>
        <w:tc>
          <w:tcPr>
            <w:tcW w:w="170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2.</w:t>
            </w:r>
          </w:p>
        </w:tc>
        <w:tc>
          <w:tcPr>
            <w:tcW w:w="1271"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1705"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jc w:val="center"/>
              <w:rPr>
                <w:sz w:val="22"/>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w:t>
            </w:r>
          </w:p>
        </w:tc>
        <w:tc>
          <w:tcPr>
            <w:tcW w:w="7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w:t>
            </w:r>
          </w:p>
        </w:tc>
        <w:tc>
          <w:tcPr>
            <w:tcW w:w="84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w:t>
            </w:r>
          </w:p>
        </w:tc>
        <w:tc>
          <w:tcPr>
            <w:tcW w:w="170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w:t>
            </w:r>
          </w:p>
        </w:tc>
      </w:tr>
      <w:tr>
        <w:trPr>
          <w:trHeight w:val="255" w:hRule="atLeast"/>
        </w:trPr>
        <w:tc>
          <w:tcPr>
            <w:tcW w:w="1560"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b/>
                <w:sz w:val="22"/>
                <w:szCs w:val="24"/>
              </w:rPr>
            </w:pPr>
            <w:r>
              <w:rPr>
                <w:b/>
                <w:sz w:val="22"/>
                <w:szCs w:val="24"/>
              </w:rPr>
            </w:r>
          </w:p>
        </w:tc>
        <w:tc>
          <w:tcPr>
            <w:tcW w:w="765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b/>
                <w:sz w:val="22"/>
                <w:szCs w:val="24"/>
              </w:rPr>
              <w:t>ИТОГО*</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r>
        <w:trPr>
          <w:trHeight w:val="255" w:hRule="atLeast"/>
        </w:trPr>
        <w:tc>
          <w:tcPr>
            <w:tcW w:w="1560"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sz w:val="22"/>
                <w:szCs w:val="24"/>
              </w:rPr>
            </w:pPr>
            <w:r>
              <w:rPr>
                <w:sz w:val="22"/>
                <w:szCs w:val="24"/>
              </w:rPr>
            </w:r>
          </w:p>
        </w:tc>
        <w:tc>
          <w:tcPr>
            <w:tcW w:w="765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sz w:val="22"/>
                <w:szCs w:val="24"/>
              </w:rPr>
              <w:t>Итого с учетом НДС (</w:t>
            </w:r>
            <w:r>
              <w:rPr>
                <w:i/>
                <w:sz w:val="22"/>
                <w:szCs w:val="24"/>
              </w:rPr>
              <w:t>указывается при необходимости</w:t>
            </w:r>
            <w:r>
              <w:rPr>
                <w:sz w:val="22"/>
                <w:szCs w:val="24"/>
              </w:rPr>
              <w:t>)</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bl>
    <w:p>
      <w:pPr>
        <w:pStyle w:val="BodyText"/>
        <w:spacing w:before="0" w:after="120"/>
        <w:ind w:firstLine="567"/>
        <w:rPr>
          <w:b/>
          <w:bCs/>
          <w:i/>
          <w:i/>
          <w:sz w:val="24"/>
          <w:szCs w:val="24"/>
        </w:rPr>
      </w:pPr>
      <w:r>
        <w:rPr>
          <w:b/>
          <w:bCs/>
          <w:i/>
          <w:sz w:val="24"/>
          <w:szCs w:val="24"/>
        </w:rPr>
      </w:r>
    </w:p>
    <w:p>
      <w:pPr>
        <w:pStyle w:val="BodyText"/>
        <w:spacing w:before="0" w:after="120"/>
        <w:ind w:firstLine="567"/>
        <w:rPr>
          <w:b/>
          <w:bCs/>
          <w:i/>
          <w:i/>
          <w:sz w:val="24"/>
          <w:szCs w:val="24"/>
        </w:rPr>
      </w:pPr>
      <w:r>
        <w:rPr>
          <w:b/>
          <w:bCs/>
          <w:i/>
          <w:sz w:val="24"/>
          <w:szCs w:val="24"/>
        </w:rPr>
        <w:t>Условия поставки:</w:t>
      </w:r>
    </w:p>
    <w:p>
      <w:pPr>
        <w:pStyle w:val="Normal"/>
        <w:widowControl w:val="false"/>
        <w:numPr>
          <w:ilvl w:val="0"/>
          <w:numId w:val="23"/>
        </w:numPr>
        <w:tabs>
          <w:tab w:val="left" w:pos="720" w:leader="none"/>
        </w:tabs>
        <w:spacing w:before="0" w:after="120"/>
        <w:ind w:left="0" w:firstLine="284"/>
        <w:jc w:val="both"/>
        <w:rPr>
          <w:sz w:val="24"/>
          <w:szCs w:val="24"/>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sz w:val="24"/>
          <w:szCs w:val="24"/>
        </w:rPr>
        <w:t>.</w:t>
      </w:r>
    </w:p>
    <w:p>
      <w:pPr>
        <w:pStyle w:val="Normal"/>
        <w:widowControl w:val="false"/>
        <w:numPr>
          <w:ilvl w:val="0"/>
          <w:numId w:val="24"/>
        </w:numPr>
        <w:tabs>
          <w:tab w:val="left" w:pos="720" w:leader="none"/>
        </w:tabs>
        <w:spacing w:before="0" w:after="120"/>
        <w:ind w:left="0" w:firstLine="284"/>
        <w:jc w:val="both"/>
        <w:rPr>
          <w:sz w:val="24"/>
          <w:szCs w:val="24"/>
        </w:rPr>
      </w:pPr>
      <w:r>
        <w:rPr>
          <w:sz w:val="24"/>
          <w:szCs w:val="24"/>
        </w:rPr>
        <w:t>Наименование производителя: ______________________;</w:t>
      </w:r>
    </w:p>
    <w:p>
      <w:pPr>
        <w:pStyle w:val="Normal"/>
        <w:widowControl w:val="false"/>
        <w:numPr>
          <w:ilvl w:val="0"/>
          <w:numId w:val="25"/>
        </w:numPr>
        <w:tabs>
          <w:tab w:val="left" w:pos="720" w:leader="none"/>
        </w:tabs>
        <w:spacing w:before="0" w:after="120"/>
        <w:ind w:left="0" w:firstLine="284"/>
        <w:jc w:val="both"/>
        <w:rPr>
          <w:sz w:val="24"/>
          <w:szCs w:val="24"/>
        </w:rPr>
      </w:pPr>
      <w:r>
        <w:rPr>
          <w:sz w:val="24"/>
          <w:szCs w:val="24"/>
        </w:rPr>
        <w:t>Срок поставки Продукции: _______________________.</w:t>
      </w:r>
    </w:p>
    <w:p>
      <w:pPr>
        <w:pStyle w:val="Normal"/>
        <w:widowControl w:val="false"/>
        <w:numPr>
          <w:ilvl w:val="0"/>
          <w:numId w:val="26"/>
        </w:numPr>
        <w:tabs>
          <w:tab w:val="left" w:pos="720" w:leader="none"/>
        </w:tabs>
        <w:spacing w:before="0" w:after="120"/>
        <w:ind w:left="0" w:firstLine="284"/>
        <w:jc w:val="both"/>
        <w:rPr>
          <w:sz w:val="24"/>
          <w:szCs w:val="24"/>
        </w:rPr>
      </w:pPr>
      <w:r>
        <w:rPr>
          <w:sz w:val="24"/>
          <w:szCs w:val="24"/>
        </w:rPr>
        <w:t>Иные условия, предусмотренные техническими требованиями:_________________.</w:t>
      </w:r>
    </w:p>
    <w:p>
      <w:pPr>
        <w:pStyle w:val="BodyText"/>
        <w:spacing w:before="0" w:after="120"/>
        <w:ind w:firstLine="567"/>
        <w:rPr>
          <w:b/>
          <w:bCs/>
          <w:sz w:val="24"/>
          <w:szCs w:val="24"/>
        </w:rPr>
      </w:pPr>
      <w:r>
        <w:rPr>
          <w:b/>
          <w:sz w:val="24"/>
          <w:szCs w:val="24"/>
        </w:rPr>
        <w:t>*</w:t>
      </w:r>
      <w:r>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pPr>
        <w:pStyle w:val="Normal"/>
        <w:spacing w:before="0" w:after="120"/>
        <w:jc w:val="both"/>
        <w:rPr>
          <w:i/>
          <w:i/>
          <w:sz w:val="24"/>
          <w:szCs w:val="24"/>
        </w:rPr>
      </w:pPr>
      <w:r>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pPr>
        <w:pStyle w:val="Normal"/>
        <w:spacing w:before="0" w:after="120"/>
        <w:jc w:val="both"/>
        <w:rPr>
          <w:i/>
          <w:i/>
          <w:sz w:val="24"/>
          <w:szCs w:val="24"/>
        </w:rPr>
      </w:pPr>
      <w:r>
        <w:rPr>
          <w:i/>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pPr>
        <w:pStyle w:val="Normal"/>
        <w:spacing w:before="0" w:after="120"/>
        <w:jc w:val="both"/>
        <w:rPr>
          <w:sz w:val="24"/>
          <w:szCs w:val="24"/>
        </w:rPr>
      </w:pPr>
      <w:r>
        <w:rPr>
          <w:sz w:val="24"/>
          <w:szCs w:val="24"/>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r>
    </w:tbl>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highlight w:val="yellow"/>
        </w:rPr>
      </w:pPr>
      <w:r>
        <w:rPr>
          <w:b/>
          <w:bCs/>
          <w:sz w:val="24"/>
          <w:szCs w:val="24"/>
          <w:highlight w:val="yellow"/>
        </w:rPr>
        <w:t>Приложение № 2</w:t>
      </w:r>
    </w:p>
    <w:p>
      <w:pPr>
        <w:pStyle w:val="BodyText"/>
        <w:spacing w:before="0" w:after="120"/>
        <w:ind w:firstLine="567"/>
        <w:jc w:val="right"/>
        <w:rPr>
          <w:bCs/>
          <w:sz w:val="24"/>
          <w:szCs w:val="24"/>
          <w:highlight w:val="yellow"/>
        </w:rPr>
      </w:pPr>
      <w:r>
        <w:rPr>
          <w:bCs/>
          <w:sz w:val="24"/>
          <w:szCs w:val="24"/>
          <w:highlight w:val="yellow"/>
        </w:rPr>
        <w:t xml:space="preserve">к договору поставки </w:t>
      </w:r>
    </w:p>
    <w:p>
      <w:pPr>
        <w:pStyle w:val="BodyText"/>
        <w:widowControl w:val="false"/>
        <w:jc w:val="right"/>
        <w:rPr>
          <w:bCs/>
          <w:sz w:val="24"/>
          <w:szCs w:val="24"/>
          <w:highlight w:val="yellow"/>
        </w:rPr>
      </w:pPr>
      <w:r>
        <w:rPr>
          <w:bCs/>
          <w:sz w:val="24"/>
          <w:szCs w:val="24"/>
          <w:highlight w:val="yellow"/>
        </w:rPr>
        <w:t xml:space="preserve">№ </w:t>
      </w:r>
      <w:r>
        <w:rPr>
          <w:sz w:val="24"/>
          <w:highlight w:val="yellow"/>
        </w:rPr>
        <w:t xml:space="preserve">____________ </w:t>
      </w:r>
      <w:r>
        <w:rPr>
          <w:bCs/>
          <w:sz w:val="24"/>
          <w:szCs w:val="24"/>
          <w:highlight w:val="yellow"/>
        </w:rPr>
        <w:t>от «___» _________ 2023</w:t>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Normal"/>
        <w:widowControl w:val="false"/>
        <w:shd w:val="clear" w:color="auto" w:fill="FFFFFF"/>
        <w:tabs>
          <w:tab w:val="clear" w:pos="720"/>
          <w:tab w:val="left" w:pos="3054" w:leader="none"/>
        </w:tabs>
        <w:spacing w:before="0" w:after="120"/>
        <w:jc w:val="center"/>
        <w:rPr>
          <w:b/>
          <w:highlight w:val="yellow"/>
        </w:rPr>
      </w:pPr>
      <w:r>
        <w:rPr>
          <w:b/>
          <w:sz w:val="24"/>
          <w:szCs w:val="24"/>
          <w:highlight w:val="yellow"/>
        </w:rPr>
        <w:t>Финансовое обеспечение исполнения обязательств</w:t>
      </w:r>
    </w:p>
    <w:p>
      <w:pPr>
        <w:pStyle w:val="Normal"/>
        <w:spacing w:before="120" w:after="120"/>
        <w:ind w:firstLine="709"/>
        <w:jc w:val="both"/>
        <w:rPr>
          <w:bCs/>
          <w:sz w:val="24"/>
          <w:szCs w:val="24"/>
          <w:highlight w:val="yellow"/>
        </w:rPr>
      </w:pPr>
      <w:r>
        <w:rPr>
          <w:bCs/>
          <w:sz w:val="24"/>
          <w:szCs w:val="24"/>
          <w:highlight w:val="yellow"/>
        </w:rPr>
        <w:t>Условия банковской гарантии возврата предварительной оплаты (аванса)</w:t>
      </w:r>
      <w:r>
        <w:rPr>
          <w:bCs/>
          <w:sz w:val="28"/>
          <w:szCs w:val="28"/>
        </w:rPr>
        <w:t xml:space="preserve"> </w:t>
      </w:r>
      <w:r>
        <w:rPr>
          <w:bCs/>
          <w:sz w:val="24"/>
          <w:szCs w:val="24"/>
          <w:highlight w:val="yellow"/>
        </w:rPr>
        <w:t>/надлежащего исполнения обязательств по Договору</w:t>
      </w:r>
    </w:p>
    <w:p>
      <w:pPr>
        <w:pStyle w:val="Normal"/>
        <w:tabs>
          <w:tab w:val="clear" w:pos="720"/>
          <w:tab w:val="left" w:pos="540" w:leader="none"/>
        </w:tabs>
        <w:spacing w:before="20" w:after="20"/>
        <w:ind w:firstLine="709"/>
        <w:jc w:val="both"/>
        <w:rPr>
          <w:color w:val="000000"/>
          <w:sz w:val="24"/>
          <w:szCs w:val="24"/>
          <w:highlight w:val="yellow"/>
        </w:rPr>
      </w:pPr>
      <w:r>
        <w:rPr>
          <w:bCs/>
          <w:sz w:val="24"/>
          <w:szCs w:val="24"/>
          <w:highlight w:val="yellow"/>
        </w:rPr>
        <w:t>Под банковской гарантией понимается гарантия согласованного Обществом Банка</w:t>
      </w:r>
      <w:r>
        <w:rPr>
          <w:sz w:val="24"/>
          <w:szCs w:val="24"/>
          <w:highlight w:val="yellow"/>
        </w:rPr>
        <w:t xml:space="preserve">, </w:t>
      </w:r>
      <w:r>
        <w:rPr>
          <w:bCs/>
          <w:sz w:val="24"/>
          <w:szCs w:val="24"/>
          <w:highlight w:val="yellow"/>
        </w:rPr>
        <w:t>которая будет регулироваться унифицированными правилами Международной торговой палаты – публикация МТП № 758 (ICC Uniform Rules for Demand Guarantees – ICC Publication № 758) в той мере, в какой указанные правила не противоречат императивным нормам законодательства Российской Федерации и следующим основным условиям</w:t>
      </w:r>
      <w:r>
        <w:rPr>
          <w:color w:val="000000"/>
          <w:sz w:val="24"/>
          <w:szCs w:val="24"/>
          <w:highlight w:val="yellow"/>
        </w:rPr>
        <w:t>:</w:t>
      </w:r>
    </w:p>
    <w:p>
      <w:pPr>
        <w:pStyle w:val="Normal"/>
        <w:numPr>
          <w:ilvl w:val="0"/>
          <w:numId w:val="15"/>
        </w:numPr>
        <w:tabs>
          <w:tab w:val="clear" w:pos="720"/>
          <w:tab w:val="left" w:pos="1134" w:leader="none"/>
        </w:tabs>
        <w:spacing w:before="20" w:after="20"/>
        <w:ind w:left="0" w:firstLine="709"/>
        <w:jc w:val="both"/>
        <w:rPr>
          <w:color w:val="000000"/>
          <w:sz w:val="24"/>
          <w:szCs w:val="24"/>
          <w:highlight w:val="yellow"/>
        </w:rPr>
      </w:pPr>
      <w:r>
        <w:rPr>
          <w:color w:val="000000"/>
          <w:sz w:val="24"/>
          <w:szCs w:val="24"/>
          <w:highlight w:val="yellow"/>
        </w:rPr>
        <w:t>банковская гарантия должна быть безотзывной и безусловной (гарантия по первому требованию);</w:t>
      </w:r>
    </w:p>
    <w:p>
      <w:pPr>
        <w:pStyle w:val="Normal"/>
        <w:numPr>
          <w:ilvl w:val="0"/>
          <w:numId w:val="15"/>
        </w:numPr>
        <w:tabs>
          <w:tab w:val="clear" w:pos="720"/>
          <w:tab w:val="left" w:pos="1134" w:leader="none"/>
        </w:tabs>
        <w:spacing w:before="20" w:after="20"/>
        <w:ind w:left="0" w:firstLine="709"/>
        <w:jc w:val="both"/>
        <w:rPr>
          <w:color w:val="000000"/>
          <w:sz w:val="24"/>
          <w:szCs w:val="24"/>
          <w:highlight w:val="yellow"/>
        </w:rPr>
      </w:pPr>
      <w:r>
        <w:rPr>
          <w:color w:val="000000"/>
          <w:sz w:val="24"/>
          <w:szCs w:val="24"/>
          <w:highlight w:val="yellow"/>
        </w:rPr>
        <w:t>бенефициар по банковской гарантии - Покупатель, принципал – Поставщик;</w:t>
      </w:r>
    </w:p>
    <w:p>
      <w:pPr>
        <w:pStyle w:val="Normal"/>
        <w:numPr>
          <w:ilvl w:val="0"/>
          <w:numId w:val="15"/>
        </w:numPr>
        <w:tabs>
          <w:tab w:val="clear" w:pos="720"/>
          <w:tab w:val="left" w:pos="1134" w:leader="none"/>
        </w:tabs>
        <w:spacing w:before="20" w:after="20"/>
        <w:ind w:left="0" w:firstLine="709"/>
        <w:jc w:val="both"/>
        <w:rPr>
          <w:color w:val="000000"/>
          <w:sz w:val="24"/>
          <w:szCs w:val="24"/>
          <w:highlight w:val="yellow"/>
        </w:rPr>
      </w:pPr>
      <w:r>
        <w:rPr>
          <w:color w:val="000000"/>
          <w:sz w:val="24"/>
          <w:szCs w:val="24"/>
          <w:highlight w:val="yellow"/>
        </w:rPr>
        <w:t xml:space="preserve">сумма банковской гарантии выражена в валюте расчетов </w:t>
        <w:br/>
        <w:t>по Договору;</w:t>
      </w:r>
    </w:p>
    <w:p>
      <w:pPr>
        <w:pStyle w:val="Normal"/>
        <w:numPr>
          <w:ilvl w:val="0"/>
          <w:numId w:val="15"/>
        </w:numPr>
        <w:tabs>
          <w:tab w:val="clear" w:pos="720"/>
          <w:tab w:val="left" w:pos="1134" w:leader="none"/>
        </w:tabs>
        <w:spacing w:before="20" w:after="20"/>
        <w:ind w:left="0" w:firstLine="709"/>
        <w:jc w:val="both"/>
        <w:rPr>
          <w:color w:val="000000"/>
          <w:sz w:val="24"/>
          <w:szCs w:val="24"/>
          <w:highlight w:val="yellow"/>
        </w:rPr>
      </w:pPr>
      <w:r>
        <w:rPr>
          <w:color w:val="000000"/>
          <w:sz w:val="24"/>
          <w:szCs w:val="24"/>
          <w:highlight w:val="yellow"/>
        </w:rPr>
        <w:t xml:space="preserve">сумма банковской гарантии возврата авансового платежа – не менее 100 (ста) процентов от суммы уплачиваемого по Договору аванса </w:t>
        <w:br/>
        <w:t>(в совокупной сумме с учетом ранее выплаченных и неотработанных авансовых платежей);</w:t>
      </w:r>
    </w:p>
    <w:p>
      <w:pPr>
        <w:pStyle w:val="Normal"/>
        <w:numPr>
          <w:ilvl w:val="0"/>
          <w:numId w:val="15"/>
        </w:numPr>
        <w:tabs>
          <w:tab w:val="clear" w:pos="720"/>
          <w:tab w:val="left" w:pos="1134" w:leader="none"/>
        </w:tabs>
        <w:spacing w:before="20" w:after="20"/>
        <w:ind w:left="0" w:firstLine="709"/>
        <w:jc w:val="both"/>
        <w:rPr>
          <w:color w:val="000000"/>
          <w:sz w:val="24"/>
          <w:szCs w:val="24"/>
          <w:highlight w:val="yellow"/>
        </w:rPr>
      </w:pPr>
      <w:r>
        <w:rPr>
          <w:color w:val="000000"/>
          <w:sz w:val="24"/>
          <w:szCs w:val="24"/>
          <w:highlight w:val="yellow"/>
        </w:rPr>
        <w:t>сумма банковской гарантии надлежащего исполнения обязательств по Договору должна составлять не менее:</w:t>
      </w:r>
    </w:p>
    <w:p>
      <w:pPr>
        <w:pStyle w:val="Normal"/>
        <w:numPr>
          <w:ilvl w:val="0"/>
          <w:numId w:val="16"/>
        </w:numPr>
        <w:tabs>
          <w:tab w:val="clear" w:pos="720"/>
          <w:tab w:val="left" w:pos="1134" w:leader="none"/>
        </w:tabs>
        <w:spacing w:before="20" w:after="20"/>
        <w:ind w:left="0" w:firstLine="709"/>
        <w:jc w:val="both"/>
        <w:rPr>
          <w:color w:val="000000"/>
          <w:sz w:val="24"/>
          <w:szCs w:val="24"/>
          <w:highlight w:val="yellow"/>
        </w:rPr>
      </w:pPr>
      <w:r>
        <w:rPr>
          <w:color w:val="000000"/>
          <w:sz w:val="24"/>
          <w:szCs w:val="24"/>
          <w:highlight w:val="yellow"/>
        </w:rPr>
        <w:t>10 (десяти) процентов от цены Договора / объекта;</w:t>
      </w:r>
    </w:p>
    <w:p>
      <w:pPr>
        <w:pStyle w:val="Normal"/>
        <w:numPr>
          <w:ilvl w:val="0"/>
          <w:numId w:val="15"/>
        </w:numPr>
        <w:tabs>
          <w:tab w:val="clear" w:pos="720"/>
          <w:tab w:val="left" w:pos="1134" w:leader="none"/>
        </w:tabs>
        <w:spacing w:before="20" w:after="20"/>
        <w:ind w:left="0" w:firstLine="709"/>
        <w:jc w:val="both"/>
        <w:rPr>
          <w:color w:val="000000"/>
          <w:sz w:val="24"/>
          <w:szCs w:val="24"/>
          <w:highlight w:val="yellow"/>
        </w:rPr>
      </w:pPr>
      <w:r>
        <w:rPr>
          <w:color w:val="000000"/>
          <w:sz w:val="24"/>
          <w:szCs w:val="24"/>
          <w:highlight w:val="yellow"/>
        </w:rPr>
        <w:t>срок окончания банковской гарантии - не ранее 70 (семидесяти) календарных дней после наступления даты, в которую заканчивается срок исполнения обязательств по Договору в целом, предусмотренной Договором.</w:t>
      </w:r>
    </w:p>
    <w:p>
      <w:pPr>
        <w:pStyle w:val="Normal"/>
        <w:spacing w:before="20" w:after="20"/>
        <w:ind w:firstLine="709"/>
        <w:jc w:val="both"/>
        <w:rPr>
          <w:sz w:val="24"/>
          <w:szCs w:val="24"/>
          <w:highlight w:val="yellow"/>
        </w:rPr>
      </w:pPr>
      <w:r>
        <w:rPr>
          <w:bCs/>
          <w:sz w:val="24"/>
          <w:szCs w:val="24"/>
          <w:highlight w:val="yellow"/>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о предъявлении суммы обеспечения к оплате, как полностью, так </w:t>
        <w:br/>
        <w:t xml:space="preserve">и частично, с указанием на существо допущенных Поставщиком нарушений, </w:t>
        <w:br/>
        <w:t>в том числе в случаях</w:t>
      </w:r>
      <w:r>
        <w:rPr>
          <w:sz w:val="24"/>
          <w:szCs w:val="24"/>
          <w:highlight w:val="yellow"/>
        </w:rPr>
        <w:t>:</w:t>
      </w:r>
    </w:p>
    <w:p>
      <w:pPr>
        <w:pStyle w:val="Normal"/>
        <w:numPr>
          <w:ilvl w:val="0"/>
          <w:numId w:val="14"/>
        </w:numPr>
        <w:tabs>
          <w:tab w:val="clear" w:pos="720"/>
          <w:tab w:val="left" w:pos="1134" w:leader="none"/>
        </w:tabs>
        <w:spacing w:before="20" w:after="20"/>
        <w:ind w:left="0" w:firstLine="709"/>
        <w:jc w:val="both"/>
        <w:rPr>
          <w:color w:val="000000"/>
          <w:sz w:val="24"/>
          <w:szCs w:val="24"/>
          <w:highlight w:val="yellow"/>
        </w:rPr>
      </w:pPr>
      <w:r>
        <w:rPr>
          <w:color w:val="000000"/>
          <w:sz w:val="24"/>
          <w:szCs w:val="24"/>
          <w:highlight w:val="yellow"/>
        </w:rPr>
        <w:t>отказа Поставщика от исполнения обязательств по Договору, в том числе одностороннего отказа от Договора;</w:t>
      </w:r>
    </w:p>
    <w:p>
      <w:pPr>
        <w:pStyle w:val="Normal"/>
        <w:numPr>
          <w:ilvl w:val="0"/>
          <w:numId w:val="14"/>
        </w:numPr>
        <w:tabs>
          <w:tab w:val="clear" w:pos="720"/>
          <w:tab w:val="left" w:pos="1134" w:leader="none"/>
        </w:tabs>
        <w:spacing w:before="20" w:after="20"/>
        <w:ind w:left="0" w:firstLine="709"/>
        <w:jc w:val="both"/>
        <w:rPr>
          <w:color w:val="000000"/>
          <w:sz w:val="24"/>
          <w:szCs w:val="24"/>
          <w:highlight w:val="yellow"/>
        </w:rPr>
      </w:pPr>
      <w:r>
        <w:rPr>
          <w:color w:val="000000"/>
          <w:sz w:val="24"/>
          <w:szCs w:val="24"/>
          <w:highlight w:val="yellow"/>
        </w:rPr>
        <w:t xml:space="preserve">отказа Поставщика от возврата неотработанного аванса </w:t>
        <w:br/>
        <w:t xml:space="preserve">при досрочном прекращении Договора/признании Договора недействительным; </w:t>
      </w:r>
    </w:p>
    <w:p>
      <w:pPr>
        <w:pStyle w:val="Normal"/>
        <w:numPr>
          <w:ilvl w:val="0"/>
          <w:numId w:val="14"/>
        </w:numPr>
        <w:tabs>
          <w:tab w:val="clear" w:pos="720"/>
          <w:tab w:val="left" w:pos="1134" w:leader="none"/>
        </w:tabs>
        <w:spacing w:before="20" w:after="20"/>
        <w:ind w:left="0" w:firstLine="709"/>
        <w:jc w:val="both"/>
        <w:rPr>
          <w:color w:val="000000"/>
          <w:sz w:val="24"/>
          <w:szCs w:val="24"/>
          <w:highlight w:val="yellow"/>
        </w:rPr>
      </w:pPr>
      <w:r>
        <w:rPr>
          <w:color w:val="000000"/>
          <w:sz w:val="24"/>
          <w:szCs w:val="24"/>
          <w:highlight w:val="yellow"/>
        </w:rPr>
        <w:t xml:space="preserve">нарушения Поставщиком сроков поставки, установленных Календарным графиком, более чем </w:t>
        <w:br/>
        <w:t>на 15 (пятнадцать) календарных дней;</w:t>
      </w:r>
    </w:p>
    <w:p>
      <w:pPr>
        <w:pStyle w:val="Normal"/>
        <w:numPr>
          <w:ilvl w:val="0"/>
          <w:numId w:val="14"/>
        </w:numPr>
        <w:tabs>
          <w:tab w:val="clear" w:pos="720"/>
          <w:tab w:val="left" w:pos="1134" w:leader="none"/>
        </w:tabs>
        <w:spacing w:before="20" w:after="20"/>
        <w:ind w:left="0" w:firstLine="709"/>
        <w:jc w:val="both"/>
        <w:rPr>
          <w:color w:val="000000"/>
          <w:sz w:val="24"/>
          <w:szCs w:val="24"/>
          <w:highlight w:val="yellow"/>
        </w:rPr>
      </w:pPr>
      <w:r>
        <w:rPr>
          <w:color w:val="000000"/>
          <w:sz w:val="24"/>
          <w:szCs w:val="24"/>
          <w:highlight w:val="yellow"/>
        </w:rPr>
        <w:t xml:space="preserve"> </w:t>
      </w:r>
      <w:r>
        <w:rPr>
          <w:color w:val="000000"/>
          <w:sz w:val="24"/>
          <w:szCs w:val="24"/>
          <w:highlight w:val="yellow"/>
        </w:rPr>
        <w:t>утраты Поставщиком специальных разрешений (в том числе отзыв, прекращение (приостановление) действие допусков, разрешений) и / или лицензий, предоставляющих Поставщику возможность надлежащего исполнения обязательств по Договору;</w:t>
      </w:r>
    </w:p>
    <w:p>
      <w:pPr>
        <w:pStyle w:val="Normal"/>
        <w:numPr>
          <w:ilvl w:val="0"/>
          <w:numId w:val="14"/>
        </w:numPr>
        <w:tabs>
          <w:tab w:val="clear" w:pos="720"/>
          <w:tab w:val="left" w:pos="1134" w:leader="none"/>
        </w:tabs>
        <w:spacing w:before="20" w:after="20"/>
        <w:ind w:left="0" w:firstLine="709"/>
        <w:jc w:val="both"/>
        <w:rPr>
          <w:bCs/>
          <w:sz w:val="24"/>
          <w:szCs w:val="24"/>
          <w:highlight w:val="yellow"/>
        </w:rPr>
      </w:pPr>
      <w:r>
        <w:rPr>
          <w:color w:val="000000"/>
          <w:sz w:val="24"/>
          <w:szCs w:val="24"/>
          <w:highlight w:val="yellow"/>
        </w:rPr>
        <w:t xml:space="preserve">прекращения членства в СРО, основанной на членстве лиц, осуществляющих / выполняющих инженерные изыскания / подготовку проектной документации или осуществляющих строительство; </w:t>
      </w:r>
    </w:p>
    <w:p>
      <w:pPr>
        <w:pStyle w:val="Normal"/>
        <w:numPr>
          <w:ilvl w:val="0"/>
          <w:numId w:val="14"/>
        </w:numPr>
        <w:tabs>
          <w:tab w:val="clear" w:pos="720"/>
          <w:tab w:val="left" w:pos="1134" w:leader="none"/>
        </w:tabs>
        <w:spacing w:before="20" w:after="20"/>
        <w:ind w:left="0" w:firstLine="709"/>
        <w:jc w:val="both"/>
        <w:rPr>
          <w:color w:val="000000"/>
          <w:sz w:val="24"/>
          <w:szCs w:val="24"/>
          <w:highlight w:val="yellow"/>
        </w:rPr>
      </w:pPr>
      <w:r>
        <w:rPr>
          <w:color w:val="000000"/>
          <w:sz w:val="24"/>
          <w:szCs w:val="24"/>
          <w:highlight w:val="yellow"/>
        </w:rPr>
        <w:t>введения арбитражным судом процедуры несостоятельности (банкротства) в отношении Поставщика;</w:t>
      </w:r>
    </w:p>
    <w:p>
      <w:pPr>
        <w:pStyle w:val="Normal"/>
        <w:numPr>
          <w:ilvl w:val="0"/>
          <w:numId w:val="14"/>
        </w:numPr>
        <w:tabs>
          <w:tab w:val="clear" w:pos="720"/>
          <w:tab w:val="left" w:pos="1134" w:leader="none"/>
        </w:tabs>
        <w:spacing w:before="20" w:after="20"/>
        <w:ind w:left="0" w:firstLine="709"/>
        <w:jc w:val="both"/>
        <w:rPr>
          <w:color w:val="000000"/>
          <w:sz w:val="24"/>
          <w:szCs w:val="24"/>
          <w:highlight w:val="yellow"/>
        </w:rPr>
      </w:pPr>
      <w:r>
        <w:rPr>
          <w:color w:val="000000"/>
          <w:sz w:val="24"/>
          <w:szCs w:val="24"/>
          <w:highlight w:val="yellow"/>
        </w:rPr>
        <w:t xml:space="preserve">установления в ходе исполнения Договора фактов несоответствия Поставщика установленным документацией о закупке требованиям </w:t>
        <w:br/>
        <w:t xml:space="preserve">к участникам закупки и / или предоставления недостоверной информации </w:t>
        <w:br/>
        <w:t>о своем соответствии таким требованиям, а также недостоверности, неточности или неполноты заверений Поставщика об обстоятельствах, указанных в Договоре, и имеющих существенное значение для его заключения и исполнения;</w:t>
      </w:r>
    </w:p>
    <w:p>
      <w:pPr>
        <w:pStyle w:val="Normal"/>
        <w:numPr>
          <w:ilvl w:val="0"/>
          <w:numId w:val="14"/>
        </w:numPr>
        <w:tabs>
          <w:tab w:val="clear" w:pos="720"/>
          <w:tab w:val="left" w:pos="1134" w:leader="none"/>
        </w:tabs>
        <w:spacing w:before="20" w:after="20"/>
        <w:ind w:left="0" w:firstLine="709"/>
        <w:jc w:val="both"/>
        <w:rPr>
          <w:sz w:val="24"/>
          <w:szCs w:val="24"/>
          <w:highlight w:val="yellow"/>
        </w:rPr>
      </w:pPr>
      <w:r>
        <w:rPr>
          <w:color w:val="000000"/>
          <w:sz w:val="24"/>
          <w:szCs w:val="24"/>
          <w:highlight w:val="yellow"/>
        </w:rPr>
        <w:t>признания Договора недействительным по причинам отсутствия необходимых</w:t>
      </w:r>
      <w:r>
        <w:rPr>
          <w:sz w:val="24"/>
          <w:szCs w:val="24"/>
          <w:highlight w:val="yellow"/>
        </w:rPr>
        <w:t xml:space="preserve"> корпоративных одобрений у </w:t>
      </w:r>
      <w:r>
        <w:rPr>
          <w:color w:val="000000"/>
          <w:sz w:val="24"/>
          <w:szCs w:val="24"/>
          <w:highlight w:val="yellow"/>
        </w:rPr>
        <w:t>Поставщика</w:t>
      </w:r>
      <w:r>
        <w:rPr>
          <w:sz w:val="24"/>
          <w:szCs w:val="24"/>
          <w:highlight w:val="yellow"/>
        </w:rPr>
        <w:t>;</w:t>
      </w:r>
    </w:p>
    <w:p>
      <w:pPr>
        <w:pStyle w:val="Normal"/>
        <w:numPr>
          <w:ilvl w:val="0"/>
          <w:numId w:val="14"/>
        </w:numPr>
        <w:tabs>
          <w:tab w:val="clear" w:pos="720"/>
          <w:tab w:val="left" w:pos="1134" w:leader="none"/>
        </w:tabs>
        <w:spacing w:before="20" w:after="20"/>
        <w:ind w:left="0" w:firstLine="709"/>
        <w:jc w:val="both"/>
        <w:rPr>
          <w:sz w:val="24"/>
          <w:szCs w:val="24"/>
          <w:highlight w:val="yellow"/>
        </w:rPr>
      </w:pPr>
      <w:r>
        <w:rPr>
          <w:sz w:val="24"/>
          <w:szCs w:val="24"/>
          <w:highlight w:val="yellow"/>
        </w:rPr>
        <w:t xml:space="preserve">не предоставления </w:t>
      </w:r>
      <w:r>
        <w:rPr>
          <w:color w:val="000000"/>
          <w:sz w:val="24"/>
          <w:szCs w:val="24"/>
          <w:highlight w:val="yellow"/>
        </w:rPr>
        <w:t xml:space="preserve">Поставщиком </w:t>
      </w:r>
      <w:r>
        <w:rPr>
          <w:sz w:val="24"/>
          <w:szCs w:val="24"/>
          <w:highlight w:val="yellow"/>
        </w:rPr>
        <w:t xml:space="preserve">в срок не позднее чем </w:t>
        <w:br/>
        <w:t xml:space="preserve">за 30 (тридцать) календарных дней до даты истечения срока действия банковской гарантии новой банковской гарантии или изменения </w:t>
        <w:br/>
        <w:t xml:space="preserve">к действующей гарантии в части увеличения срока ее действия на новый период, в случаях если срок исполнения обязательств </w:t>
      </w:r>
      <w:r>
        <w:rPr>
          <w:color w:val="000000"/>
          <w:sz w:val="24"/>
          <w:szCs w:val="24"/>
          <w:highlight w:val="yellow"/>
        </w:rPr>
        <w:t>Поставщика</w:t>
      </w:r>
      <w:r>
        <w:rPr>
          <w:sz w:val="24"/>
          <w:szCs w:val="24"/>
          <w:highlight w:val="yellow"/>
        </w:rPr>
        <w:br/>
        <w:t>по Договору превышает срок действия банковской гарантии либо срок исполнения обязательств продлен.</w:t>
      </w:r>
    </w:p>
    <w:p>
      <w:pPr>
        <w:pStyle w:val="Normal"/>
        <w:spacing w:before="20" w:after="20"/>
        <w:ind w:firstLine="709"/>
        <w:jc w:val="both"/>
        <w:rPr>
          <w:color w:val="000000"/>
          <w:sz w:val="24"/>
          <w:szCs w:val="24"/>
          <w:highlight w:val="yellow"/>
        </w:rPr>
      </w:pPr>
      <w:r>
        <w:rPr>
          <w:color w:val="000000"/>
          <w:sz w:val="24"/>
          <w:szCs w:val="24"/>
          <w:highlight w:val="yellow"/>
        </w:rPr>
        <w:t>Вместе с требованием о предъявлении суммы обеспечения к оплате Покупатель направляет Банку-гаранту копию банковской гарантии.</w:t>
      </w:r>
    </w:p>
    <w:p>
      <w:pPr>
        <w:pStyle w:val="Normal"/>
        <w:spacing w:before="20" w:after="20"/>
        <w:ind w:firstLine="709"/>
        <w:jc w:val="both"/>
        <w:rPr>
          <w:sz w:val="24"/>
          <w:szCs w:val="24"/>
          <w:highlight w:val="yellow"/>
        </w:rPr>
      </w:pPr>
      <w:r>
        <w:rPr>
          <w:bCs/>
          <w:sz w:val="24"/>
          <w:szCs w:val="24"/>
          <w:highlight w:val="yellow"/>
        </w:rPr>
        <w:t xml:space="preserve">Банковской гарантией возврата авансового платежа может быть предусмотрено условие о предоставлении вместе с требованием </w:t>
        <w:br/>
        <w:t>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pPr>
        <w:pStyle w:val="Normal"/>
        <w:spacing w:before="20" w:after="20"/>
        <w:ind w:firstLine="709"/>
        <w:jc w:val="both"/>
        <w:rPr>
          <w:sz w:val="24"/>
          <w:szCs w:val="24"/>
          <w:highlight w:val="yellow"/>
        </w:rPr>
      </w:pPr>
      <w:r>
        <w:rPr>
          <w:sz w:val="24"/>
          <w:szCs w:val="24"/>
          <w:highlight w:val="yellow"/>
        </w:rPr>
        <w:t xml:space="preserve">Платеж по банковской гарантии осуществляется Банком-гарантом </w:t>
        <w:br/>
        <w:t>в течение 10 (десяти) рабочих дней после обращения бенефициара (Покупателя).</w:t>
      </w:r>
    </w:p>
    <w:p>
      <w:pPr>
        <w:pStyle w:val="Normal"/>
        <w:spacing w:before="20" w:after="20"/>
        <w:ind w:firstLine="709"/>
        <w:jc w:val="both"/>
        <w:rPr>
          <w:sz w:val="24"/>
          <w:szCs w:val="24"/>
          <w:highlight w:val="yellow"/>
        </w:rPr>
      </w:pPr>
      <w:r>
        <w:rPr>
          <w:sz w:val="24"/>
          <w:szCs w:val="24"/>
          <w:highlight w:val="yellow"/>
        </w:rPr>
        <w:t>Сумма банковской гарантии возврата авансового платежа по согласованию 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pPr>
        <w:pStyle w:val="Normal"/>
        <w:spacing w:before="20" w:after="20"/>
        <w:ind w:firstLine="709"/>
        <w:jc w:val="both"/>
        <w:rPr>
          <w:sz w:val="24"/>
          <w:szCs w:val="24"/>
          <w:highlight w:val="yellow"/>
        </w:rPr>
      </w:pPr>
      <w:r>
        <w:rPr>
          <w:sz w:val="24"/>
          <w:szCs w:val="24"/>
          <w:highlight w:val="yellow"/>
        </w:rPr>
        <w:t>Внесение изменений и дополнений в Договор в период срока действия банковской гарантии не освобождает Банк-гарант от обязательств перед бенефициаром по банковской гарантии.</w:t>
      </w:r>
    </w:p>
    <w:p>
      <w:pPr>
        <w:pStyle w:val="Normal"/>
        <w:ind w:firstLine="709"/>
        <w:jc w:val="both"/>
        <w:rPr>
          <w:sz w:val="24"/>
          <w:szCs w:val="24"/>
          <w:highlight w:val="yellow"/>
        </w:rPr>
      </w:pPr>
      <w:r>
        <w:rPr>
          <w:sz w:val="24"/>
          <w:szCs w:val="24"/>
          <w:highlight w:val="yellow"/>
        </w:rPr>
        <w:t>Принадлежащее Покупателю по Гарантии право требования к Гаранту может быть передано новому бенефициару - компании, входящей в Группу РусГидро, с последующим письменным уведомлением Бенефициаром Гаранта о смене Бенефициара по Гарантии.</w:t>
      </w:r>
    </w:p>
    <w:p>
      <w:pPr>
        <w:pStyle w:val="Normal"/>
        <w:spacing w:before="20" w:after="20"/>
        <w:ind w:firstLine="709"/>
        <w:jc w:val="both"/>
        <w:rPr>
          <w:bCs/>
          <w:sz w:val="24"/>
          <w:szCs w:val="24"/>
          <w:highlight w:val="yellow"/>
        </w:rPr>
      </w:pPr>
      <w:r>
        <w:rPr>
          <w:bCs/>
          <w:sz w:val="24"/>
          <w:szCs w:val="24"/>
          <w:highlight w:val="yellow"/>
        </w:rPr>
        <w:t xml:space="preserve">Банковская гарантия должна быть подчинена материальному праву Российской Федерации и предусматривать Арбитражный суд г. Москвы </w:t>
        <w:br/>
        <w:t>в качестве органа, компетентного разрешать споры из банковской гарантии.</w:t>
      </w:r>
    </w:p>
    <w:p>
      <w:pPr>
        <w:pStyle w:val="BodyText"/>
        <w:numPr>
          <w:ilvl w:val="0"/>
          <w:numId w:val="0"/>
        </w:numPr>
        <w:ind w:left="0" w:hanging="0"/>
        <w:outlineLvl w:val="0"/>
        <w:rPr>
          <w:b/>
          <w:bCs/>
          <w:sz w:val="24"/>
          <w:szCs w:val="24"/>
          <w:highlight w:val="yellow"/>
        </w:rPr>
      </w:pPr>
      <w:r>
        <w:rPr>
          <w:sz w:val="24"/>
          <w:szCs w:val="24"/>
          <w:highlight w:val="yellow"/>
        </w:rPr>
        <w:t>Банковская гарантия не должна содержать условий или требований, противоречащих изложенному или делающих изложенное неисполнимым.</w:t>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Cs w:val="24"/>
                <w:highlight w:val="yellow"/>
                <w:u w:val="single"/>
                <w:lang w:val="ru-RU"/>
              </w:rPr>
            </w:pPr>
            <w:r>
              <w:rPr>
                <w:rFonts w:ascii="Times New Roman" w:hAnsi="Times New Roman"/>
                <w:b/>
                <w:sz w:val="24"/>
                <w:szCs w:val="24"/>
                <w:highlight w:val="yellow"/>
                <w:u w:val="single"/>
                <w:lang w:val="ru-RU"/>
              </w:rPr>
              <w:t>Покупатель</w:t>
            </w:r>
            <w:r>
              <w:rPr>
                <w:rFonts w:ascii="Times New Roman" w:hAnsi="Times New Roman"/>
                <w:b/>
                <w:sz w:val="24"/>
                <w:szCs w:val="24"/>
                <w:highlight w:val="yellow"/>
                <w:u w:val="single"/>
              </w:rPr>
              <w:t>:</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highlight w:val="yellow"/>
                <w:u w:val="single"/>
                <w:lang w:val="ru-RU"/>
              </w:rPr>
            </w:pPr>
            <w:r>
              <w:rPr>
                <w:rFonts w:ascii="Times New Roman" w:hAnsi="Times New Roman"/>
                <w:b/>
                <w:sz w:val="24"/>
                <w:szCs w:val="24"/>
                <w:highlight w:val="yellow"/>
                <w:u w:val="single"/>
                <w:lang w:val="ru-RU"/>
              </w:rPr>
              <w:t>Поставщик</w:t>
            </w:r>
            <w:r>
              <w:rPr>
                <w:rFonts w:ascii="Times New Roman" w:hAnsi="Times New Roman"/>
                <w:b/>
                <w:sz w:val="24"/>
                <w:szCs w:val="24"/>
                <w:highlight w:val="yellow"/>
                <w:u w:val="single"/>
              </w:rPr>
              <w:t>:</w:t>
            </w:r>
          </w:p>
          <w:p>
            <w:pPr>
              <w:pStyle w:val="Style18"/>
              <w:widowControl w:val="false"/>
              <w:spacing w:lineRule="auto" w:line="240" w:before="0" w:after="120"/>
              <w:ind w:firstLine="567"/>
              <w:jc w:val="left"/>
              <w:rPr>
                <w:rFonts w:ascii="Times New Roman" w:hAnsi="Times New Roman"/>
                <w:szCs w:val="24"/>
                <w:highlight w:val="yellow"/>
                <w:u w:val="single"/>
                <w:lang w:val="ru-RU"/>
              </w:rPr>
            </w:pPr>
            <w:r>
              <w:rPr>
                <w:rFonts w:ascii="Times New Roman" w:hAnsi="Times New Roman"/>
                <w:szCs w:val="24"/>
                <w:highlight w:val="yellow"/>
                <w:u w:val="single"/>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highlight w:val="yellow"/>
                <w:lang w:val="ru-RU"/>
              </w:rPr>
            </w:pPr>
            <w:r>
              <w:rPr>
                <w:rFonts w:ascii="Times New Roman" w:hAnsi="Times New Roman"/>
                <w:sz w:val="24"/>
                <w:szCs w:val="24"/>
                <w:highlight w:val="yellow"/>
                <w:lang w:val="ru-RU"/>
              </w:rPr>
              <w:t>_______________ / _____________ /</w:t>
            </w:r>
          </w:p>
          <w:p>
            <w:pPr>
              <w:pStyle w:val="Style18"/>
              <w:widowControl w:val="false"/>
              <w:spacing w:lineRule="auto" w:line="240" w:before="0" w:after="120"/>
              <w:ind w:firstLine="567"/>
              <w:jc w:val="left"/>
              <w:rPr>
                <w:rFonts w:ascii="Times New Roman" w:hAnsi="Times New Roman"/>
                <w:szCs w:val="24"/>
                <w:highlight w:val="yellow"/>
                <w:lang w:val="ru-RU"/>
              </w:rPr>
            </w:pPr>
            <w:r>
              <w:rPr>
                <w:rFonts w:ascii="Times New Roman" w:hAnsi="Times New Roman"/>
                <w:sz w:val="24"/>
                <w:szCs w:val="24"/>
                <w:highlight w:val="yellow"/>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highlight w:val="yellow"/>
                <w:lang w:val="ru-RU"/>
              </w:rPr>
            </w:pPr>
            <w:r>
              <w:rPr>
                <w:rFonts w:ascii="Times New Roman" w:hAnsi="Times New Roman"/>
                <w:sz w:val="24"/>
                <w:szCs w:val="24"/>
                <w:highlight w:val="yellow"/>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highlight w:val="yellow"/>
                <w:lang w:val="ru-RU"/>
              </w:rPr>
              <w:t>М.п.</w:t>
            </w:r>
          </w:p>
        </w:tc>
      </w:tr>
    </w:tbl>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r>
    </w:p>
    <w:sectPr>
      <w:headerReference w:type="default" r:id="rId12"/>
      <w:headerReference w:type="first" r:id="rId13"/>
      <w:footerReference w:type="even" r:id="rId14"/>
      <w:footerReference w:type="default" r:id="rId15"/>
      <w:footerReference w:type="first" r:id="rId16"/>
      <w:footnotePr>
        <w:numFmt w:val="decimal"/>
      </w:footnotePr>
      <w:type w:val="nextPage"/>
      <w:pgSz w:w="11906" w:h="16838"/>
      <w:pgMar w:left="1134" w:right="1416" w:gutter="0" w:header="720" w:top="1134" w:footer="720" w:bottom="113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9">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9">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7"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6">
              <wp:simplePos x="0" y="0"/>
              <wp:positionH relativeFrom="margin">
                <wp:align>right</wp:align>
              </wp:positionH>
              <wp:positionV relativeFrom="paragraph">
                <wp:posOffset>635</wp:posOffset>
              </wp:positionV>
              <wp:extent cx="127635" cy="145415"/>
              <wp:effectExtent l="0" t="0" r="0" b="0"/>
              <wp:wrapSquare wrapText="bothSides"/>
              <wp:docPr id="9"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21</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21</w:t>
                    </w:r>
                    <w:r>
                      <w:rPr>
                        <w:rStyle w:val="Pagenumber"/>
                        <w:color w:val="000000"/>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6">
              <wp:simplePos x="0" y="0"/>
              <wp:positionH relativeFrom="margin">
                <wp:align>right</wp:align>
              </wp:positionH>
              <wp:positionV relativeFrom="paragraph">
                <wp:posOffset>635</wp:posOffset>
              </wp:positionV>
              <wp:extent cx="127635" cy="145415"/>
              <wp:effectExtent l="0" t="0" r="0" b="0"/>
              <wp:wrapSquare wrapText="bothSides"/>
              <wp:docPr id="11"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21</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21</w:t>
                    </w:r>
                    <w:r>
                      <w:rPr>
                        <w:rStyle w:val="Pagenumber"/>
                        <w:color w:val="000000"/>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9"/>
        </w:rPr>
        <w:footnoteRef/>
      </w:r>
      <w:r>
        <w:rPr>
          <w:highlight w:val="yellow"/>
        </w:rPr>
        <w:t xml:space="preserve"> </w:t>
      </w:r>
      <w:r>
        <w:rPr>
          <w:highlight w:val="yellow"/>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start w:val="1"/>
      <w:numFmt w:val="bullet"/>
      <w:lvlText w:val=""/>
      <w:lvlJc w:val="left"/>
      <w:pPr>
        <w:tabs>
          <w:tab w:val="num" w:pos="0"/>
        </w:tabs>
        <w:ind w:left="1440" w:hanging="360"/>
      </w:pPr>
      <w:rPr>
        <w:rFonts w:ascii="Symbol" w:hAnsi="Symbol" w:cs="Symbol" w:hint="default"/>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9">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20">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21">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2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18"/>
    <w:lvlOverride w:ilvl="0">
      <w:startOverride w:val="1"/>
    </w:lvlOverride>
  </w:num>
  <w:num w:numId="24">
    <w:abstractNumId w:val="18"/>
  </w:num>
  <w:num w:numId="25">
    <w:abstractNumId w:val="18"/>
  </w:num>
  <w:num w:numId="26">
    <w:abstractNumId w:val="18"/>
  </w:num>
</w:numbering>
</file>

<file path=word/settings.xml><?xml version="1.0" encoding="utf-8"?>
<w:settings xmlns:w="http://schemas.openxmlformats.org/wordprocessingml/2006/main">
  <w:zoom w:percent="98"/>
  <w:embedSystemFonts/>
  <w:defaultTabStop w:val="720"/>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uiPriority w:val="34"/>
    <w:qFormat/>
    <w:locked/>
    <w:rsid w:val="00b11d27"/>
    <w:rPr/>
  </w:style>
  <w:style w:type="character" w:styleId="1" w:customStyle="1">
    <w:name w:val="1. Статья Знак"/>
    <w:link w:val="12"/>
    <w:qFormat/>
    <w:rsid w:val="00b11d27"/>
    <w:rPr>
      <w:sz w:val="24"/>
      <w:szCs w:val="24"/>
      <w:lang w:val="x-none" w:eastAsia="x-none"/>
    </w:rPr>
  </w:style>
  <w:style w:type="character" w:styleId="Style13">
    <w:name w:val="Символ концевой сноски"/>
    <w:qFormat/>
    <w:rPr>
      <w:vertAlign w:val="superscript"/>
    </w:rPr>
  </w:style>
  <w:style w:type="character" w:styleId="EndnoteReference">
    <w:name w:val="Endnote Reference"/>
    <w:rPr>
      <w:vertAlign w:val="superscript"/>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10"/>
      </w:numPr>
      <w:tabs>
        <w:tab w:val="left" w:pos="0" w:leader="none"/>
        <w:tab w:val="left" w:pos="2340" w:leader="none"/>
      </w:tabs>
      <w:overflowPunct w:val="fals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10"/>
      </w:numPr>
      <w:overflowPunct w:val="false"/>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10"/>
      </w:numPr>
      <w:tabs>
        <w:tab w:val="left" w:pos="0" w:leader="none"/>
        <w:tab w:val="left" w:pos="1620" w:leader="none"/>
      </w:tabs>
      <w:overflowPunct w:val="false"/>
      <w:jc w:val="both"/>
      <w:textAlignment w:val="baseline"/>
    </w:pPr>
    <w:rPr>
      <w:bCs/>
      <w:sz w:val="24"/>
      <w:szCs w:val="24"/>
      <w:lang w:val="x-none" w:eastAsia="x-none"/>
    </w:rPr>
  </w:style>
  <w:style w:type="paragraph" w:styleId="Style21">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nsultant.ru/document/cons_doc_LAW_371981/" TargetMode="External"/><Relationship Id="rId3" Type="http://schemas.openxmlformats.org/officeDocument/2006/relationships/hyperlink" Target="https://www.consultant.ru/document/cons_doc_LAW_371981/" TargetMode="External"/><Relationship Id="rId4" Type="http://schemas.openxmlformats.org/officeDocument/2006/relationships/hyperlink" Target="https://www.consultant.ru/document/cons_doc_LAW_371981/" TargetMode="External"/><Relationship Id="rId5" Type="http://schemas.openxmlformats.org/officeDocument/2006/relationships/hyperlink" Target="consultantplus://offline/ref=94D5CE8889791A29DE57299515463A9D6134D8237B999C803E6F853513x2A2P" TargetMode="External"/><Relationship Id="rId6" Type="http://schemas.openxmlformats.org/officeDocument/2006/relationships/hyperlink" Target="consultantplus://offline/ref=94D5CE8889791A29DE57299515463A9D6135D2287D929C803E6F853513x2A2P" TargetMode="External"/><Relationship Id="rId7" Type="http://schemas.openxmlformats.org/officeDocument/2006/relationships/hyperlink" Target="consultantplus://offline/ref=79440D5123ABA6A25F43346AB59DBAAC7032C8E1556DA64FAED62E167F76889C2B7C475C32EFC59BJ8rDH"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footnotes" Target="footnotes.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D5F11-F866-4C5C-B6C6-6AD718258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Application>AlterOffice/3.4.0.9$Linux_X86_64 LibreOffice_project/b8daf9e823b1a5463a2f48435ddc2e8696e7d4fc</Application>
  <AppVersion>15.0000</AppVersion>
  <Pages>21</Pages>
  <Words>7615</Words>
  <Characters>54463</Characters>
  <CharactersWithSpaces>61595</CharactersWithSpaces>
  <Paragraphs>391</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2017-11-07T14:49:00Z</dcterms:created>
  <dc:creator>Света &amp; Алла (Twix)</dc:creator>
  <dc:description/>
  <dc:language>ru-RU</dc:language>
  <cp:lastModifiedBy>turkinsa@corp.gidroogk.com</cp:lastModifiedBy>
  <cp:lastPrinted>2017-11-07T14:48:00Z</cp:lastPrinted>
  <dcterms:modified xsi:type="dcterms:W3CDTF">2026-04-24T12:51:58Z</dcterms:modified>
  <cp:revision>53</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