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«ОКПД2 [20.30.12.130] Поставка лакокрасочных материалов производства «Новакс» для нужд Жигулевского филиала»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 w:cs="" w:cstheme="minorBidi" w:eastAsiaTheme="minorHAnsi"/>
          <w:highlight w:val="none"/>
          <w:shd w:fill="FFFF00" w:val="clear"/>
        </w:rPr>
      </w:pPr>
      <w:r>
        <w:rPr>
          <w:rFonts w:eastAsia="Calibri" w:cs="Times New Roman" w:eastAsiaTheme="minorHAnsi"/>
          <w:b/>
          <w:sz w:val="28"/>
          <w:szCs w:val="28"/>
          <w:shd w:fill="FFFF00" w:val="clear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>
          <w:color w:val="000000" w:themeColor="text1"/>
        </w:rPr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>«ОКПД2 [20.30.12.130] Поставка лакокрасочных материалов</w:t>
      </w:r>
      <w:r>
        <w:rPr>
          <w:b w:val="false"/>
          <w:bCs w:val="false"/>
          <w:color w:val="000000" w:themeColor="text1"/>
          <w:sz w:val="24"/>
          <w:szCs w:val="24"/>
          <w:lang w:val="ru-RU"/>
        </w:rPr>
        <w:t xml:space="preserve"> </w:t>
      </w:r>
      <w:r>
        <w:rPr>
          <w:b w:val="false"/>
          <w:color w:val="000000" w:themeColor="text1"/>
          <w:sz w:val="24"/>
          <w:szCs w:val="24"/>
          <w:lang w:val="ru-RU"/>
        </w:rPr>
        <w:t>(далее - продукция)»</w:t>
      </w:r>
      <w:bookmarkStart w:id="2" w:name="_Toc75446569"/>
    </w:p>
    <w:p>
      <w:pPr>
        <w:pStyle w:val="Normal"/>
        <w:ind w:firstLine="41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rStyle w:val="Style"/>
          <w:rFonts w:cs="Times New Roman"/>
          <w:b w:val="false"/>
          <w:bCs/>
          <w:i w:val="false"/>
          <w:i w:val="false"/>
          <w:color w:val="000000" w:themeColor="text1"/>
          <w:szCs w:val="24"/>
          <w:shd w:fill="FFFFFF" w:val="clear"/>
          <w:lang w:val="en-US"/>
        </w:rPr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/>
      </w:pPr>
      <w:r>
        <w:rPr>
          <w:color w:val="000000" w:themeColor="text1"/>
          <w:szCs w:val="24"/>
        </w:rPr>
        <w:t xml:space="preserve"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  </w:t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4" w:name="_Toc51339693"/>
      <w:bookmarkStart w:id="5" w:name="_Toc7544657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rFonts w:cs="Times New Roman"/>
          <w:color w:val="000000" w:themeColor="text1"/>
          <w:szCs w:val="24"/>
        </w:rPr>
      </w:pPr>
      <w:bookmarkStart w:id="8" w:name="_Toc75446576"/>
      <w:bookmarkStart w:id="9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8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4915"/>
        <w:gridCol w:w="1485"/>
        <w:gridCol w:w="1238"/>
        <w:gridCol w:w="1437"/>
      </w:tblGrid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4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  <w:szCs w:val="24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  <w:szCs w:val="24"/>
                <w:shd w:fill="auto" w:val="clear"/>
              </w:rPr>
              <w:t>ОКПД 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49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sz w:val="22"/>
                <w:szCs w:val="24"/>
              </w:rPr>
              <w:t>1.</w:t>
            </w:r>
          </w:p>
        </w:tc>
        <w:tc>
          <w:tcPr>
            <w:tcW w:w="49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Комплект Антикоррозионная грунт-эмалевая композиция ГРЭМИРУСТ «Пермиум (20л-20кг) + Компонент Б Код 021 (2 кг) </w:t>
            </w:r>
          </w:p>
        </w:tc>
        <w:tc>
          <w:tcPr>
            <w:tcW w:w="1485" w:type="dxa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bidi="ar-SA"/>
              </w:rPr>
              <w:t>20.30.12.130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4"/>
              </w:rPr>
              <w:t>550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75446578"/>
      <w:bookmarkStart w:id="11" w:name="_Toc51339696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0"/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75446579"/>
      <w:bookmarkStart w:id="13" w:name="_Toc51339697"/>
      <w:bookmarkStart w:id="14" w:name="_Toc5012512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3"/>
        <w:gridCol w:w="1758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753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szCs w:val="24"/>
              </w:rPr>
              <w:t>1.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Комплект Антикоррозионная грунт-эмалевая композиция ГРЭМИРУСТ «Пермиум (20л-20кг) + Компонент Б Код 021 (2 кг)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 w:themeColor="text1"/>
              </w:rPr>
              <w:t>С даты подписания договора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 w:themeColor="text1"/>
              </w:rPr>
              <w:t xml:space="preserve">Не позднее </w:t>
            </w:r>
            <w:r>
              <w:rPr>
                <w:i w:val="false"/>
                <w:iCs w:val="false"/>
                <w:color w:val="000000" w:themeColor="text1"/>
              </w:rPr>
              <w:t>30</w:t>
            </w:r>
            <w:r>
              <w:rPr>
                <w:i w:val="false"/>
                <w:iCs w:val="false"/>
                <w:color w:val="000000" w:themeColor="text1"/>
              </w:rPr>
              <w:t>.0</w:t>
            </w:r>
            <w:r>
              <w:rPr>
                <w:i w:val="false"/>
                <w:iCs w:val="false"/>
                <w:color w:val="000000" w:themeColor="text1"/>
              </w:rPr>
              <w:t>6</w:t>
            </w:r>
            <w:r>
              <w:rPr>
                <w:i w:val="false"/>
                <w:iCs w:val="false"/>
                <w:color w:val="000000" w:themeColor="text1"/>
              </w:rPr>
              <w:t>.2027*</w:t>
            </w:r>
          </w:p>
        </w:tc>
      </w:tr>
    </w:tbl>
    <w:p>
      <w:pPr>
        <w:pStyle w:val="Normal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</w:r>
    </w:p>
    <w:p>
      <w:pPr>
        <w:pStyle w:val="Normal"/>
        <w:jc w:val="both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  <w:t xml:space="preserve">*в соответствии с производственным графиком по договору подряда №1090-235-2023/ 3-РЕМ-2023-ЖиГЭСот 03.11.23. </w:t>
      </w:r>
    </w:p>
    <w:p>
      <w:pPr>
        <w:pStyle w:val="Normal"/>
        <w:widowControl w:val="false"/>
        <w:jc w:val="both"/>
        <w:rPr>
          <w:b/>
          <w:bCs/>
        </w:rPr>
      </w:pPr>
      <w:r>
        <w:rPr>
          <w:b/>
          <w:bCs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Times New Roman"/>
          <w:b/>
          <w:i/>
          <w:i/>
          <w:color w:val="000000" w:themeColor="text1"/>
          <w:szCs w:val="24"/>
        </w:rPr>
      </w:pPr>
      <w:r>
        <w:rPr>
          <w:rFonts w:cs="Times New Roman"/>
          <w:b/>
          <w:i/>
          <w:color w:val="000000" w:themeColor="text1"/>
          <w:szCs w:val="24"/>
        </w:rPr>
      </w:r>
    </w:p>
    <w:p>
      <w:pPr>
        <w:pStyle w:val="ListParagraph"/>
        <w:numPr>
          <w:ilvl w:val="1"/>
          <w:numId w:val="1"/>
        </w:numPr>
        <w:rPr>
          <w:b/>
          <w:color w:val="000000" w:themeColor="text1"/>
          <w:lang w:eastAsia="x-none"/>
        </w:rPr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  <w:bookmarkStart w:id="16" w:name="_GoBack"/>
      <w:bookmarkEnd w:id="16"/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2.3. Требования к продукции</w:t>
      </w:r>
      <w:bookmarkEnd w:id="17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rFonts w:cs="Times New Roman"/>
          <w:i w:val="false"/>
          <w:i w:val="false"/>
          <w:iCs w:val="false"/>
          <w:color w:val="000000"/>
          <w:lang w:val="ru-RU"/>
        </w:rPr>
      </w:pPr>
      <w:r>
        <w:rPr>
          <w:rFonts w:eastAsia="Calibri" w:cs="Times New Roman"/>
          <w:bCs/>
          <w:i w:val="false"/>
          <w:iCs w:val="false"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i w:val="false"/>
          <w:i w:val="false"/>
          <w:iCs w:val="false"/>
          <w:color w:val="000000"/>
          <w:lang w:val="ru-RU"/>
        </w:rPr>
      </w:pPr>
      <w:r>
        <w:rPr>
          <w:rFonts w:cs="Times New Roman"/>
          <w:i w:val="false"/>
          <w:iCs w:val="false"/>
          <w:color w:val="000000"/>
          <w:lang w:val="ru-RU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2355"/>
        <w:gridCol w:w="2292"/>
        <w:gridCol w:w="2251"/>
        <w:gridCol w:w="1970"/>
        <w:gridCol w:w="2189"/>
        <w:gridCol w:w="2429"/>
      </w:tblGrid>
      <w:tr>
        <w:trPr>
          <w:trHeight w:val="20" w:hRule="atLeast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Соответствие стандартам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eastAsia="Calibri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2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Cs w:val="24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13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Комплект Антикоррозионная грунт-эмалевая композиция ГРЭМИРУСТ «Пермиум (20л-20кг) + Компонент Б Код 021 (2 кг) 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Упаковка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0"/>
                <w:szCs w:val="20"/>
              </w:rPr>
            </w:pPr>
            <w:r>
              <w:rPr>
                <w:rFonts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Компонент А поставляется в евроведрах (20л-20кг)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0"/>
                <w:szCs w:val="20"/>
              </w:rPr>
              <w:t>Компонент В поставляется в фирменной упаковке, комплектно Компоненту А (2 кг)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  <w:t>ТУ 2312-088-00209711-2014</w:t>
            </w:r>
          </w:p>
        </w:tc>
        <w:tc>
          <w:tcPr>
            <w:tcW w:w="21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/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0"/>
                <w:szCs w:val="20"/>
              </w:rPr>
              <w:t>Красно-коричневый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4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Время высыхания до отлипа :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При температуре + 5</w:t>
            </w:r>
            <w:r>
              <w:rPr>
                <w:rFonts w:cs="Times New Roman"/>
                <w:i w:val="false"/>
                <w:iCs w:val="false"/>
                <w:color w:val="000000"/>
                <w:sz w:val="22"/>
                <w:szCs w:val="20"/>
              </w:rPr>
              <w:t>°C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  <w:t>3 часа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При температуре +20</w:t>
            </w:r>
            <w:r>
              <w:rPr>
                <w:rFonts w:cs="Times New Roman"/>
                <w:i w:val="false"/>
                <w:iCs w:val="false"/>
                <w:color w:val="000000"/>
                <w:sz w:val="22"/>
                <w:szCs w:val="20"/>
              </w:rPr>
              <w:t>°C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  <w:t>1 час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Минимальная температура применения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  <w:t>+ 5°C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Температура поверхности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  <w:t>Точка росы + минимум 3 °C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4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Межслойная сушка: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При температуре + 5</w:t>
            </w:r>
            <w:r>
              <w:rPr>
                <w:rFonts w:cs="Times New Roman"/>
                <w:i w:val="false"/>
                <w:iCs w:val="false"/>
                <w:color w:val="000000"/>
                <w:sz w:val="22"/>
                <w:szCs w:val="20"/>
              </w:rPr>
              <w:t>°C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  <w:t>14 часов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При температуре +20</w:t>
            </w:r>
            <w:r>
              <w:rPr>
                <w:rFonts w:cs="Times New Roman"/>
                <w:i w:val="false"/>
                <w:iCs w:val="false"/>
                <w:color w:val="000000"/>
                <w:sz w:val="22"/>
                <w:szCs w:val="20"/>
              </w:rPr>
              <w:t>°C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  <w:t>10 часов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Сроки гарантии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месяцев от даты изготовления, но не менее 2/3 от срока годности на момент поставки товара на склад покупателя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5.2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1425" w:footer="11" w:bottom="86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eastAsia="Calibri" w:cs="Times New Roman"/>
          <w:b/>
          <w:szCs w:val="24"/>
          <w:lang w:eastAsia="x-none"/>
        </w:rPr>
      </w:pPr>
      <w:r>
        <w:rPr>
          <w:rFonts w:eastAsia="Calibri" w:cs="Times New Roman"/>
          <w:b/>
          <w:szCs w:val="24"/>
          <w:lang w:eastAsia="x-none"/>
        </w:rPr>
      </w:r>
    </w:p>
    <w:p>
      <w:pPr>
        <w:pStyle w:val="Normal"/>
        <w:jc w:val="center"/>
        <w:rPr>
          <w:rFonts w:eastAsia="Calibri" w:cs="Times New Roman"/>
          <w:b/>
          <w:szCs w:val="24"/>
          <w:lang w:eastAsia="x-none"/>
        </w:rPr>
      </w:pPr>
      <w:r>
        <w:rPr>
          <w:rFonts w:eastAsia="Calibri" w:cs="Times New Roman"/>
          <w:b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rFonts w:eastAsia="Calibri" w:cs="Times New Roman"/>
          <w:szCs w:val="24"/>
          <w:lang w:eastAsia="x-none"/>
        </w:rPr>
      </w:pPr>
      <w:r>
        <w:rPr>
          <w:rFonts w:eastAsia="Calibri" w:cs="Times New Roman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8" w:name="_Hlk88325985"/>
      <w:r>
        <w:rPr>
          <w:rFonts w:eastAsia="Calibri" w:cs="Times New Roman"/>
          <w:szCs w:val="24"/>
          <w:lang w:eastAsia="x-none"/>
        </w:rPr>
        <w:t>(с учетом прилагаемой к ней инструкции по заполнению)</w:t>
      </w:r>
      <w:bookmarkEnd w:id="18"/>
      <w:r>
        <w:rPr>
          <w:rFonts w:eastAsia="Calibri" w:cs="Times New Roman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rFonts w:eastAsia="Calibri" w:cs="Times New Roman"/>
          <w:szCs w:val="24"/>
          <w:lang w:eastAsia="x-none"/>
        </w:rPr>
      </w:pPr>
      <w:bookmarkStart w:id="19" w:name="_Hlk88327292"/>
      <w:r>
        <w:rPr>
          <w:rFonts w:eastAsia="Calibri" w:cs="Times New Roman"/>
          <w:szCs w:val="24"/>
          <w:lang w:eastAsia="x-none"/>
        </w:rPr>
        <w:t>Дополнительные документы по ценообразованию</w:t>
      </w:r>
      <w:bookmarkEnd w:id="19"/>
      <w:r>
        <w:rPr>
          <w:rFonts w:eastAsia="Calibri" w:cs="Times New Roman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70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2700" w:leader="none"/>
        </w:tabs>
        <w:rPr/>
      </w:pPr>
      <w:r>
        <w:rPr/>
      </w:r>
    </w:p>
    <w:p>
      <w:pPr>
        <w:pStyle w:val="Normal"/>
        <w:keepLines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rong"/>
          <w:b w:val="false"/>
          <w:sz w:val="24"/>
          <w:szCs w:val="24"/>
        </w:rPr>
        <w:t xml:space="preserve">Начальник цеха ГТС                 </w:t>
      </w:r>
      <w:r>
        <w:rPr>
          <w:rStyle w:val="Strong"/>
          <w:b w:val="false"/>
          <w:sz w:val="24"/>
          <w:szCs w:val="24"/>
          <w:u w:val="single"/>
        </w:rPr>
        <w:t xml:space="preserve">                                                  </w:t>
      </w:r>
      <w:r>
        <w:rPr>
          <w:rStyle w:val="Strong"/>
          <w:b w:val="false"/>
          <w:sz w:val="24"/>
          <w:szCs w:val="24"/>
        </w:rPr>
        <w:t xml:space="preserve">                    К.В. Сенчев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867" w:leader="none"/>
        </w:tabs>
        <w:rPr/>
      </w:pPr>
      <w:r>
        <w:rPr/>
        <w:tab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77911923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0236305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36570599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9129-DF94-4AD2-B73F-64FC4678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11963</TotalTime>
  <Application>AlterOffice/3.4.0.9$Linux_X86_64 LibreOffice_project/b8daf9e823b1a5463a2f48435ddc2e8696e7d4fc</Application>
  <AppVersion>15.0000</AppVersion>
  <Pages>5</Pages>
  <Words>608</Words>
  <Characters>4173</Characters>
  <CharactersWithSpaces>4752</CharactersWithSpaces>
  <Paragraphs>124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dcterms:modified xsi:type="dcterms:W3CDTF">2026-05-19T14:11:16Z</dcterms:modified>
  <cp:revision>233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