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c"/>
        <w:tblW w:w="94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4"/>
        <w:gridCol w:w="3740"/>
      </w:tblGrid>
      <w:tr>
        <w:trPr>
          <w:trHeight w:val="1314" w:hRule="atLeast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ind w:right="-1" w:hanging="0"/>
              <w:jc w:val="left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 w:val="22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  <w:lang w:val="en-US"/>
        </w:rPr>
      </w:pPr>
      <w:r>
        <w:rPr>
          <w:rFonts w:cs="Times New Roman"/>
          <w:color w:val="000000" w:themeColor="text1"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«ОКПД2 [20.30.12.130] Поставка лакокрасочных материалов производства «Новакс» для нужд Жигулевского филиала»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cs="Times New Roman"/>
          <w:b/>
          <w:sz w:val="28"/>
          <w:szCs w:val="28"/>
          <w:shd w:fill="auto" w:val="clear"/>
        </w:rPr>
        <w:t xml:space="preserve">Лот № </w:t>
      </w:r>
    </w:p>
    <w:p>
      <w:pPr>
        <w:pStyle w:val="Normal"/>
        <w:spacing w:lineRule="auto" w:line="360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</w:r>
    </w:p>
    <w:p>
      <w:pPr>
        <w:pStyle w:val="Normal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 w:cs="Times New Roman"/>
          <w:b/>
          <w:i/>
          <w:i/>
          <w:color w:val="000000" w:themeColor="text1"/>
          <w:szCs w:val="24"/>
        </w:rPr>
      </w:pPr>
      <w:r>
        <w:rPr>
          <w:rFonts w:eastAsia="Calibri" w:cs="Times New Roman"/>
          <w:b/>
          <w:i/>
          <w:color w:val="000000" w:themeColor="text1"/>
          <w:szCs w:val="24"/>
        </w:rPr>
      </w:r>
    </w:p>
    <w:p>
      <w:pPr>
        <w:pStyle w:val="Normal"/>
        <w:keepNext w:val="true"/>
        <w:keepLines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Normal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</w:r>
    </w:p>
    <w:p>
      <w:pPr>
        <w:pStyle w:val="Heading4"/>
        <w:tabs>
          <w:tab w:val="clear" w:pos="0"/>
          <w:tab w:val="left" w:pos="709" w:leader="none"/>
        </w:tabs>
        <w:ind w:hanging="0"/>
        <w:jc w:val="center"/>
        <w:rPr>
          <w:color w:val="000000" w:themeColor="text1"/>
        </w:rPr>
      </w:pPr>
      <w:r>
        <w:rPr>
          <w:color w:val="000000" w:themeColor="text1"/>
        </w:rPr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2" w:name="_Toc75446568"/>
      <w:bookmarkStart w:id="3" w:name="_Toc46743506"/>
      <w:r>
        <w:rPr>
          <w:color w:val="000000" w:themeColor="text1"/>
        </w:rPr>
        <w:t>Наименование закупаемой продукции</w:t>
      </w:r>
      <w:bookmarkEnd w:id="2"/>
      <w:bookmarkEnd w:id="3"/>
    </w:p>
    <w:p>
      <w:pPr>
        <w:pStyle w:val="Heading1"/>
        <w:ind w:hanging="0"/>
        <w:jc w:val="both"/>
        <w:rPr>
          <w:sz w:val="24"/>
          <w:szCs w:val="24"/>
        </w:rPr>
      </w:pPr>
      <w:r>
        <w:rPr>
          <w:b w:val="false"/>
          <w:color w:val="000000" w:themeColor="text1"/>
          <w:sz w:val="24"/>
          <w:szCs w:val="24"/>
          <w:lang w:val="ru-RU"/>
        </w:rPr>
        <w:t>«ОКПД2 [20.30.12.130] Поставка лакокрасочных материалов (далее - продукция)»</w:t>
      </w:r>
      <w:bookmarkStart w:id="4" w:name="_Toc75446569"/>
    </w:p>
    <w:p>
      <w:pPr>
        <w:pStyle w:val="Normal"/>
        <w:ind w:firstLine="41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5" w:name="_Toc46743507"/>
      <w:r>
        <w:rPr>
          <w:color w:val="000000" w:themeColor="text1"/>
        </w:rPr>
        <w:t xml:space="preserve">Цель </w:t>
      </w:r>
      <w:bookmarkEnd w:id="5"/>
      <w:r>
        <w:rPr>
          <w:color w:val="000000" w:themeColor="text1"/>
        </w:rPr>
        <w:t xml:space="preserve">использования закупаемой продукции </w:t>
      </w:r>
      <w:bookmarkEnd w:id="4"/>
      <w:r>
        <w:rPr>
          <w:color w:val="000000" w:themeColor="text1"/>
        </w:rPr>
        <w:t xml:space="preserve"> </w:t>
      </w:r>
    </w:p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jc w:val="both"/>
        <w:rPr>
          <w:rStyle w:val="Style"/>
          <w:rFonts w:cs="Times New Roman"/>
          <w:b w:val="false"/>
          <w:bCs/>
          <w:i w:val="false"/>
          <w:i w:val="false"/>
          <w:color w:val="000000" w:themeColor="text1"/>
          <w:szCs w:val="24"/>
          <w:shd w:fill="FFFFFF" w:val="clear"/>
          <w:lang w:val="en-US"/>
        </w:rPr>
      </w:pP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</w:rPr>
        <w:t>Исполнение договор</w:t>
      </w:r>
      <w:r>
        <w:rPr>
          <w:rStyle w:val="Style"/>
          <w:rFonts w:cs="Times New Roman"/>
          <w:b w:val="false"/>
          <w:bCs/>
          <w:i w:val="false"/>
          <w:color w:val="000000" w:themeColor="text1"/>
          <w:szCs w:val="24"/>
          <w:shd w:fill="FFFFFF" w:val="clear"/>
          <w:lang w:val="en-US"/>
        </w:rPr>
        <w:t>а:</w:t>
      </w:r>
    </w:p>
    <w:p>
      <w:pPr>
        <w:pStyle w:val="Normal"/>
        <w:jc w:val="both"/>
        <w:rPr>
          <w:szCs w:val="24"/>
        </w:rPr>
      </w:pPr>
      <w:r>
        <w:rPr>
          <w:color w:val="000000" w:themeColor="text1"/>
          <w:szCs w:val="24"/>
        </w:rPr>
        <w:t>- 3-</w:t>
      </w:r>
      <w:r>
        <w:rPr>
          <w:szCs w:val="24"/>
        </w:rPr>
        <w:t xml:space="preserve">ЭКСП-БПД-2025-ЖиГЭС/1090-182-2024 от 03.12.24 </w:t>
      </w:r>
      <w:r>
        <w:rPr>
          <w:color w:val="000000"/>
          <w:szCs w:val="24"/>
        </w:rPr>
        <w:t xml:space="preserve">Услуги по эксплуатации объектов(грузоподъемные механизмы) </w:t>
      </w:r>
    </w:p>
    <w:p>
      <w:pPr>
        <w:pStyle w:val="Normal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</w:r>
    </w:p>
    <w:p>
      <w:pPr>
        <w:pStyle w:val="Normal"/>
        <w:ind w:firstLine="567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6" w:name="_Toc51339693"/>
      <w:bookmarkStart w:id="7" w:name="_Toc75446573"/>
      <w:r>
        <w:rPr>
          <w:color w:val="000000" w:themeColor="text1"/>
          <w:sz w:val="24"/>
          <w:szCs w:val="24"/>
        </w:rPr>
        <w:t>Требования к продукции</w:t>
      </w:r>
      <w:bookmarkEnd w:id="6"/>
      <w:bookmarkEnd w:id="7"/>
    </w:p>
    <w:p>
      <w:pPr>
        <w:pStyle w:val="Normal"/>
        <w:rPr>
          <w:rFonts w:cs="Times New Roman"/>
          <w:color w:val="000000" w:themeColor="text1"/>
          <w:szCs w:val="24"/>
          <w:lang w:eastAsia="x-none"/>
        </w:rPr>
      </w:pPr>
      <w:r>
        <w:rPr>
          <w:rFonts w:cs="Times New Roman"/>
          <w:color w:val="000000" w:themeColor="text1"/>
          <w:szCs w:val="24"/>
          <w:lang w:eastAsia="x-none"/>
        </w:rPr>
      </w:r>
    </w:p>
    <w:p>
      <w:pPr>
        <w:pStyle w:val="Heading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8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9" w:name="_Toc75446575"/>
      <w:r>
        <w:rPr>
          <w:color w:val="000000" w:themeColor="text1"/>
        </w:rPr>
        <w:t>Перечень и объем закупаемой продукции</w:t>
      </w:r>
      <w:bookmarkEnd w:id="9"/>
    </w:p>
    <w:p>
      <w:pPr>
        <w:pStyle w:val="Normal"/>
        <w:rPr>
          <w:rFonts w:cs="Times New Roman"/>
          <w:color w:val="000000" w:themeColor="text1"/>
          <w:szCs w:val="24"/>
          <w:lang w:val="x-none" w:eastAsia="x-none"/>
        </w:rPr>
      </w:pPr>
      <w:r>
        <w:rPr>
          <w:rFonts w:cs="Times New Roman"/>
          <w:color w:val="000000" w:themeColor="text1"/>
          <w:szCs w:val="24"/>
          <w:lang w:val="x-none" w:eastAsia="x-none"/>
        </w:rPr>
      </w:r>
    </w:p>
    <w:p>
      <w:pPr>
        <w:pStyle w:val="Normal"/>
        <w:jc w:val="both"/>
        <w:rPr>
          <w:rFonts w:cs="Times New Roman"/>
          <w:color w:val="000000" w:themeColor="text1"/>
          <w:szCs w:val="24"/>
        </w:rPr>
      </w:pPr>
      <w:bookmarkStart w:id="10" w:name="_Toc75446576"/>
      <w:bookmarkStart w:id="11" w:name="_Toc51339695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11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10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c"/>
        <w:tblW w:w="96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4916"/>
        <w:gridCol w:w="1485"/>
        <w:gridCol w:w="1238"/>
        <w:gridCol w:w="1437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4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en-US" w:bidi="ar-SA"/>
              </w:rPr>
              <w:t>ОКПД 2</w:t>
            </w:r>
          </w:p>
        </w:tc>
        <w:tc>
          <w:tcPr>
            <w:tcW w:w="12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cs="Times New Roman"/>
                <w:color w:val="000000" w:themeColor="text1"/>
                <w:sz w:val="22"/>
                <w:szCs w:val="24"/>
                <w:lang w:eastAsia="x-none"/>
              </w:rPr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49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8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2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1.</w:t>
            </w:r>
          </w:p>
        </w:tc>
        <w:tc>
          <w:tcPr>
            <w:tcW w:w="49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Грунт-эмаль НОВАКС 11201 Н (20л; 18 кг) (желтый RAL 1021)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kern w:val="0"/>
                <w:lang w:bidi="ar-SA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1224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9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Грунт-эмаль НОВАКС 11201 Н (20л; 18 кг) (серый RAL 7040)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kern w:val="0"/>
                <w:lang w:bidi="ar-SA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2826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9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Грунт-эмаль НОВАКС 11201 Н (20л; 18 кг) (красный RAL 3020)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kern w:val="0"/>
                <w:lang w:bidi="ar-SA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108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9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4"/>
                <w:lang w:val="ru-RU" w:eastAsia="en-US" w:bidi="ar-SA"/>
              </w:rPr>
              <w:t>Грунт-эмаль НОВАКС 11201 Н (20л; 18 кг) (черный RAL 9005)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kern w:val="0"/>
                <w:lang w:bidi="ar-SA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54</w:t>
            </w:r>
          </w:p>
        </w:tc>
      </w:tr>
      <w:tr>
        <w:trPr>
          <w:trHeight w:val="20" w:hRule="atLeast"/>
        </w:trPr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91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Растворитель НОВАКСОЛ 303 (20 л; 16 кг)</w:t>
            </w:r>
          </w:p>
        </w:tc>
        <w:tc>
          <w:tcPr>
            <w:tcW w:w="1485" w:type="dxa"/>
            <w:tcBorders>
              <w:top w:val="nil"/>
              <w:right w:val="nil"/>
            </w:tcBorders>
            <w:vAlign w:val="center"/>
          </w:tcPr>
          <w:p>
            <w:pPr>
              <w:pStyle w:val="Heading1"/>
              <w:keepLines/>
              <w:widowControl w:val="false"/>
              <w:suppressAutoHyphens w:val="true"/>
              <w:spacing w:before="0" w:after="0"/>
              <w:ind w:hanging="0"/>
              <w:jc w:val="left"/>
              <w:rPr>
                <w:kern w:val="0"/>
                <w:lang w:bidi="ar-SA"/>
              </w:rPr>
            </w:pPr>
            <w:r>
              <w:rPr>
                <w:b w:val="false"/>
                <w:color w:val="000000" w:themeColor="text1"/>
                <w:kern w:val="0"/>
                <w:sz w:val="22"/>
                <w:szCs w:val="22"/>
                <w:lang w:bidi="ar-SA"/>
              </w:rPr>
              <w:t>20.30.12.130</w:t>
            </w:r>
          </w:p>
        </w:tc>
        <w:tc>
          <w:tcPr>
            <w:tcW w:w="12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sz w:val="22"/>
                <w:szCs w:val="24"/>
                <w:lang w:val="ru-RU" w:eastAsia="en-US" w:bidi="ar-SA"/>
              </w:rPr>
              <w:t>кг</w:t>
            </w:r>
          </w:p>
        </w:tc>
        <w:tc>
          <w:tcPr>
            <w:tcW w:w="143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4"/>
                <w:lang w:val="ru-RU" w:eastAsia="en-US" w:bidi="ar-SA"/>
              </w:rPr>
              <w:t>210</w:t>
            </w:r>
          </w:p>
        </w:tc>
      </w:tr>
    </w:tbl>
    <w:p>
      <w:pPr>
        <w:pStyle w:val="Normal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2" w:name="_Toc75446578"/>
      <w:bookmarkStart w:id="13" w:name="_Toc51339696"/>
      <w:r>
        <w:rPr>
          <w:color w:val="000000" w:themeColor="text1"/>
        </w:rPr>
        <w:t xml:space="preserve">Требования </w:t>
      </w:r>
      <w:bookmarkEnd w:id="13"/>
      <w:r>
        <w:rPr>
          <w:color w:val="000000" w:themeColor="text1"/>
        </w:rPr>
        <w:t xml:space="preserve">к срокам поставки продукции </w:t>
      </w:r>
      <w:bookmarkEnd w:id="12"/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4" w:name="_Toc75446579"/>
      <w:bookmarkStart w:id="15" w:name="_Toc51339697"/>
      <w:bookmarkStart w:id="16" w:name="_Toc50125127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7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4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4854"/>
        <w:gridCol w:w="1757"/>
        <w:gridCol w:w="2243"/>
      </w:tblGrid>
      <w:tr>
        <w:trPr>
          <w:trHeight w:val="111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color w:val="000000" w:themeColor="text1"/>
                <w:szCs w:val="24"/>
              </w:rPr>
              <w:t>п/п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74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Times New Roman"/>
                <w:color w:val="000000" w:themeColor="text1"/>
                <w:sz w:val="22"/>
                <w:szCs w:val="24"/>
              </w:rPr>
              <w:t>1.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Cs w:val="24"/>
              </w:rPr>
              <w:t>Грунт-эмаль НОВАКС 11201 Н (20л; 18 кг) (желтый RAL 1021)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С даты подписания договора</w:t>
            </w:r>
          </w:p>
        </w:tc>
        <w:tc>
          <w:tcPr>
            <w:tcW w:w="22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Не позднее 30.0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.2027</w:t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Cs w:val="24"/>
              </w:rPr>
              <w:t>Грунт-эмаль НОВАКС 11201 Н (20л; 18 кг) (серый RAL 7040)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Cs w:val="24"/>
              </w:rPr>
              <w:t>Грунт-эмаль НОВАКС 11201 Н (20л; 18 кг) (красный RAL 3020)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Cs w:val="24"/>
              </w:rPr>
              <w:t>Грунт-эмаль НОВАКС 11201 Н (20л; 18 кг) (черный RAL 9005)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753" w:hRule="atLeast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Растворитель НОВАКСОЛ 303 (20 л; 16 кг)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2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rFonts w:cs="Times New Roman"/>
          <w:i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cs="Times New Roman"/>
          <w:b/>
          <w:i/>
          <w:i/>
          <w:color w:val="000000" w:themeColor="text1"/>
          <w:szCs w:val="24"/>
        </w:rPr>
      </w:pPr>
      <w:r>
        <w:rPr>
          <w:rFonts w:cs="Times New Roman"/>
          <w:b/>
          <w:i/>
          <w:color w:val="000000" w:themeColor="text1"/>
          <w:szCs w:val="24"/>
        </w:rPr>
      </w:r>
    </w:p>
    <w:p>
      <w:pPr>
        <w:pStyle w:val="ListParagraph"/>
        <w:numPr>
          <w:ilvl w:val="1"/>
          <w:numId w:val="1"/>
        </w:numPr>
        <w:rPr>
          <w:b/>
          <w:color w:val="000000" w:themeColor="text1"/>
          <w:lang w:eastAsia="x-none"/>
        </w:rPr>
      </w:pPr>
      <w:r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>
      <w:pPr>
        <w:pStyle w:val="Normal"/>
        <w:rPr>
          <w:rFonts w:eastAsia="Calibri" w:cs="Times New Roman"/>
          <w:color w:val="000000" w:themeColor="text1"/>
          <w:szCs w:val="24"/>
          <w:lang w:eastAsia="x-none"/>
        </w:rPr>
      </w:pPr>
      <w:bookmarkStart w:id="18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2.3. Требования к продукции</w:t>
      </w:r>
      <w:bookmarkEnd w:id="18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>
      <w:pPr>
        <w:pStyle w:val="Normal"/>
        <w:rPr>
          <w:rFonts w:cs="Times New Roman"/>
          <w:color w:val="000000"/>
        </w:rPr>
      </w:pPr>
      <w:r>
        <w:rPr>
          <w:rFonts w:eastAsia="Calibri" w:cs="Times New Roman"/>
          <w:bCs/>
          <w:color w:val="000000" w:themeColor="text1"/>
          <w:szCs w:val="24"/>
          <w:lang w:eastAsia="ar-SA"/>
        </w:rPr>
        <w:t>Наименование продукции: в соответствие с данными таблицы 1 «Перечень и объем закупаемой продукции»</w:t>
      </w:r>
    </w:p>
    <w:p>
      <w:pPr>
        <w:pStyle w:val="Normal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43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9"/>
        <w:gridCol w:w="2355"/>
        <w:gridCol w:w="2292"/>
        <w:gridCol w:w="2251"/>
        <w:gridCol w:w="1970"/>
        <w:gridCol w:w="2189"/>
        <w:gridCol w:w="2429"/>
      </w:tblGrid>
      <w:tr>
        <w:trPr>
          <w:trHeight w:val="20" w:hRule="atLeast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Соответствие стандартам</w:t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eastAsia="Calibri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8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2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1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eastAsia="DotumChe" w:cs="Times New Roman"/>
                <w:color w:val="000000" w:themeColor="text1"/>
                <w:szCs w:val="24"/>
              </w:rPr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7</w:t>
            </w:r>
          </w:p>
        </w:tc>
      </w:tr>
      <w:tr>
        <w:trPr>
          <w:trHeight w:val="2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13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1.1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Грунт-эмаль НОВАКС 11201 Н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34343C"/>
                <w:sz w:val="20"/>
                <w:szCs w:val="20"/>
              </w:rPr>
              <w:t>Евроведра 20 л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ТУ 2312-201-00209711-2007</w:t>
            </w:r>
          </w:p>
        </w:tc>
        <w:tc>
          <w:tcPr>
            <w:tcW w:w="2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/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34343C"/>
                <w:sz w:val="20"/>
                <w:szCs w:val="20"/>
              </w:rPr>
              <w:t>По RAL согласно таблице 2.1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4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высыхания до отлипа :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температуре + 5</w:t>
            </w:r>
            <w:r>
              <w:rPr>
                <w:rFonts w:cs="Times New Roman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 часа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температуре +20</w:t>
            </w:r>
            <w:r>
              <w:rPr>
                <w:rFonts w:cs="Times New Roman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 часа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Минимальная температура применения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+ 5°C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поверхности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Точка росы + минимум 3 °C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1.2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Растворитель НОВАКСОЛ 303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Ортоксилол, ксилол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111827"/>
              </w:rPr>
            </w:pPr>
            <w:r>
              <w:rPr>
                <w:rFonts w:cs="Times New Roman"/>
                <w:color w:val="111827"/>
              </w:rPr>
              <w:t>ТУ 20.30.22-303-00209711-2023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Евроведра 20 л</w:t>
            </w:r>
          </w:p>
          <w:p>
            <w:pPr>
              <w:pStyle w:val="Normal"/>
              <w:widowControl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3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Внешний вид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Бесцветная или слегка желтоватая однородная прозрачная жидкость без видимой взвеси.</w:t>
            </w:r>
          </w:p>
        </w:tc>
        <w:tc>
          <w:tcPr>
            <w:tcW w:w="19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ind w:left="72" w:hanging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iCs/>
                <w:color w:val="000000" w:themeColor="text1"/>
                <w:szCs w:val="24"/>
              </w:rPr>
              <w:t>Осуществляется только в рабочие дни с 9-00 до 11-00 и с 13-00 до 16-00.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месяцев от даты изготовления, но не менее 2/3 от срока годности на момент поставки товара на склад покупателя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, транспортную накладную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быть новой, ранее не использовавшейся</w:t>
            </w:r>
          </w:p>
        </w:tc>
        <w:tc>
          <w:tcPr>
            <w:tcW w:w="21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  <w:tr>
        <w:trPr>
          <w:trHeight w:val="408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5.2</w:t>
            </w:r>
          </w:p>
        </w:tc>
        <w:tc>
          <w:tcPr>
            <w:tcW w:w="8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1425" w:footer="11" w:bottom="86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</w:r>
    </w:p>
    <w:p>
      <w:pPr>
        <w:pStyle w:val="Normal"/>
        <w:jc w:val="center"/>
        <w:rPr>
          <w:rFonts w:eastAsia="Calibri" w:cs="Times New Roman"/>
          <w:b/>
          <w:szCs w:val="24"/>
          <w:lang w:eastAsia="x-none"/>
        </w:rPr>
      </w:pPr>
      <w:r>
        <w:rPr>
          <w:rFonts w:eastAsia="Calibri" w:cs="Times New Roman"/>
          <w:b/>
          <w:szCs w:val="24"/>
          <w:lang w:eastAsia="x-none"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r>
        <w:rPr>
          <w:rFonts w:eastAsia="Calibri" w:cs="Times New Roman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9" w:name="_Hlk88325985"/>
      <w:r>
        <w:rPr>
          <w:rFonts w:eastAsia="Calibri" w:cs="Times New Roman"/>
          <w:szCs w:val="24"/>
          <w:lang w:eastAsia="x-none"/>
        </w:rPr>
        <w:t>(с учетом прилагаемой к ней инструкции по заполнению)</w:t>
      </w:r>
      <w:bookmarkEnd w:id="19"/>
      <w:r>
        <w:rPr>
          <w:rFonts w:eastAsia="Calibri" w:cs="Times New Roman"/>
          <w:szCs w:val="24"/>
          <w:lang w:eastAsia="x-none"/>
        </w:rPr>
        <w:t>, приведенной в Документации о закупке.</w:t>
      </w:r>
    </w:p>
    <w:p>
      <w:pPr>
        <w:pStyle w:val="Normal"/>
        <w:numPr>
          <w:ilvl w:val="1"/>
          <w:numId w:val="10"/>
        </w:numPr>
        <w:suppressAutoHyphens w:val="false"/>
        <w:spacing w:before="0" w:after="0"/>
        <w:ind w:firstLine="284"/>
        <w:contextualSpacing/>
        <w:rPr>
          <w:rFonts w:eastAsia="Calibri" w:cs="Times New Roman"/>
          <w:szCs w:val="24"/>
          <w:lang w:eastAsia="x-none"/>
        </w:rPr>
      </w:pPr>
      <w:bookmarkStart w:id="20" w:name="_Hlk88327292"/>
      <w:r>
        <w:rPr>
          <w:rFonts w:eastAsia="Calibri" w:cs="Times New Roman"/>
          <w:szCs w:val="24"/>
          <w:lang w:eastAsia="x-none"/>
        </w:rPr>
        <w:t>Дополнительные документы по ценообразованию</w:t>
      </w:r>
      <w:bookmarkEnd w:id="20"/>
      <w:r>
        <w:rPr>
          <w:rFonts w:eastAsia="Calibri" w:cs="Times New Roman"/>
          <w:szCs w:val="24"/>
          <w:lang w:eastAsia="x-none"/>
        </w:rPr>
        <w:t xml:space="preserve"> в состав заявки не включаются.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700" w:leader="none"/>
        </w:tabs>
        <w:rPr/>
      </w:pPr>
      <w:r>
        <w:rPr/>
      </w:r>
    </w:p>
    <w:p>
      <w:pPr>
        <w:pStyle w:val="Normal"/>
        <w:keepLines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rong"/>
          <w:b w:val="false"/>
          <w:szCs w:val="24"/>
        </w:rPr>
        <w:t xml:space="preserve">Начальник цеха ГТС                 </w:t>
      </w:r>
      <w:r>
        <w:rPr>
          <w:rStyle w:val="Strong"/>
          <w:b w:val="false"/>
          <w:szCs w:val="24"/>
          <w:u w:val="single"/>
        </w:rPr>
        <w:t xml:space="preserve">                                                  </w:t>
      </w:r>
      <w:r>
        <w:rPr>
          <w:rStyle w:val="Strong"/>
          <w:b w:val="false"/>
          <w:szCs w:val="24"/>
        </w:rPr>
        <w:t xml:space="preserve">                    К.В. Сенчев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67" w:leader="none"/>
        </w:tabs>
        <w:rPr/>
      </w:pPr>
      <w:r>
        <w:rPr/>
        <w:tab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59501600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34340015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83107845"/>
    </w:sdtPr>
    <w:sdtContent>
      <w:p>
        <w:pPr>
          <w:pStyle w:val="Footer"/>
          <w:jc w:val="center"/>
          <w:rPr/>
        </w:pPr>
        <w:r>
          <w:rPr/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  <w:p>
        <w:pPr>
          <w:pStyle w:val="Footer"/>
          <w:rPr>
            <w:sz w:val="24"/>
            <w:szCs w:val="24"/>
          </w:rPr>
        </w:pPr>
        <w:r>
          <w:rPr>
            <w:sz w:val="24"/>
            <w:szCs w:val="24"/>
          </w:rPr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</w:num>
  <w:num w:numId="10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11" w:customStyle="1">
    <w:name w:val="Гиперссылка1"/>
    <w:basedOn w:val="DefaultParagraphFont"/>
    <w:uiPriority w:val="99"/>
    <w:semiHidden/>
    <w:unhideWhenUsed/>
    <w:qFormat/>
    <w:rsid w:val="00917def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6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 w:customStyle="1">
    <w:name w:val="Подпункт Знак1"/>
    <w:link w:val="Style25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2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0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C-gruppedpropsprop-value" w:customStyle="1">
    <w:name w:val="c-gruppedprops__prop-value"/>
    <w:basedOn w:val="DefaultParagraphFont"/>
    <w:qFormat/>
    <w:rsid w:val="003f318e"/>
    <w:rPr/>
  </w:style>
  <w:style w:type="character" w:styleId="Label" w:customStyle="1">
    <w:name w:val="label"/>
    <w:basedOn w:val="DefaultParagraphFont"/>
    <w:qFormat/>
    <w:rsid w:val="00e57f3c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1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2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3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5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6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5" w:customStyle="1">
    <w:name w:val="Подпункт"/>
    <w:basedOn w:val="Normal"/>
    <w:link w:val="12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6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7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8" w:customStyle="1">
    <w:name w:val="Знак Знак Знак Знак Знак Знак Знак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29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0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8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1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2" w:customStyle="1">
    <w:name w:val="Подподпункт"/>
    <w:basedOn w:val="Style25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10" w:customStyle="1">
    <w:name w:val="УРОВЕНЬ_1."/>
    <w:basedOn w:val="ListParagraph"/>
    <w:link w:val="13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6" w:customStyle="1">
    <w:name w:val="Знак Знак Знак Знак"/>
    <w:basedOn w:val="Normal"/>
    <w:qFormat/>
    <w:rsid w:val="00b736b0"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1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8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39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2" w:customStyle="1">
    <w:name w:val="Знак Знак Знак Знак1"/>
    <w:basedOn w:val="Normal"/>
    <w:qFormat/>
    <w:rsid w:val="002d679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rsid w:val="00ef1440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rsid w:val="00674776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4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343B-04AB-480D-A179-1EAFFC48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12009</TotalTime>
  <Application>AlterOffice/3.4.0.9$Linux_X86_64 LibreOffice_project/b8daf9e823b1a5463a2f48435ddc2e8696e7d4fc</Application>
  <AppVersion>15.0000</AppVersion>
  <Pages>5</Pages>
  <Words>666</Words>
  <Characters>4300</Characters>
  <CharactersWithSpaces>4902</CharactersWithSpaces>
  <Paragraphs>154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2023-12-08T06:27:00Z</dcterms:created>
  <dc:creator>Попадьина Светлана Алексеевна</dc:creator>
  <dc:description/>
  <dc:language>ru-RU</dc:language>
  <cp:lastModifiedBy>senchevkv@corp.gidroogk.com</cp:lastModifiedBy>
  <dcterms:modified xsi:type="dcterms:W3CDTF">2026-05-19T14:11:49Z</dcterms:modified>
  <cp:revision>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