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en-US"/>
        </w:rPr>
      </w:pPr>
      <w:r>
        <w:rPr>
          <w:b/>
          <w:lang w:val="ru-RU"/>
        </w:rPr>
        <w:t xml:space="preserve">Договор №_____ </w:t>
      </w:r>
    </w:p>
    <w:p>
      <w:pPr>
        <w:pStyle w:val="Normal"/>
        <w:suppressAutoHyphens w:val="true"/>
        <w:jc w:val="center"/>
        <w:rPr>
          <w:b/>
          <w:lang w:val="ru-RU"/>
        </w:rPr>
      </w:pPr>
      <w:r>
        <w:rPr>
          <w:b/>
          <w:lang w:val="ru-RU"/>
        </w:rPr>
        <w:t xml:space="preserve">на оказание услуг по ремонту кузова легкового автомобиля </w:t>
      </w:r>
    </w:p>
    <w:p>
      <w:pPr>
        <w:pStyle w:val="Normal"/>
        <w:spacing w:before="0" w:after="120"/>
        <w:jc w:val="center"/>
        <w:rPr>
          <w:b/>
          <w:lang w:val="ru-RU"/>
        </w:rPr>
      </w:pPr>
      <w:r>
        <w:rPr>
          <w:b/>
          <w:lang w:val="ru-RU"/>
        </w:rPr>
      </w:r>
    </w:p>
    <w:p>
      <w:pPr>
        <w:pStyle w:val="Normal"/>
        <w:shd w:val="clear" w:color="auto" w:fill="FFFFFF"/>
        <w:tabs>
          <w:tab w:val="clear" w:pos="708"/>
          <w:tab w:val="right" w:pos="0" w:leader="none"/>
        </w:tabs>
        <w:rPr>
          <w:bCs/>
          <w:color w:val="000000"/>
          <w:lang w:val="ru-RU"/>
        </w:rPr>
      </w:pPr>
      <w:r>
        <w:rPr>
          <w:bCs/>
          <w:color w:val="000000"/>
          <w:lang w:val="ru-RU"/>
        </w:rPr>
        <w:t>г. Жигулёвск</w:t>
        <w:tab/>
        <w:tab/>
        <w:tab/>
        <w:tab/>
        <w:tab/>
        <w:t xml:space="preserve">                                          «____» _______2026г.</w:t>
      </w:r>
    </w:p>
    <w:p>
      <w:pPr>
        <w:pStyle w:val="Normal"/>
        <w:spacing w:before="0" w:after="120"/>
        <w:jc w:val="both"/>
        <w:rPr>
          <w:bCs/>
          <w:lang w:val="ru-RU"/>
        </w:rPr>
      </w:pPr>
      <w:r>
        <w:rPr>
          <w:bCs/>
          <w:lang w:val="ru-RU"/>
        </w:rPr>
      </w:r>
    </w:p>
    <w:p>
      <w:pPr>
        <w:pStyle w:val="Normal"/>
        <w:ind w:firstLine="567"/>
        <w:jc w:val="both"/>
        <w:rPr>
          <w:lang w:val="ru-RU"/>
        </w:rPr>
      </w:pPr>
      <w:r>
        <w:rPr>
          <w:b/>
          <w:spacing w:val="-1"/>
          <w:lang w:val="ru-RU"/>
        </w:rPr>
        <w:t>Акционерное общество «Гидроремонт-ВКК» (АО «Гидроремонт-ВКК»)</w:t>
      </w:r>
      <w:r>
        <w:rPr>
          <w:lang w:val="ru-RU"/>
        </w:rPr>
        <w:t xml:space="preserve"> (далее – «Заказчик»), в лице Директора Жигулёвского филиала АО «Гидроремонт-ВКК» в </w:t>
        <w:br/>
        <w:t>г. Жигулёвск _________________, действующего</w:t>
      </w:r>
      <w:r>
        <w:rPr>
          <w:color w:val="000000"/>
          <w:lang w:val="ru-RU"/>
        </w:rPr>
        <w:t xml:space="preserve"> на основании __________________</w:t>
      </w:r>
      <w:r>
        <w:rPr>
          <w:lang w:val="ru-RU"/>
        </w:rPr>
        <w:t xml:space="preserve">, с одной стороны, и </w:t>
      </w:r>
    </w:p>
    <w:p>
      <w:pPr>
        <w:pStyle w:val="Normal"/>
        <w:ind w:firstLine="567"/>
        <w:jc w:val="both"/>
        <w:rPr>
          <w:lang w:val="ru-RU"/>
        </w:rPr>
      </w:pPr>
      <w:r>
        <w:rPr>
          <w:b/>
          <w:lang w:val="ru-RU"/>
        </w:rPr>
        <w:t>_________________________</w:t>
      </w:r>
      <w:r>
        <w:rPr>
          <w:lang w:val="ru-RU"/>
        </w:rPr>
        <w:t xml:space="preserve"> (далее – «Исполнитель»), действующий на основании ___________________________________., с другой стороны, </w:t>
      </w:r>
    </w:p>
    <w:p>
      <w:pPr>
        <w:pStyle w:val="Normal"/>
        <w:ind w:firstLine="567"/>
        <w:mirrorIndents/>
        <w:jc w:val="both"/>
        <w:rPr>
          <w:lang w:val="ru-RU"/>
        </w:rPr>
      </w:pPr>
      <w:r>
        <w:rPr>
          <w:lang w:val="ru-RU"/>
        </w:rPr>
        <w:t xml:space="preserve">совместно в дальнейшем именуемые «Стороны», а по отдельности – «Сторона», </w:t>
      </w:r>
      <w:r>
        <w:rPr>
          <w:rFonts w:eastAsia="Calibri"/>
          <w:lang w:val="ru-RU" w:eastAsia="en-US"/>
        </w:rPr>
        <w:t>по результатам проведенной не регламентированной закупки, что подтверждается аналитической запиской о результатах анализа предложений, представленных в отношении не регламентированной закупки от _____________ г</w:t>
      </w:r>
      <w:r>
        <w:rPr>
          <w:lang w:val="ru-RU"/>
        </w:rPr>
        <w:t xml:space="preserve">., </w:t>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Предмет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color w:val="000000"/>
          <w:spacing w:val="5"/>
        </w:rPr>
        <w:t xml:space="preserve">По настоящему Договору Исполнитель принимает на себя обязательства по заявке Заказчика оказать услуги ремонта кузова легкового автомобиля </w:t>
      </w:r>
      <w:r>
        <w:rPr>
          <w:color w:val="000000"/>
          <w:spacing w:val="-1"/>
        </w:rPr>
        <w:t>принадлежащего Заказчику (далее по тексту «Услуги») с использованием собственных запасных частей и материалов, а Заказчик обязуется принимать и оплачивать оказанные услуги в порядке и сроки, установленные настоящим договором.</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Услуги оказываются для нужд Жигулёвского филиала АО «Гидроремонт – ВКК» в г. Жигулёвск.</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Место оказания услуг: __________________________________</w:t>
      </w:r>
    </w:p>
    <w:p>
      <w:pPr>
        <w:pStyle w:val="ListParagraph"/>
        <w:numPr>
          <w:ilvl w:val="1"/>
          <w:numId w:val="2"/>
        </w:numPr>
        <w:shd w:val="clear" w:color="auto" w:fill="FFFFFF"/>
        <w:tabs>
          <w:tab w:val="clear" w:pos="708"/>
          <w:tab w:val="left" w:pos="1134" w:leader="none"/>
        </w:tabs>
        <w:ind w:left="0" w:firstLine="567"/>
        <w:jc w:val="both"/>
        <w:rPr/>
      </w:pPr>
      <w:r>
        <w:rPr/>
        <w:t>Услуги оказываются в период: с 01.0</w:t>
      </w:r>
      <w:r>
        <w:rPr/>
        <w:t>5</w:t>
      </w:r>
      <w:r>
        <w:rPr/>
        <w:t>.202</w:t>
      </w:r>
      <w:r>
        <w:rPr/>
        <w:t>7</w:t>
      </w:r>
      <w:r>
        <w:rPr/>
        <w:t xml:space="preserve">г. в течение </w:t>
      </w:r>
      <w:r>
        <w:rPr/>
        <w:t>1</w:t>
      </w:r>
      <w:r>
        <w:rPr/>
        <w:t xml:space="preserve"> (</w:t>
      </w:r>
      <w:r>
        <w:rPr/>
        <w:t>одного</w:t>
      </w:r>
      <w:r>
        <w:rPr/>
        <w:t>) месяц</w:t>
      </w:r>
      <w:r>
        <w:rPr/>
        <w:t>а</w:t>
      </w:r>
      <w:r>
        <w:rPr/>
        <w:t xml:space="preserve">, в соответствии с условиями Технического задания (Приложение №1 к Договору), а также установленными в нем требованиями. </w:t>
      </w:r>
    </w:p>
    <w:p>
      <w:pPr>
        <w:pStyle w:val="ListParagraph"/>
        <w:shd w:val="clear" w:color="auto" w:fill="FFFFFF"/>
        <w:tabs>
          <w:tab w:val="clear" w:pos="708"/>
          <w:tab w:val="left" w:pos="1134" w:leader="none"/>
        </w:tabs>
        <w:ind w:left="567" w:hanging="0"/>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Права и обязанности Сторон</w:t>
      </w:r>
    </w:p>
    <w:p>
      <w:pPr>
        <w:pStyle w:val="ListParagraph"/>
        <w:shd w:val="clear" w:color="auto" w:fill="FFFFFF"/>
        <w:tabs>
          <w:tab w:val="clear" w:pos="708"/>
          <w:tab w:val="left" w:pos="284" w:leader="none"/>
        </w:tabs>
        <w:spacing w:before="0" w:after="0"/>
        <w:ind w:left="0" w:hanging="0"/>
        <w:contextualSpacing w:val="false"/>
        <w:rPr>
          <w:b/>
        </w:rPr>
      </w:pPr>
      <w:r>
        <w:rPr>
          <w:b/>
        </w:rPr>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b/>
        </w:rPr>
      </w:pPr>
      <w:r>
        <w:rPr>
          <w:b/>
        </w:rPr>
        <w:t>Заказчик обязан:</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Назначить представителя для оперативного рассмотрения и решения технических и организационных вопросов, связанных с оказанием Услуг. Полномочия представителя должны быть подтверждены надлежащим образом оформленной доверенностью, передаваемой Исполнителю по его письменному запросу.</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Принять и оплатить Услуги, произведенные Исполнителем в размере и на предусмотренных настоящим Договором</w:t>
      </w:r>
      <w:bookmarkStart w:id="0" w:name="_GoBack"/>
      <w:bookmarkEnd w:id="0"/>
      <w:r>
        <w:rPr/>
        <w:t xml:space="preserve"> условиях.</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После получения уведомления от Исполнителя об окончании оказания услуг ремонта кузова легкового автомобиля, а также подписания представителем Заказчика заказа наряда забирать автомобили в течение одних суток с территории Исполнителя.</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Гарантировать Исполнителю отсутствие претензий третьих лиц по вопросам права владения и пользования, а также распоряжения автомобилем.</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b/>
        </w:rPr>
      </w:pPr>
      <w:r>
        <w:rPr>
          <w:b/>
        </w:rPr>
        <w:t>Заказчик имеет право:</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В любое время проверять ход оказываемых услуг, не вмешиваясь при этом в их оперативно-хозяйственную деятельность Исполнителя.</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Приостанавливать оказание услуг путем направления Исполнителю соответствующего письменного требования с указанием причин приостановления при обнаружении: отступлений от требований Технического задания (Приложение №1 к Договору), требований, установленных изготовителями (производителями) легкового автомобиля, действующих норм и правил, до устранения таких нарушений или их последствий. Приостановка оказания Услуг не влечет права Исполнителя на их оплату или на продление сроков их оказания</w:t>
      </w:r>
      <w:bookmarkStart w:id="1" w:name="_Ref361334468"/>
      <w:r>
        <w:rPr/>
        <w:t>, установленных Договором.</w:t>
      </w:r>
      <w:bookmarkEnd w:id="1"/>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Помимо отчетов Исполнителя, предоставляемым в соответствии с условиями Договора, требовать от Исполнителя предоставления дополнительных технических сведений о ходе оказания услуг, об используемых запасных частей, материалах, оборудовании и иных ресурсах, о времени выполнения оказания услуг, выполнении иных условий Договора. </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В одностороннем порядке отказаться от исполнения Договора путем направления Исполнителю соответствующего письменного уведомления Исполнителя за 30 (тридцать) календарных дней, при условии оплаты Исполнителю фактически осуществленных им расходов на оказанные услуги по ремонту кузова легкового автомобиля Заказчика.</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Потребовать от Исполнителя возмещения убытков, в том числе в любом из следующих случаев: </w:t>
      </w:r>
    </w:p>
    <w:p>
      <w:pPr>
        <w:pStyle w:val="Normal"/>
        <w:numPr>
          <w:ilvl w:val="0"/>
          <w:numId w:val="3"/>
        </w:numPr>
        <w:tabs>
          <w:tab w:val="clear" w:pos="708"/>
          <w:tab w:val="left" w:pos="851" w:leader="none"/>
        </w:tabs>
        <w:ind w:left="851" w:hanging="284"/>
        <w:jc w:val="both"/>
        <w:rPr>
          <w:lang w:val="ru-RU"/>
        </w:rPr>
      </w:pPr>
      <w:r>
        <w:rPr>
          <w:lang w:val="ru-RU"/>
        </w:rPr>
        <w:t>при осуществлении Исполнителем или привлеченным им третьим лицом</w:t>
      </w:r>
      <w:r>
        <w:rPr>
          <w:bCs/>
          <w:lang w:val="ru-RU"/>
        </w:rPr>
        <w:t xml:space="preserve"> </w:t>
      </w:r>
      <w:r>
        <w:rPr>
          <w:lang w:val="ru-RU"/>
        </w:rPr>
        <w:t>действий (бездействия), причиняющих вред имуществу третьих лиц, окружающей среде, создающих опасность возникновения аварийной ситуации;</w:t>
      </w:r>
    </w:p>
    <w:p>
      <w:pPr>
        <w:pStyle w:val="Normal"/>
        <w:numPr>
          <w:ilvl w:val="0"/>
          <w:numId w:val="3"/>
        </w:numPr>
        <w:tabs>
          <w:tab w:val="clear" w:pos="708"/>
          <w:tab w:val="left" w:pos="851" w:leader="none"/>
        </w:tabs>
        <w:ind w:left="851" w:hanging="284"/>
        <w:jc w:val="both"/>
        <w:rPr>
          <w:bCs/>
          <w:lang w:val="ru-RU"/>
        </w:rPr>
      </w:pPr>
      <w:r>
        <w:rPr>
          <w:bCs/>
          <w:lang w:val="ru-RU"/>
        </w:rPr>
        <w:t xml:space="preserve">при неоднократном и/или неустранимом в разумный срок отступлении </w:t>
      </w:r>
      <w:r>
        <w:rPr>
          <w:lang w:val="ru-RU"/>
        </w:rPr>
        <w:t xml:space="preserve">Исполнителя </w:t>
      </w:r>
      <w:r>
        <w:rPr>
          <w:bCs/>
          <w:lang w:val="ru-RU"/>
        </w:rPr>
        <w:t>от требований Договора, Технического задания или Установленных требований;</w:t>
      </w:r>
    </w:p>
    <w:p>
      <w:pPr>
        <w:pStyle w:val="Normal"/>
        <w:numPr>
          <w:ilvl w:val="0"/>
          <w:numId w:val="3"/>
        </w:numPr>
        <w:tabs>
          <w:tab w:val="clear" w:pos="708"/>
          <w:tab w:val="left" w:pos="851" w:leader="none"/>
        </w:tabs>
        <w:ind w:left="851" w:hanging="284"/>
        <w:jc w:val="both"/>
        <w:rPr>
          <w:lang w:val="ru-RU"/>
        </w:rPr>
      </w:pPr>
      <w:r>
        <w:rPr>
          <w:lang w:val="ru-RU"/>
        </w:rPr>
        <w:t>при осуществлении Исполнителем действий, которые влекут или могут повлечь структурные и/или технические изменения вверенных ему легковых транспортных средств, не предусмотренные Договором;</w:t>
      </w:r>
    </w:p>
    <w:p>
      <w:pPr>
        <w:pStyle w:val="Normal"/>
        <w:numPr>
          <w:ilvl w:val="0"/>
          <w:numId w:val="3"/>
        </w:numPr>
        <w:tabs>
          <w:tab w:val="clear" w:pos="708"/>
          <w:tab w:val="left" w:pos="851" w:leader="none"/>
        </w:tabs>
        <w:ind w:left="851" w:hanging="284"/>
        <w:jc w:val="both"/>
        <w:rPr>
          <w:bCs/>
          <w:lang w:val="ru-RU"/>
        </w:rPr>
      </w:pPr>
      <w:r>
        <w:rPr>
          <w:lang w:val="ru-RU"/>
        </w:rPr>
        <w:t>в иных случаях, предусмотренных законодательством Российской Федерации.</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b/>
        </w:rPr>
      </w:pPr>
      <w:r>
        <w:rPr>
          <w:b/>
        </w:rPr>
        <w:t>Исполнитель обязан:</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На свой риск, своими силами и средствами, с использованием своих материалов, оборудования и инструмента, на основании подписанной Сторонами заявкой и заказ-нарядом, оказать услуги по ремонту кузова легкового автомобиля и сдать результат Заказчику в объеме и с качеством, соответствующим требованиям Договора, Техническому заданию (Приложение № 1), а также установленным требованиям действующих норм и правил и законодательства Российской Федерации.</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Принять у Заказчика на ремонт кузова автотранспортное средство. При приемке Исполнитель указывает в Акте приемки автомобиля в ремонт все замечания и недостатки, которые могут повлиять на сроки или результат оказания услуг. В случае невыполнения данного требования Исполнитель лишается права предъявлять какие-либо претензии, в том числе связанные с увеличением объемов оказываемых услуг или сроков их выполнения.</w:t>
      </w:r>
    </w:p>
    <w:p>
      <w:pPr>
        <w:pStyle w:val="ListParagraph"/>
        <w:shd w:val="clear" w:color="auto" w:fill="FFFFFF"/>
        <w:tabs>
          <w:tab w:val="clear" w:pos="708"/>
          <w:tab w:val="left" w:pos="1276" w:leader="none"/>
        </w:tabs>
        <w:spacing w:before="0" w:after="0"/>
        <w:ind w:left="567" w:hanging="0"/>
        <w:contextualSpacing w:val="false"/>
        <w:jc w:val="both"/>
        <w:rPr/>
      </w:pPr>
      <w:r>
        <w:rPr/>
        <w:t>В акте приемке автомобиля в ремонт, указываются следующие сведения:</w:t>
      </w:r>
    </w:p>
    <w:p>
      <w:pPr>
        <w:pStyle w:val="ListParagraph"/>
        <w:shd w:val="clear" w:color="auto" w:fill="FFFFFF"/>
        <w:tabs>
          <w:tab w:val="clear" w:pos="708"/>
          <w:tab w:val="left" w:pos="1276" w:leader="none"/>
        </w:tabs>
        <w:spacing w:before="0" w:after="0"/>
        <w:ind w:left="567" w:hanging="0"/>
        <w:contextualSpacing w:val="false"/>
        <w:jc w:val="both"/>
        <w:rPr/>
      </w:pPr>
      <w:r>
        <w:rPr/>
        <w:t xml:space="preserve"> </w:t>
      </w:r>
      <w:r>
        <w:rPr/>
        <w:t>- марка, модель транспортного средства;</w:t>
      </w:r>
    </w:p>
    <w:p>
      <w:pPr>
        <w:pStyle w:val="ListParagraph"/>
        <w:shd w:val="clear" w:color="auto" w:fill="FFFFFF"/>
        <w:tabs>
          <w:tab w:val="clear" w:pos="708"/>
          <w:tab w:val="left" w:pos="1276" w:leader="none"/>
        </w:tabs>
        <w:spacing w:before="0" w:after="0"/>
        <w:ind w:left="567" w:hanging="0"/>
        <w:contextualSpacing w:val="false"/>
        <w:jc w:val="both"/>
        <w:rPr/>
      </w:pPr>
      <w:r>
        <w:rPr/>
        <w:t>- государственный регистрационный номер;</w:t>
      </w:r>
    </w:p>
    <w:p>
      <w:pPr>
        <w:pStyle w:val="ListParagraph"/>
        <w:shd w:val="clear" w:color="auto" w:fill="FFFFFF"/>
        <w:tabs>
          <w:tab w:val="clear" w:pos="708"/>
          <w:tab w:val="left" w:pos="1276" w:leader="none"/>
        </w:tabs>
        <w:spacing w:before="0" w:after="0"/>
        <w:ind w:left="567" w:hanging="0"/>
        <w:contextualSpacing w:val="false"/>
        <w:jc w:val="both"/>
        <w:rPr/>
      </w:pPr>
      <w:r>
        <w:rPr/>
        <w:t xml:space="preserve"> </w:t>
      </w:r>
      <w:r>
        <w:rPr/>
        <w:t xml:space="preserve">- номер </w:t>
      </w:r>
      <w:r>
        <w:rPr>
          <w:lang w:val="en-US"/>
        </w:rPr>
        <w:t>VIN</w:t>
      </w:r>
      <w:r>
        <w:rPr/>
        <w:t>;</w:t>
      </w:r>
    </w:p>
    <w:p>
      <w:pPr>
        <w:pStyle w:val="ListParagraph"/>
        <w:shd w:val="clear" w:color="auto" w:fill="FFFFFF"/>
        <w:tabs>
          <w:tab w:val="clear" w:pos="708"/>
          <w:tab w:val="left" w:pos="1276" w:leader="none"/>
        </w:tabs>
        <w:spacing w:before="0" w:after="0"/>
        <w:ind w:left="567" w:hanging="0"/>
        <w:contextualSpacing w:val="false"/>
        <w:jc w:val="both"/>
        <w:rPr/>
      </w:pPr>
      <w:r>
        <w:rPr/>
        <w:t>- наружние повреждения и дефекты;</w:t>
      </w:r>
    </w:p>
    <w:p>
      <w:pPr>
        <w:pStyle w:val="ListParagraph"/>
        <w:shd w:val="clear" w:color="auto" w:fill="FFFFFF"/>
        <w:tabs>
          <w:tab w:val="clear" w:pos="708"/>
          <w:tab w:val="left" w:pos="1276" w:leader="none"/>
        </w:tabs>
        <w:spacing w:before="0" w:after="0"/>
        <w:ind w:left="567" w:hanging="0"/>
        <w:contextualSpacing w:val="false"/>
        <w:jc w:val="both"/>
        <w:rPr/>
      </w:pPr>
      <w:r>
        <w:rPr/>
        <w:t xml:space="preserve"> </w:t>
      </w:r>
      <w:r>
        <w:rPr/>
        <w:t>- дополнительное оборудование;</w:t>
      </w:r>
    </w:p>
    <w:p>
      <w:pPr>
        <w:pStyle w:val="ListParagraph"/>
        <w:shd w:val="clear" w:color="auto" w:fill="FFFFFF"/>
        <w:tabs>
          <w:tab w:val="clear" w:pos="708"/>
          <w:tab w:val="left" w:pos="1276" w:leader="none"/>
        </w:tabs>
        <w:spacing w:before="0" w:after="0"/>
        <w:ind w:left="567" w:hanging="0"/>
        <w:contextualSpacing w:val="false"/>
        <w:jc w:val="both"/>
        <w:rPr/>
      </w:pPr>
      <w:r>
        <w:rPr/>
        <w:t>- Сведения о предоставлении Заказчиком запасных частей (если применимо);</w:t>
      </w:r>
    </w:p>
    <w:p>
      <w:pPr>
        <w:pStyle w:val="ListParagraph"/>
        <w:shd w:val="clear" w:color="auto" w:fill="FFFFFF"/>
        <w:tabs>
          <w:tab w:val="clear" w:pos="708"/>
          <w:tab w:val="left" w:pos="1276" w:leader="none"/>
        </w:tabs>
        <w:spacing w:before="0" w:after="0"/>
        <w:ind w:left="567" w:hanging="0"/>
        <w:contextualSpacing w:val="false"/>
        <w:jc w:val="both"/>
        <w:rPr/>
      </w:pPr>
      <w:r>
        <w:rPr/>
        <w:t>- комплектность автомобиля.</w:t>
      </w:r>
    </w:p>
    <w:p>
      <w:pPr>
        <w:pStyle w:val="ListParagraph"/>
        <w:shd w:val="clear" w:color="auto" w:fill="FFFFFF"/>
        <w:tabs>
          <w:tab w:val="clear" w:pos="708"/>
          <w:tab w:val="left" w:pos="1276" w:leader="none"/>
        </w:tabs>
        <w:spacing w:before="0" w:after="0"/>
        <w:ind w:left="0" w:firstLine="567"/>
        <w:contextualSpacing w:val="false"/>
        <w:jc w:val="both"/>
        <w:rPr/>
      </w:pPr>
      <w:r>
        <w:rPr/>
        <w:t xml:space="preserve"> </w:t>
      </w:r>
      <w:r>
        <w:rPr/>
        <w:t>Автомобиль принимается на СТО Исполнителя в чистом виде, в противном случае Исполнитель не несет ответственности перед Заказчиком за наружные повреждения лакокрасочного покрытия автомобиля, которые не могли быть обнаружены без предварительной мойки автомобиля. В случае отказа Заказчика и/или его доверенного представителя при сдаче автомобиля в ремонт от совместного осмотра после мойки и наличия в будущем претензий к Исполнителю относительно каких-либо наружных повреждений, бремя доказывания причинения повреждений автомобилю ложится на Заказчика.</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Оказывать услуги по ремонту кузова легкового автомобиля Заказчика с использованием оригинальных запчастей и материалов завода-изготовителя, либо запасных частей поставщиков, уполномоченных заводом – изготовителем.</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Предоставить по требованию Заказчика сертификаты соответствия на оригинальные запасные части, применяемые в процессе ремонта транспортного средства Заказчика, согласно Технического регламента «О безопасности транспортных средств», утвержденного</w:t>
      </w:r>
      <w:r>
        <w:rPr>
          <w:color w:val="000000"/>
          <w:sz w:val="24"/>
          <w:szCs w:val="24"/>
        </w:rPr>
        <w:t xml:space="preserve"> </w:t>
      </w:r>
      <w:r>
        <w:rPr>
          <w:b w:val="false"/>
          <w:i w:val="false"/>
          <w:caps w:val="false"/>
          <w:smallCaps w:val="false"/>
          <w:color w:val="000000"/>
          <w:spacing w:val="0"/>
          <w:sz w:val="24"/>
          <w:szCs w:val="24"/>
        </w:rPr>
        <w:t>Решением Комиссии Таможенного союза ЕврАзЭС от 09.12.2011 N 877</w:t>
      </w:r>
      <w:r>
        <w:rPr/>
        <w:t>.</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Обеспечить наличие запасных частей для оказания услуг по ремонту кузова легкового автомобиля, в соответствии с Техническим заданием Заказчика.</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Производить ремонт кузова автомобиля, в соответствии с действующими законодательными актами, регулирующими данный вид деятельности, в том числе «Правилами оказания услуг (выполнения работ) по техническому обслуживанию и ремонту автомототранспортных средств», утвержденными Постановлением Правительства РФ </w:t>
      </w:r>
      <w:r>
        <w:rPr>
          <w:b w:val="false"/>
          <w:i w:val="false"/>
          <w:caps w:val="false"/>
          <w:smallCaps w:val="false"/>
          <w:color w:val="000000"/>
          <w:spacing w:val="0"/>
          <w:sz w:val="24"/>
          <w:szCs w:val="24"/>
        </w:rPr>
        <w:t>от 29 мая 2025 г. N 780.</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Предоставить Заказчику бесплатное хранение автомобиля на охраняемой территории на время ожидания работ, а также после их окончания.</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Обеспечить утилизацию отходов возникших при проведении ремонта автомобиля Заказчика за свой счет.</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Выдавать по желанию Заказчика замененные в процессе ремонта детали и узлы автомобиля. При этом если Заказчик не забирает замененные детали в течение 7 (семи) календарных дней с момента оказания услуг, Исполнитель имеет право распорядится ими по своему усмотрению.</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Установить следующие гарантийные сроки на выполненные им работы:</w:t>
      </w:r>
    </w:p>
    <w:p>
      <w:pPr>
        <w:pStyle w:val="ListParagraph"/>
        <w:shd w:val="clear" w:color="auto" w:fill="FFFFFF"/>
        <w:tabs>
          <w:tab w:val="clear" w:pos="708"/>
          <w:tab w:val="left" w:pos="1276" w:leader="none"/>
        </w:tabs>
        <w:spacing w:before="0" w:after="0"/>
        <w:ind w:left="567" w:hanging="0"/>
        <w:contextualSpacing w:val="false"/>
        <w:jc w:val="both"/>
        <w:rPr/>
      </w:pPr>
      <w:r>
        <w:rPr/>
        <w:t xml:space="preserve">- на малярно-кузовные работы – </w:t>
      </w:r>
      <w:r>
        <w:rPr>
          <w:color w:val="000000"/>
          <w:sz w:val="24"/>
          <w:szCs w:val="24"/>
        </w:rPr>
        <w:t>не менее 12 месяцев с момента подписания актов приемки выполненных услуг (включая гарантию на применяемые запчасти)</w:t>
      </w:r>
      <w:r>
        <w:rPr/>
        <w:t>;</w:t>
      </w:r>
    </w:p>
    <w:p>
      <w:pPr>
        <w:pStyle w:val="ListParagraph"/>
        <w:shd w:val="clear" w:color="auto" w:fill="FFFFFF"/>
        <w:tabs>
          <w:tab w:val="clear" w:pos="708"/>
          <w:tab w:val="left" w:pos="1276" w:leader="none"/>
        </w:tabs>
        <w:spacing w:before="0" w:after="0"/>
        <w:ind w:left="0" w:firstLine="567"/>
        <w:contextualSpacing w:val="false"/>
        <w:jc w:val="both"/>
        <w:rPr/>
      </w:pPr>
      <w:r>
        <w:rPr/>
        <w:t>Претензии по качеству оказанных услуг Исполнителя должны быть предъявлены в течение гарантийного срока.</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Обеспечить соответствие транспортных средств, прошедших ремонт и техническое обслуживание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РФ от 23.10.1993г. № 1090 «О правилах дорожного движения»).</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Обеспечить наличие (если применимо) всех допусков, лицензий и разрешений, необходимых для оказания услуг по настоящему Договору. Незамедлительно, но в любом случае не позднее рабочего дня, следующего за днем наступлением соответствующего обстоятельства, сообщать Заказчику об аннулировании, признании недействительными или утрате силы по другим основаниям каких-либо допусков Исполнителя, разрешений, согласований или лицензий, необходимых для исполнения им своих обязательств по Договору, а также получить соответствующие допуски, разрешения, согласования или лицензии в срок, обеспечивающий надлежащее исполнение им условий Договора. </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Если во время оказания услуг законом или иным нормативным актом будет установлена необходимость для Исполнителя получить дополнительные допуски, разрешения и/или лицензии, Исполнитель направит Заказчику соответствующее уведомление и в разумный срок получит необходимые допуски, разрешения и/или лицензии. 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и Исполнитель не будет иметь права на продление сроков оказания услуг или увеличение стоимости услуг, если Сторонами письменно не согласовано иное.</w:t>
      </w:r>
    </w:p>
    <w:p>
      <w:pPr>
        <w:pStyle w:val="ListParagraph"/>
        <w:numPr>
          <w:ilvl w:val="2"/>
          <w:numId w:val="2"/>
        </w:numPr>
        <w:shd w:val="clear" w:color="auto" w:fill="FFFFFF"/>
        <w:tabs>
          <w:tab w:val="clear" w:pos="708"/>
          <w:tab w:val="left" w:pos="1418" w:leader="none"/>
        </w:tabs>
        <w:spacing w:before="0" w:after="0"/>
        <w:ind w:left="0" w:firstLine="567"/>
        <w:contextualSpacing w:val="false"/>
        <w:jc w:val="both"/>
        <w:rPr/>
      </w:pPr>
      <w:r>
        <w:rPr/>
        <w:t>Выполнять полученные в ходе исполнения Договора указания (требования) Заказчика, если такие указания не противоречат условиям Договора и/или не влекут существенного увеличения объема оказываемых услуг. 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 2.3.17. Договора</w:t>
      </w:r>
    </w:p>
    <w:p>
      <w:pPr>
        <w:pStyle w:val="ListParagraph"/>
        <w:numPr>
          <w:ilvl w:val="2"/>
          <w:numId w:val="2"/>
        </w:numPr>
        <w:shd w:val="clear" w:color="auto" w:fill="FFFFFF"/>
        <w:tabs>
          <w:tab w:val="clear" w:pos="708"/>
          <w:tab w:val="left" w:pos="1418" w:leader="none"/>
        </w:tabs>
        <w:spacing w:before="0" w:after="0"/>
        <w:ind w:left="0" w:firstLine="567"/>
        <w:contextualSpacing w:val="false"/>
        <w:jc w:val="both"/>
        <w:rPr/>
      </w:pPr>
      <w:r>
        <w:rPr/>
        <w:t xml:space="preserve">Исполнитель не вправе отказаться от выполнения или задержать выполнение письменных указаний Заказчика в части сокращения объемов оказываемых услуг, прекращения и/или исключения отдельных видов работ, кроме случая, указанного в п. 2.3.17.1. Договора. </w:t>
      </w:r>
    </w:p>
    <w:p>
      <w:pPr>
        <w:pStyle w:val="ListParagraph"/>
        <w:numPr>
          <w:ilvl w:val="2"/>
          <w:numId w:val="2"/>
        </w:numPr>
        <w:shd w:val="clear" w:color="auto" w:fill="FFFFFF"/>
        <w:tabs>
          <w:tab w:val="clear" w:pos="708"/>
          <w:tab w:val="left" w:pos="1418" w:leader="none"/>
        </w:tabs>
        <w:spacing w:before="0" w:after="0"/>
        <w:ind w:left="0" w:firstLine="567"/>
        <w:contextualSpacing w:val="false"/>
        <w:jc w:val="both"/>
        <w:rPr/>
      </w:pPr>
      <w:bookmarkStart w:id="2"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2"/>
    </w:p>
    <w:p>
      <w:pPr>
        <w:pStyle w:val="ListParagraph"/>
        <w:numPr>
          <w:ilvl w:val="3"/>
          <w:numId w:val="2"/>
        </w:numPr>
        <w:shd w:val="clear" w:color="auto" w:fill="FFFFFF"/>
        <w:tabs>
          <w:tab w:val="clear" w:pos="708"/>
          <w:tab w:val="left" w:pos="1560" w:leader="none"/>
        </w:tabs>
        <w:spacing w:before="0" w:after="0"/>
        <w:ind w:left="0" w:firstLine="567"/>
        <w:contextualSpacing w:val="false"/>
        <w:jc w:val="both"/>
        <w:rPr/>
      </w:pPr>
      <w:bookmarkStart w:id="3"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3"/>
      <w:r>
        <w:rPr/>
        <w:t xml:space="preserve"> </w:t>
      </w:r>
    </w:p>
    <w:p>
      <w:pPr>
        <w:pStyle w:val="ListParagraph"/>
        <w:numPr>
          <w:ilvl w:val="3"/>
          <w:numId w:val="2"/>
        </w:numPr>
        <w:shd w:val="clear" w:color="auto" w:fill="FFFFFF"/>
        <w:tabs>
          <w:tab w:val="clear" w:pos="708"/>
          <w:tab w:val="left" w:pos="1560" w:leader="none"/>
        </w:tabs>
        <w:spacing w:before="0" w:after="0"/>
        <w:ind w:left="0" w:firstLine="567"/>
        <w:contextualSpacing w:val="false"/>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2"/>
        </w:numPr>
        <w:shd w:val="clear" w:color="auto" w:fill="FFFFFF"/>
        <w:tabs>
          <w:tab w:val="clear" w:pos="708"/>
          <w:tab w:val="left" w:pos="1560" w:leader="none"/>
        </w:tabs>
        <w:spacing w:before="0" w:after="0"/>
        <w:ind w:left="0" w:firstLine="567"/>
        <w:contextualSpacing w:val="false"/>
        <w:jc w:val="both"/>
        <w:rPr/>
      </w:pPr>
      <w:r>
        <w:rPr/>
        <w:t xml:space="preserve">любых обстоятельствах, угрожающих годности, прочности и/или безопасности переданного Исполнителю транспортного средства Заказчика, либо создающих невозможность выполнения работ в срок, предусмотренный Договором – в любом случае не позднее следующего рабочего дня после обнаружения; </w:t>
      </w:r>
    </w:p>
    <w:p>
      <w:pPr>
        <w:pStyle w:val="ListParagraph"/>
        <w:numPr>
          <w:ilvl w:val="3"/>
          <w:numId w:val="2"/>
        </w:numPr>
        <w:shd w:val="clear" w:color="auto" w:fill="FFFFFF"/>
        <w:tabs>
          <w:tab w:val="clear" w:pos="708"/>
          <w:tab w:val="left" w:pos="1560" w:leader="none"/>
        </w:tabs>
        <w:spacing w:before="0" w:after="0"/>
        <w:ind w:left="0" w:firstLine="567"/>
        <w:contextualSpacing w:val="false"/>
        <w:jc w:val="both"/>
        <w:rPr/>
      </w:pPr>
      <w:r>
        <w:rPr/>
        <w:t>любых обстоятельствах, способных привести к возникновению предаварийной ситуации или аварии, вреду жизни или здоровью людей, имуществу или окружающей среде - незамедлительно, но не позднее двух часов с момента возникновения таких обстоятельств либо обнаружения угрозы их возникновения соответственно, а также сообщать контактному лицу механику Жигулёвского филиала Власову Д.Г., по телефонам: +7 (84862) 71-6-91, +7 (927) 702-34-66.</w:t>
      </w:r>
    </w:p>
    <w:p>
      <w:pPr>
        <w:pStyle w:val="ListParagraph"/>
        <w:shd w:val="clear" w:color="auto" w:fill="FFFFFF"/>
        <w:tabs>
          <w:tab w:val="clear" w:pos="708"/>
          <w:tab w:val="left" w:pos="1276" w:leader="none"/>
        </w:tabs>
        <w:spacing w:before="0" w:after="0"/>
        <w:ind w:left="0" w:firstLine="567"/>
        <w:contextualSpacing w:val="false"/>
        <w:jc w:val="both"/>
        <w:rPr/>
      </w:pPr>
      <w:r>
        <w:rPr/>
        <w:t>Невыполнение Исполнителем требований пунктов 2.3.16.1-2.3.16.4.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08"/>
          <w:tab w:val="left" w:pos="1418" w:leader="none"/>
        </w:tabs>
        <w:spacing w:before="0" w:after="0"/>
        <w:ind w:left="0" w:firstLine="567"/>
        <w:contextualSpacing w:val="false"/>
        <w:jc w:val="both"/>
        <w:rPr/>
      </w:pPr>
      <w:r>
        <w:rPr/>
        <w:t xml:space="preserve">Устранять недостатки и дефекты, нарушения действующих норм и правил, Установленных требований, Технического задания, иных условий Договора,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за свой счёт, своими средствами и в сроки, установленные Заказчиком.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numPr>
          <w:ilvl w:val="2"/>
          <w:numId w:val="2"/>
        </w:numPr>
        <w:shd w:val="clear" w:color="auto" w:fill="FFFFFF"/>
        <w:tabs>
          <w:tab w:val="clear" w:pos="708"/>
          <w:tab w:val="left" w:pos="1418" w:leader="none"/>
        </w:tabs>
        <w:spacing w:before="0" w:after="0"/>
        <w:ind w:left="0" w:firstLine="567"/>
        <w:contextualSpacing w:val="false"/>
        <w:jc w:val="both"/>
        <w:rPr/>
      </w:pPr>
      <w:r>
        <w:rPr/>
        <w:t>Письменно уведомить Заказчика о намерении приостановить оказание услуг полностью или частично, когда такая приостановка Исполнителем допускается в соответствии с условиями Договора, законодательством Российской Федерации не позднее чем, за 2 (два) рабочих дня до даты приостановления работ.</w:t>
      </w:r>
    </w:p>
    <w:p>
      <w:pPr>
        <w:pStyle w:val="ListParagraph"/>
        <w:numPr>
          <w:ilvl w:val="2"/>
          <w:numId w:val="2"/>
        </w:numPr>
        <w:shd w:val="clear" w:color="auto" w:fill="FFFFFF"/>
        <w:tabs>
          <w:tab w:val="clear" w:pos="708"/>
          <w:tab w:val="left" w:pos="1418" w:leader="none"/>
        </w:tabs>
        <w:spacing w:before="0" w:after="0"/>
        <w:ind w:left="0" w:firstLine="567"/>
        <w:contextualSpacing w:val="false"/>
        <w:jc w:val="both"/>
        <w:rPr/>
      </w:pPr>
      <w:r>
        <w:rPr/>
        <w:t>В случае необходимости оказания дополнительных услуг Исполнитель обязан приостановить оказание услуг и связаться с Заказчиком, для получения его письменного согласия на оказание дополнительных услуг. В случае невозможности получить письменное согласие Заказчика на оказание дополнительных услуг, Исполнитель имеет право получить его посредством телефонного звонка Заказчику, либо факсимильной связи с последующим получением оригинального письменного согласия Заказчика на оказание таких услуг в срок не позднее 3 (трех) рабочих дней.</w:t>
      </w:r>
    </w:p>
    <w:p>
      <w:pPr>
        <w:pStyle w:val="ListParagraph"/>
        <w:shd w:val="clear" w:color="auto" w:fill="FFFFFF"/>
        <w:tabs>
          <w:tab w:val="clear" w:pos="708"/>
          <w:tab w:val="left" w:pos="1418" w:leader="none"/>
        </w:tabs>
        <w:spacing w:before="0" w:after="0"/>
        <w:ind w:left="567" w:hanging="0"/>
        <w:contextualSpacing w:val="false"/>
        <w:jc w:val="both"/>
        <w:rPr/>
      </w:pPr>
      <w:r>
        <w:rPr/>
        <w:t>В случае отказа Заказчика от оказания дополнительных услуг, Исполнитель делает об этом отметку в заявке, заказе-наряде.</w:t>
      </w:r>
    </w:p>
    <w:p>
      <w:pPr>
        <w:pStyle w:val="ListParagraph"/>
        <w:numPr>
          <w:ilvl w:val="2"/>
          <w:numId w:val="2"/>
        </w:numPr>
        <w:shd w:val="clear" w:color="auto" w:fill="FFFFFF"/>
        <w:tabs>
          <w:tab w:val="clear" w:pos="708"/>
          <w:tab w:val="left" w:pos="1418" w:leader="none"/>
        </w:tabs>
        <w:spacing w:before="0" w:after="0"/>
        <w:ind w:left="0" w:firstLine="567"/>
        <w:contextualSpacing w:val="false"/>
        <w:jc w:val="both"/>
        <w:rPr/>
      </w:pPr>
      <w:r>
        <w:rPr/>
        <w:t xml:space="preserve">Исполнять другие обязанности в соответствии с Договором и законодательством Российской Федерации.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b/>
        </w:rPr>
      </w:pPr>
      <w:r>
        <w:rPr>
          <w:b/>
        </w:rPr>
        <w:t>Исполнитель имеет право:</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Самостоятельно организовать оказание услуг.</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При необходимости по предварительному письменному согласованию с Заказчиком заключать для целей оказания Услуг договоры с третьими лицами в совокупности не более, чем на 10 % процентов от общего объема или стоимости оказания услуг по Договору, неся при этом ответственность за действия привлеченных третьих лиц, как за свои собственные. При согласовании привлечения третьего лица представлять Заказчику, в том числе, следующую информацию: наименование (имя), адрес (место жительства), ОГРН (паспортные данные), ИНН, КПП третьего лица; проект договора с третьим лицом; сведения об объемах работ; копии документов, подтверждающих наличие у третьего лица и его персонала допусков, лицензий и разрешений, необходимых для выполнения работ. В случае предоставления персональных данных физических лиц, предоставить также согласие на обработку и передачу персональных от физических лиц. </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Расторгнуть настоящий договор в одностороннем порядке, в случае систематического (более двух раз) нарушения Заказчиком сроков оплаты (согласно п.3.7.) за оказанные услуги Исполнителя.</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b/>
        </w:rPr>
      </w:pPr>
      <w:r>
        <w:rPr>
          <w:b/>
        </w:rPr>
        <w:t>Иные права и обязанности Сторон</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Заказчик имеет право в одностороннем порядке уменьшить объемы услуг по Договору, уплатив Исполнителю стоимость услуг, фактически оказанных Исполнителем до даты получения распоряжения об изменении объема услуг. В целях внесения соответствующих изменений в договор Стороны обязаны согласовать и подписать дополнительное соглашение к договору.</w:t>
      </w:r>
    </w:p>
    <w:p>
      <w:pPr>
        <w:pStyle w:val="ListParagraph"/>
        <w:shd w:val="clear" w:color="auto" w:fill="FFFFFF"/>
        <w:tabs>
          <w:tab w:val="clear" w:pos="708"/>
          <w:tab w:val="left" w:pos="1276" w:leader="none"/>
        </w:tabs>
        <w:spacing w:before="0" w:after="0"/>
        <w:ind w:left="567" w:hanging="0"/>
        <w:contextualSpacing w:val="false"/>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Цена Договора и порядок расчетов</w:t>
      </w:r>
    </w:p>
    <w:p>
      <w:pPr>
        <w:pStyle w:val="ListParagraph"/>
        <w:shd w:val="clear" w:color="auto" w:fill="FFFFFF"/>
        <w:tabs>
          <w:tab w:val="clear" w:pos="708"/>
          <w:tab w:val="left" w:pos="284" w:leader="none"/>
        </w:tabs>
        <w:spacing w:before="0" w:after="0"/>
        <w:ind w:left="0" w:hanging="0"/>
        <w:contextualSpacing w:val="false"/>
        <w:rPr>
          <w:b/>
        </w:rPr>
      </w:pPr>
      <w:r>
        <w:rPr>
          <w:b/>
        </w:rPr>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Предельная стоимость Договора (далее «Цена Договора») составляет ________________________________________________________________________________.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Стоимость одного нормо – часа указана в Приложении №3 к настоящему Договору, является твердой и не подлежит изменению до окончания срока действия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Общая стоимость оказанных услуг определяются на основании заказа-наряда, составленного с указанием перечня подлежащих выполнению услуг и их стоимости (в рублях), а также перечня </w:t>
      </w:r>
      <w:r>
        <w:rPr>
          <w:bCs/>
        </w:rPr>
        <w:t>запасных частей и материалов, установленных на транспортное средство во время ремонта, с указанием их технических номеров по каталогам.</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bCs/>
        </w:rPr>
        <w:t>Предварительное диагностирование объемов услуг, а также количество и номенклатура запасных частей, осуществляемое внешним осмотром без разборки и применения диагностического оборудования, производится без дополнительной оплаты.</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закупку материально-технических ресурсов, необходимых для оказания услуг по Договору;</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доставку и разгрузку оборудования и необходимых материалов к месту оказания услуг; </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заработную плату;</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подлежащие уплате налоги, сборы и пошлины (в т.ч. по таможенному оформлению оборудования и материалов, если применимо); </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Увеличение Цены Договора, указанной в п. 3.1.,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4" w:name="_Ref361858588"/>
      <w:r>
        <w:rPr/>
        <w:t>Оплата по Договору осуществляется Заказчиком в следующем порядке:</w:t>
      </w:r>
      <w:bookmarkEnd w:id="4"/>
      <w:r>
        <w:rPr/>
        <w:t xml:space="preserve"> </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bookmarkStart w:id="5" w:name="_Ref373240045"/>
      <w:r>
        <w:rPr/>
        <w:t>Оплата за оказанные Исполнителем услуги производится Заказчиком на условиях 100 % (сто процентной) оплаты по факту выполненного ремонта автомобиля, в течение 7 (семи) рабочих дней от даты  подписанного Акта оказанных услуг и на основании выставленного Исполнителем счета. При этом общая стоимость Услуг за периоды не должна превышать предельной стоимости Услуг указанной в  п. 3.7.2. Договора</w:t>
      </w:r>
      <w:bookmarkStart w:id="6" w:name="_Ref361834178"/>
      <w:bookmarkStart w:id="7" w:name="_Ref373240288"/>
      <w:bookmarkEnd w:id="5"/>
      <w:r>
        <w:rPr/>
        <w:t>.</w:t>
      </w:r>
      <w:bookmarkEnd w:id="7"/>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bookmarkStart w:id="8" w:name="_Ref372549497"/>
      <w:bookmarkEnd w:id="6"/>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8"/>
      <w:r>
        <w:rPr/>
        <w:t xml:space="preserve">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Расчеты осуществляются в валюте Российской Федерации. Оплата производится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Индексация Цены Договора не допускается.</w:t>
      </w:r>
    </w:p>
    <w:p>
      <w:pPr>
        <w:pStyle w:val="ListParagraph"/>
        <w:shd w:val="clear" w:color="auto" w:fill="FFFFFF"/>
        <w:tabs>
          <w:tab w:val="clear" w:pos="708"/>
          <w:tab w:val="left" w:pos="1134" w:leader="none"/>
        </w:tabs>
        <w:spacing w:before="0" w:after="0"/>
        <w:ind w:left="567" w:hanging="0"/>
        <w:contextualSpacing w:val="false"/>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Порядок выполнения и приемки Услуг</w:t>
      </w:r>
    </w:p>
    <w:p>
      <w:pPr>
        <w:pStyle w:val="ListParagraph"/>
        <w:shd w:val="clear" w:color="auto" w:fill="FFFFFF"/>
        <w:tabs>
          <w:tab w:val="clear" w:pos="708"/>
          <w:tab w:val="left" w:pos="284" w:leader="none"/>
        </w:tabs>
        <w:spacing w:before="0" w:after="0"/>
        <w:ind w:left="0" w:hanging="0"/>
        <w:contextualSpacing w:val="false"/>
        <w:rPr>
          <w:b/>
        </w:rPr>
      </w:pPr>
      <w:r>
        <w:rPr>
          <w:b/>
        </w:rPr>
      </w:r>
    </w:p>
    <w:p>
      <w:pPr>
        <w:pStyle w:val="ListParagraph"/>
        <w:numPr>
          <w:ilvl w:val="1"/>
          <w:numId w:val="2"/>
        </w:numPr>
        <w:tabs>
          <w:tab w:val="clear" w:pos="708"/>
          <w:tab w:val="left" w:pos="1134" w:leader="none"/>
        </w:tabs>
        <w:spacing w:before="0" w:after="0"/>
        <w:ind w:left="0" w:firstLine="567"/>
        <w:contextualSpacing w:val="false"/>
        <w:jc w:val="both"/>
        <w:rPr/>
      </w:pPr>
      <w:r>
        <w:rPr/>
        <w:t xml:space="preserve">По окончании каждого календарного месяца Исполнитель в течение 5 (пяти) рабочих дней предоставляет Заказчику подписанные со своей стороны в 2 (двух) экземплярах Акты об оказанных услугах. </w:t>
      </w:r>
    </w:p>
    <w:p>
      <w:pPr>
        <w:pStyle w:val="ListParagraph"/>
        <w:numPr>
          <w:ilvl w:val="1"/>
          <w:numId w:val="2"/>
        </w:numPr>
        <w:tabs>
          <w:tab w:val="clear" w:pos="708"/>
          <w:tab w:val="left" w:pos="1134" w:leader="none"/>
        </w:tabs>
        <w:spacing w:before="0" w:after="0"/>
        <w:ind w:left="0" w:firstLine="567"/>
        <w:contextualSpacing w:val="false"/>
        <w:jc w:val="both"/>
        <w:rPr/>
      </w:pPr>
      <w:r>
        <w:rPr/>
        <w:t>Основанием для начала ремонтных работ являются:</w:t>
      </w:r>
    </w:p>
    <w:p>
      <w:pPr>
        <w:pStyle w:val="ListParagraph"/>
        <w:tabs>
          <w:tab w:val="clear" w:pos="708"/>
          <w:tab w:val="left" w:pos="1134" w:leader="none"/>
        </w:tabs>
        <w:spacing w:before="0" w:after="0"/>
        <w:ind w:left="567" w:hanging="0"/>
        <w:contextualSpacing w:val="false"/>
        <w:jc w:val="both"/>
        <w:rPr/>
      </w:pPr>
      <w:r>
        <w:rPr/>
        <w:t>- Заявка;</w:t>
      </w:r>
    </w:p>
    <w:p>
      <w:pPr>
        <w:pStyle w:val="ListParagraph"/>
        <w:tabs>
          <w:tab w:val="clear" w:pos="708"/>
          <w:tab w:val="left" w:pos="1134" w:leader="none"/>
        </w:tabs>
        <w:spacing w:before="0" w:after="0"/>
        <w:ind w:left="567" w:hanging="0"/>
        <w:contextualSpacing w:val="false"/>
        <w:jc w:val="both"/>
        <w:rPr/>
      </w:pPr>
      <w:r>
        <w:rPr/>
        <w:t>- Предварительный заказ-наряд с предварительной сметой на производство работ;</w:t>
      </w:r>
    </w:p>
    <w:p>
      <w:pPr>
        <w:pStyle w:val="ListParagraph"/>
        <w:tabs>
          <w:tab w:val="clear" w:pos="708"/>
          <w:tab w:val="left" w:pos="1134" w:leader="none"/>
        </w:tabs>
        <w:spacing w:before="0" w:after="0"/>
        <w:ind w:left="567" w:hanging="0"/>
        <w:contextualSpacing w:val="false"/>
        <w:jc w:val="both"/>
        <w:rPr/>
      </w:pPr>
      <w:r>
        <w:rPr/>
        <w:t>- Доверенность на представителя Заказчика.</w:t>
      </w:r>
    </w:p>
    <w:p>
      <w:pPr>
        <w:pStyle w:val="ListParagraph"/>
        <w:tabs>
          <w:tab w:val="clear" w:pos="708"/>
          <w:tab w:val="left" w:pos="1134" w:leader="none"/>
        </w:tabs>
        <w:spacing w:before="0" w:after="0"/>
        <w:ind w:left="0" w:firstLine="567"/>
        <w:contextualSpacing w:val="false"/>
        <w:jc w:val="both"/>
        <w:rPr/>
      </w:pPr>
      <w:r>
        <w:rPr/>
        <w:t>Все вышеуказанные документы должны быть подписаны уполномоченными представителями Сторон.</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Приемку автотранспортного средства из ремонта производит Заказчик, либо его Доверенное лицо. Заказчик обязан проверить с участием Исполнителя комплектность, техническое состояние автомобиля, а также объем и качество оказанных услуг по ремонту, исправность узлов и агрегатов, подвергшихся ремонту, и принять оказанные услуги путем подписания заказа- наряда и Акта об оказанных услугах. Либо отказаться от приемки и направить Исполнителю письменный мотивированный отказ от приемки, в котором отражает недостатки оказанных услуг и срок на их устранение.</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9" w:name="_Ref373239439"/>
      <w:bookmarkStart w:id="10" w:name="_Ref372745126_Копия_1"/>
      <w:bookmarkEnd w:id="10"/>
      <w:r>
        <w:rPr/>
        <w:t>Устранение указанных в п. 4.3. недостатков осуществляется Исполнителем своими силами и за свой счет в срок.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9"/>
      <w:r>
        <w:rPr/>
        <w:t xml:space="preserve">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Повторная приемка осуществляется в порядке, предусмотренном п.п.4.2.-4.5.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11" w:name="_Ref361337525"/>
      <w:r>
        <w:rPr/>
        <w:t>В случае невыполнения или ненадлежащего выполнения Исполнителем мероприятий по устранению недостатков, указанных в Ведомости замечаний, в том числе в случае пропуска срока, установленного Заказчиком на их устранение, Заказчик имеет право устранить их своими силами или силами третьих лиц и потребовать от Исполнителя возмещения понесенных расходов. Исполнитель обязан возместить расходы Заказчика, указанные в настоящем пункте, в течение 10 (десяти) рабочих дней с даты получения соответствующего письменного требования Заказчика.</w:t>
      </w:r>
      <w:bookmarkEnd w:id="11"/>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Если между Сторонами возникает спор касательно качества оказанных услуг, то любая из Сторон вправе потребовать назначить экспертизу. Проведение экспертизы поручается независимой экспертной организации, по согласованию Сторон.</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Расходы на проведение экспертизы несет Сторона, потребовавшая ее проведения, а если экспертиза назначена по соглашению Сторон, то расходы возлагаются на Стороны в равных частях.</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Сторона, мнение которой о качестве оказанных услуг, было опровергнуто результатами экспертизы, обязана возместить по требованию другой Стороны, понесенные ей расходы на проведение экспертизы.</w:t>
      </w:r>
    </w:p>
    <w:p>
      <w:pPr>
        <w:pStyle w:val="ListParagraph"/>
        <w:shd w:val="clear" w:color="auto" w:fill="FFFFFF"/>
        <w:tabs>
          <w:tab w:val="clear" w:pos="708"/>
          <w:tab w:val="left" w:pos="1134" w:leader="none"/>
        </w:tabs>
        <w:spacing w:before="0" w:after="0"/>
        <w:ind w:left="567" w:hanging="0"/>
        <w:contextualSpacing w:val="false"/>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Ответственность сторон</w:t>
      </w:r>
    </w:p>
    <w:p>
      <w:pPr>
        <w:pStyle w:val="ListParagraph"/>
        <w:shd w:val="clear" w:color="auto" w:fill="FFFFFF"/>
        <w:tabs>
          <w:tab w:val="clear" w:pos="708"/>
          <w:tab w:val="left" w:pos="284" w:leader="none"/>
        </w:tabs>
        <w:spacing w:before="0" w:after="0"/>
        <w:ind w:left="0" w:hanging="0"/>
        <w:contextualSpacing w:val="false"/>
        <w:rPr>
          <w:b/>
        </w:rPr>
      </w:pPr>
      <w:r>
        <w:rPr>
          <w:b/>
        </w:rPr>
      </w:r>
    </w:p>
    <w:p>
      <w:pPr>
        <w:pStyle w:val="ListParagraph"/>
        <w:numPr>
          <w:ilvl w:val="1"/>
          <w:numId w:val="2"/>
        </w:numPr>
        <w:ind w:left="0" w:firstLine="567"/>
        <w:jc w:val="both"/>
        <w:rPr/>
      </w:pPr>
      <w:r>
        <w:rPr/>
        <w:t xml:space="preserve">За невыполнение или ненадлежащее выполнение своих обязательств по настоящему договору Стороны несут ответственность, предусмотренную действующим законодательством РФ. </w:t>
      </w:r>
    </w:p>
    <w:p>
      <w:pPr>
        <w:pStyle w:val="ListParagraph"/>
        <w:numPr>
          <w:ilvl w:val="1"/>
          <w:numId w:val="2"/>
        </w:numPr>
        <w:ind w:left="0" w:firstLine="567"/>
        <w:jc w:val="both"/>
        <w:rPr/>
      </w:pPr>
      <w:r>
        <w:rPr>
          <w:b/>
        </w:rPr>
        <w:t xml:space="preserve"> </w:t>
      </w:r>
      <w:r>
        <w:rPr/>
        <w:t>В случае просрочки Исполнителем обязательств по сроку оказания Услуг, а также в случае несвоевременного устранения выявленных недостатков Услуг, Заказчик вправе потребовать уплаты неустойки в размере 0,1% от Цены устраняемых недостатков или от цены не выполненных услуг за каждый день просрочки.</w:t>
      </w:r>
    </w:p>
    <w:p>
      <w:pPr>
        <w:pStyle w:val="ListParagraph"/>
        <w:numPr>
          <w:ilvl w:val="1"/>
          <w:numId w:val="2"/>
        </w:numPr>
        <w:ind w:left="0" w:firstLine="567"/>
        <w:jc w:val="both"/>
        <w:rPr/>
      </w:pPr>
      <w:r>
        <w:rPr>
          <w:rFonts w:cs="Courier New"/>
          <w:color w:val="000000"/>
        </w:rPr>
        <w:t>В случае нарушения Заказчиком сроков оплаты, установленных разделом 3 Договора, Исполнитель имеет право требовать от Заказчика уплаты исключительной неустойки в размере 0,1%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
        </w:numPr>
        <w:shd w:val="clear" w:color="auto" w:fill="FFFFFF"/>
        <w:tabs>
          <w:tab w:val="clear" w:pos="708"/>
          <w:tab w:val="left" w:pos="1134" w:leader="none"/>
        </w:tabs>
        <w:spacing w:before="0" w:after="0"/>
        <w:ind w:left="0" w:firstLine="284"/>
        <w:contextualSpacing w:val="false"/>
        <w:jc w:val="both"/>
        <w:rPr/>
      </w:pPr>
      <w:bookmarkStart w:id="12" w:name="_Ref361334690"/>
      <w:r>
        <w:rPr/>
        <w:t xml:space="preserve">В случае нарушения Исполнителем обязательств по оказанию услуг на срок свыше 15 (пятнадцати) календарных дней, Заказчик имеет право расторгнуть Договор в одностороннем внесудебном порядке, а также потребовать возмещения убытков. </w:t>
      </w:r>
      <w:bookmarkEnd w:id="12"/>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Исполнитель отвечает за убытки, причиненные Заказчику, в том числе в случае, когда ненадлежащее качество оказываемых услуг становится очевидным после их приемки Заказчиком, при условии, что соответствующие недостатки не могли быть обнаружены Заказчиком при обычном способе приемки. Во избежание сомнений, Заказчик вправе, но не обязан контролировать качество материально-технических ресурсов, используемых Исполнителем для целей исполнения Договора, и/или выполнение Исполнителем всех требований, изложенных в Техническом задании, иных требований изготовителей (производителей) транспортных средств, предъявляемых к порядку их технического обслуживания и ремонта. </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pPr>
      <w:r>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pPr>
      <w:r>
        <w:rPr/>
        <w:t>Уплата неустойки (штрафа, пени) не освобождает Стороны от исполнения обязательств, обязанности по устранению нарушений или их последствий.</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pPr>
      <w:r>
        <w:rPr/>
        <w:t>Исполнитель освобождается от ответственности за нарушение сроков оказания услуг, в случаях когда нарушение сроков исполнения произошло по вине Заказчика, в связи с ненадлежащими действиями или бездействием Заказчика, в т.ч. не предоставление или несвоевременное предоставление информации.</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pPr>
      <w:r>
        <w:rPr/>
        <w:t>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w:t>
      </w:r>
    </w:p>
    <w:p>
      <w:pPr>
        <w:pStyle w:val="ListParagraph"/>
        <w:numPr>
          <w:ilvl w:val="1"/>
          <w:numId w:val="2"/>
        </w:numPr>
        <w:shd w:val="clear" w:color="auto" w:fill="FFFFFF"/>
        <w:tabs>
          <w:tab w:val="clear" w:pos="708"/>
          <w:tab w:val="left" w:pos="1134" w:leader="none"/>
        </w:tabs>
        <w:ind w:left="0" w:firstLine="360"/>
        <w:jc w:val="both"/>
        <w:rPr>
          <w:bCs/>
          <w:color w:val="000000"/>
        </w:rPr>
      </w:pPr>
      <w:r>
        <w:rPr>
          <w:color w:val="000000"/>
        </w:rPr>
        <w:t>Стороны обязуются обеспечить, чтобы при исполнении обязательств, возникающих по договору</w:t>
      </w:r>
      <w:r>
        <w:rPr>
          <w:rStyle w:val="FootnoteReference"/>
          <w:color w:val="000000"/>
        </w:rPr>
        <w:footnoteReference w:id="2"/>
      </w:r>
      <w:r>
        <w:rPr>
          <w:color w:val="000000"/>
        </w:rPr>
        <w:t xml:space="preserve">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8"/>
          <w:tab w:val="left" w:pos="1134" w:leader="none"/>
        </w:tabs>
        <w:ind w:left="0" w:firstLine="360"/>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8"/>
          <w:tab w:val="left" w:pos="1134" w:leader="none"/>
        </w:tabs>
        <w:ind w:left="0" w:firstLine="360"/>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8"/>
          <w:tab w:val="left" w:pos="1134" w:leader="none"/>
        </w:tabs>
        <w:ind w:left="0" w:firstLine="360"/>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8"/>
          <w:tab w:val="left" w:pos="1134" w:leader="none"/>
        </w:tabs>
        <w:ind w:left="0" w:firstLine="360"/>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shd w:val="clear" w:color="auto" w:fill="FFFFFF"/>
        <w:tabs>
          <w:tab w:val="clear" w:pos="708"/>
          <w:tab w:val="left" w:pos="1134" w:leader="none"/>
        </w:tabs>
        <w:ind w:left="0" w:firstLine="360"/>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
        </w:numPr>
        <w:shd w:val="clear" w:color="auto" w:fill="FFFFFF"/>
        <w:tabs>
          <w:tab w:val="clear" w:pos="708"/>
          <w:tab w:val="left" w:pos="567" w:leader="none"/>
          <w:tab w:val="left" w:pos="1134" w:leader="none"/>
        </w:tabs>
        <w:ind w:left="792" w:hanging="432"/>
        <w:jc w:val="both"/>
        <w:rPr>
          <w:color w:val="000000"/>
        </w:rPr>
      </w:pPr>
      <w:r>
        <w:rPr>
          <w:color w:val="000000"/>
        </w:rPr>
        <w:t xml:space="preserve">Каналы связи Линия доверия Группы РусГидро: </w:t>
      </w:r>
    </w:p>
    <w:p>
      <w:pPr>
        <w:pStyle w:val="ListParagraph"/>
        <w:widowControl w:val="false"/>
        <w:numPr>
          <w:ilvl w:val="2"/>
          <w:numId w:val="2"/>
        </w:numPr>
        <w:shd w:val="clear" w:color="auto" w:fill="FFFFFF"/>
        <w:tabs>
          <w:tab w:val="clear" w:pos="708"/>
          <w:tab w:val="left" w:pos="567" w:leader="none"/>
          <w:tab w:val="left" w:pos="1134" w:leader="none"/>
        </w:tabs>
        <w:jc w:val="both"/>
        <w:rPr/>
      </w:pPr>
      <w:r>
        <w:rPr/>
        <w:t>Электронная почта: ld@rushydro.ru.</w:t>
      </w:r>
    </w:p>
    <w:p>
      <w:pPr>
        <w:pStyle w:val="ListParagraph"/>
        <w:widowControl w:val="false"/>
        <w:numPr>
          <w:ilvl w:val="2"/>
          <w:numId w:val="2"/>
        </w:numPr>
        <w:shd w:val="clear" w:color="auto" w:fill="FFFFFF"/>
        <w:tabs>
          <w:tab w:val="clear" w:pos="708"/>
          <w:tab w:val="left" w:pos="567" w:leader="none"/>
          <w:tab w:val="left" w:pos="1134" w:leader="none"/>
        </w:tabs>
        <w:jc w:val="both"/>
        <w:rPr/>
      </w:pPr>
      <w: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2"/>
        </w:numPr>
        <w:spacing w:lineRule="auto" w:line="259" w:before="0" w:after="160"/>
        <w:contextualSpacing/>
        <w:jc w:val="both"/>
        <w:rPr/>
      </w:pPr>
      <w: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pacing w:lineRule="auto" w:line="259" w:before="0" w:after="160"/>
        <w:ind w:left="1224" w:hanging="0"/>
        <w:contextualSpacing/>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Гарантии качества результата Работ</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b/>
        </w:rPr>
      </w:pPr>
      <w:r>
        <w:rPr>
          <w:bCs/>
        </w:rPr>
        <w:t>Гарантия качества на результат оказанных услуг в отношении транспортного средства Заказчика действует с даты подписания Сторонами Актов о приемке оказанных услуг в отношении каждого транспортного средства, в течение срока, определенного в Техническом задании (далее - «Гарантийный срок»), а также в п. 2.3.10 настоящего Договора.</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b/>
        </w:rPr>
      </w:pPr>
      <w:r>
        <w:rPr>
          <w:bCs/>
        </w:rPr>
        <w:t>В случае обнаружения в течение Гарантийного срока недостатков результата оказания услуг, Заказчик направляет Исполнителю соответствующее уведомление, в котором указывает перечень выявленных недостатков и срок на их устранение.</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b/>
        </w:rPr>
      </w:pPr>
      <w:r>
        <w:rPr>
          <w:bCs/>
        </w:rPr>
        <w:t xml:space="preserve">Устранение недостатков, обнаруженных Заказчиком в течение Гарантийного срока, осуществляется Исполнителем своими силами, за свой счет и в срок, указанный в </w:t>
      </w:r>
      <w:bookmarkStart w:id="13" w:name="OLE_LINK6"/>
      <w:bookmarkStart w:id="14" w:name="OLE_LINK5"/>
      <w:r>
        <w:rPr>
          <w:bCs/>
        </w:rPr>
        <w:t>уведомлении, направленном Заказчиком, в соответствии с п. 6.2. Договора</w:t>
      </w:r>
      <w:bookmarkEnd w:id="13"/>
      <w:bookmarkEnd w:id="14"/>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b/>
        </w:rPr>
      </w:pPr>
      <w:r>
        <w:rPr>
          <w:bCs/>
        </w:rPr>
        <w:t>Гарантийный срок на результат оказанных услуг (его часть) увеличивается на тот период времени, в течение которого Заказчик не мог эксплуатировать результат оказанных услуг (его часть) вследствие указанных в настоящем разделе недостатков. Гарантийный срок на замененную или отремонтированную составную часть результата оказанных услуг устанавливается продолжительностью, указанной в п. 6.1. Договора и начинает исчисляться заново с даты приемки Заказчиком работ по устранению недостатков.</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b/>
        </w:rPr>
      </w:pPr>
      <w:r>
        <w:rPr>
          <w:bCs/>
        </w:rPr>
        <w:t>Устранение недостатков, в том числе в рамках срока, установленного в соответствии с п.6.3. Договора, не освобождает Исполнителя от ответственности за убытки, причиненные Заказчику вследствие наличия таких недостатков.</w:t>
      </w:r>
    </w:p>
    <w:p>
      <w:pPr>
        <w:pStyle w:val="ListParagraph"/>
        <w:shd w:val="clear" w:color="auto" w:fill="FFFFFF"/>
        <w:tabs>
          <w:tab w:val="clear" w:pos="708"/>
          <w:tab w:val="left" w:pos="1276" w:leader="none"/>
        </w:tabs>
        <w:spacing w:before="0" w:after="0"/>
        <w:ind w:left="0" w:firstLine="567"/>
        <w:contextualSpacing w:val="false"/>
        <w:jc w:val="both"/>
        <w:rPr>
          <w:b/>
        </w:rPr>
      </w:pPr>
      <w:r>
        <w:rPr>
          <w:b/>
        </w:rPr>
      </w:r>
    </w:p>
    <w:p>
      <w:pPr>
        <w:pStyle w:val="ListParagraph"/>
        <w:shd w:val="clear" w:color="auto" w:fill="FFFFFF"/>
        <w:tabs>
          <w:tab w:val="clear" w:pos="708"/>
          <w:tab w:val="left" w:pos="1276" w:leader="none"/>
        </w:tabs>
        <w:spacing w:before="0" w:after="0"/>
        <w:ind w:left="0" w:firstLine="567"/>
        <w:contextualSpacing w:val="false"/>
        <w:jc w:val="both"/>
        <w:rPr>
          <w:b/>
        </w:rPr>
      </w:pPr>
      <w:r>
        <w:rPr>
          <w:b/>
        </w:rPr>
      </w:r>
    </w:p>
    <w:p>
      <w:pPr>
        <w:pStyle w:val="ListParagraph"/>
        <w:shd w:val="clear" w:color="auto" w:fill="FFFFFF"/>
        <w:tabs>
          <w:tab w:val="clear" w:pos="708"/>
          <w:tab w:val="left" w:pos="1276" w:leader="none"/>
        </w:tabs>
        <w:spacing w:before="0" w:after="0"/>
        <w:ind w:left="0" w:firstLine="567"/>
        <w:contextualSpacing w:val="false"/>
        <w:jc w:val="both"/>
        <w:rPr>
          <w:b/>
        </w:rPr>
      </w:pPr>
      <w:r>
        <w:rPr>
          <w:b/>
        </w:rPr>
      </w:r>
    </w:p>
    <w:p>
      <w:pPr>
        <w:pStyle w:val="ListParagraph"/>
        <w:numPr>
          <w:ilvl w:val="0"/>
          <w:numId w:val="2"/>
        </w:numPr>
        <w:shd w:val="clear" w:color="auto" w:fill="FFFFFF"/>
        <w:tabs>
          <w:tab w:val="clear" w:pos="708"/>
          <w:tab w:val="left" w:pos="284" w:leader="none"/>
        </w:tabs>
        <w:spacing w:before="0" w:after="0"/>
        <w:contextualSpacing w:val="false"/>
        <w:jc w:val="center"/>
        <w:rPr>
          <w:b/>
        </w:rPr>
      </w:pPr>
      <w:r>
        <w:rPr>
          <w:b/>
        </w:rPr>
        <w:t>Исключительные права и патенты</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Исполнитель гарантирует, что выполненные работы, предусмотренные Договором, а также передача Заказчику их результата, не нарушают и не будут нарушать исключительных прав третьих лиц, в том числе авторских, патентных и др.</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Исполнитель вправе использовать при оказании услуг объекты интеллектуальной собственности, принадлежащие третьим лицам, только если он получил на это соответствующие разрешения (лицензии) этих лиц.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Если Заказчику будут предъявлены требования, связанные с тем, что при оказании услуг по Договору Исполнителем нарушены исключительные права третьих лиц, Исполнитель полностью возместит Заказчику все убытки, связанные с такими требованиями, включая расходы на юридических консультантов.</w:t>
      </w:r>
    </w:p>
    <w:p>
      <w:pPr>
        <w:pStyle w:val="ListParagraph"/>
        <w:numPr>
          <w:ilvl w:val="0"/>
          <w:numId w:val="0"/>
        </w:numPr>
        <w:shd w:val="clear" w:color="auto" w:fill="FFFFFF"/>
        <w:tabs>
          <w:tab w:val="clear" w:pos="708"/>
          <w:tab w:val="left" w:pos="1134" w:leader="none"/>
        </w:tabs>
        <w:spacing w:before="0" w:after="0"/>
        <w:ind w:left="0" w:hanging="0"/>
        <w:contextualSpacing w:val="false"/>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Инсайдерская оговорка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Исполнитель также обязуется:</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не допускать случаев неправомерного использования инсайдерской информации Заказчика и/или разглашения инсайдерской информации Заказчика, а также принимать все зависящие от него меры для защиты инсайдерской информации Заказчика от неправомерного использования;</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ознакомиться с действующей редакцией Положения об инсайдерской информации Заказчика,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numPr>
          <w:ilvl w:val="0"/>
          <w:numId w:val="0"/>
        </w:numPr>
        <w:shd w:val="clear" w:color="auto" w:fill="FFFFFF"/>
        <w:tabs>
          <w:tab w:val="clear" w:pos="708"/>
          <w:tab w:val="left" w:pos="1276" w:leader="none"/>
        </w:tabs>
        <w:spacing w:before="0" w:after="0"/>
        <w:ind w:left="0" w:hanging="0"/>
        <w:contextualSpacing w:val="false"/>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Разрешение споров</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15" w:name="_Ref361337878"/>
      <w:r>
        <w:rPr/>
        <w:t>Все споры, разногласия и требования, возникающие между Сторонами по Договору или в связи с ним, связанные, в том числе, с его заключением, исполнением, изменением, дополнением, расторжением и действительностью, разрешаются путем переговоров.</w:t>
      </w:r>
      <w:bookmarkEnd w:id="15"/>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bCs/>
        </w:rPr>
      </w:pPr>
      <w:r>
        <w:rPr/>
        <w:t xml:space="preserve">Споры, указанные в п. 9.1 Договора, которые не были урегулированы Сторонами путем переговоров с соблюдением претензионного порядка в течение 30 (тридцати) календарных дней с даты их возникновения, подлежат разрешению в </w:t>
      </w:r>
      <w:r>
        <w:rPr>
          <w:bCs/>
        </w:rPr>
        <w:t>Арбитражном суде</w:t>
      </w:r>
      <w:r>
        <w:rPr>
          <w:bCs/>
          <w:color w:val="FF0000"/>
        </w:rPr>
        <w:t xml:space="preserve"> </w:t>
      </w:r>
      <w:r>
        <w:rPr>
          <w:bCs/>
        </w:rPr>
        <w:t>по месту нахождения ответчика.</w:t>
      </w:r>
    </w:p>
    <w:p>
      <w:pPr>
        <w:pStyle w:val="ListParagraph"/>
        <w:numPr>
          <w:ilvl w:val="0"/>
          <w:numId w:val="0"/>
        </w:numPr>
        <w:shd w:val="clear" w:color="auto" w:fill="FFFFFF"/>
        <w:tabs>
          <w:tab w:val="clear" w:pos="708"/>
          <w:tab w:val="left" w:pos="1134" w:leader="none"/>
        </w:tabs>
        <w:spacing w:before="0" w:after="0"/>
        <w:ind w:left="0" w:hanging="0"/>
        <w:contextualSpacing w:val="false"/>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Форс-мажор</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1134" w:leader="none"/>
        </w:tabs>
        <w:spacing w:before="0" w:after="0"/>
        <w:ind w:left="567" w:hanging="0"/>
        <w:contextualSpacing w:val="false"/>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Заключительные положения</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Договор вступает в силу с даты его подписания Сторонами и действует с 01</w:t>
      </w:r>
      <w:r>
        <w:rPr>
          <w:rFonts w:cs="Times New Roman"/>
          <w:color w:val="000000"/>
          <w:sz w:val="24"/>
          <w:szCs w:val="24"/>
        </w:rPr>
        <w:t>.06.2026г.  в течении 6 (шести) месяца</w:t>
      </w:r>
      <w:r>
        <w:rPr/>
        <w:t xml:space="preserve">, а в части расчетов до полного исполнения ими принятых на себя обязательств.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Все приложения, изменения и дополнения к Договору действительны при условии, что они совершены в письменной форме в виде единого документа и подписаны обеими Сторонами, за исключением изменений, предусмотренных п. 11.6. Договора.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Приложения, изменения и дополнения, оформленные надлежащим образом, являются неотъемлемой частью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В случае наличия любых расхождений между основным текстом договора и текстами приложений к нему, приоритет имеет текст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которая не влечет возникновения, изменения либо прекращения гражданских прав и обязанностей.</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16" w:name="_Ref361338004"/>
      <w:r>
        <w:rPr/>
        <w:t>Стороны обязуются уведомлять друг друга об изменении реквизитов, указанных в разделе 13 Договора, не позднее 3 (трех) рабочих дней после такого изменения в порядке, установленном п. 11.7. Договора.</w:t>
      </w:r>
      <w:bookmarkEnd w:id="16"/>
      <w:r>
        <w:rPr/>
        <w:t xml:space="preserve">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17" w:name="_Ref361338019"/>
      <w:r>
        <w:rPr/>
        <w:t>Документ будет считаться полученным:</w:t>
      </w:r>
      <w:bookmarkEnd w:id="17"/>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bookmarkStart w:id="18" w:name="_Ref361338032"/>
      <w:r>
        <w:rPr/>
        <w:t>в случае вручения лично или отправления по почте заказным письмом, курьерской связью - в дату и время фактического вручения;</w:t>
      </w:r>
      <w:bookmarkEnd w:id="18"/>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11.7.1. Договора.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Уступка, передача в залог прав (требований), принадлежащих Исполнителю  на основании Договора, допускается только с предварительного письменного согласия Заказчика. В случае нарушения Исполнителем соответствующего условия, Заказчик вправе потребовать уплаты Исполнителем штрафа в размере 0,2 % от уступки (переданных в залог прав).</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Во всем, что не урегулировано Договором, Стороны руководствуются законодательством Российской Федерации.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Договор составлен в двух оригинальных экземплярах, по одному для каждой из Сторон.</w:t>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bCs/>
        </w:rPr>
      </w:pPr>
      <w:r>
        <w:rPr>
          <w:b/>
          <w:bCs/>
        </w:rPr>
        <w:t>Список приложений</w:t>
      </w:r>
    </w:p>
    <w:p>
      <w:pPr>
        <w:pStyle w:val="ListParagraph"/>
        <w:shd w:val="clear" w:color="auto" w:fill="FFFFFF"/>
        <w:tabs>
          <w:tab w:val="clear" w:pos="708"/>
          <w:tab w:val="left" w:pos="284" w:leader="none"/>
        </w:tabs>
        <w:spacing w:before="0" w:after="0"/>
        <w:ind w:left="0" w:hanging="0"/>
        <w:contextualSpacing w:val="false"/>
        <w:rPr>
          <w:b/>
          <w:bCs/>
        </w:rPr>
      </w:pPr>
      <w:r>
        <w:rPr>
          <w:b/>
          <w:bCs/>
        </w:rPr>
      </w:r>
    </w:p>
    <w:p>
      <w:pPr>
        <w:pStyle w:val="Normal"/>
        <w:tabs>
          <w:tab w:val="clear" w:pos="708"/>
          <w:tab w:val="left" w:pos="2127" w:leader="none"/>
          <w:tab w:val="left" w:pos="2410" w:leader="none"/>
        </w:tabs>
        <w:jc w:val="both"/>
        <w:rPr>
          <w:lang w:val="ru-RU"/>
        </w:rPr>
      </w:pPr>
      <w:r>
        <w:rPr>
          <w:lang w:val="ru-RU"/>
        </w:rPr>
        <w:t>Приложение № 1. – Техническое задание.</w:t>
      </w:r>
    </w:p>
    <w:p>
      <w:pPr>
        <w:pStyle w:val="Normal"/>
        <w:tabs>
          <w:tab w:val="clear" w:pos="708"/>
          <w:tab w:val="left" w:pos="2127" w:leader="none"/>
          <w:tab w:val="left" w:pos="2410" w:leader="none"/>
        </w:tabs>
        <w:jc w:val="both"/>
        <w:rPr>
          <w:lang w:val="ru-RU"/>
        </w:rPr>
      </w:pPr>
      <w:r>
        <w:rPr>
          <w:lang w:val="ru-RU"/>
        </w:rPr>
        <w:t>Приложение № 2 – Перечень легковых транспортных средств, подлежащих ремонту.</w:t>
      </w:r>
    </w:p>
    <w:p>
      <w:pPr>
        <w:pStyle w:val="Normal"/>
        <w:tabs>
          <w:tab w:val="clear" w:pos="708"/>
          <w:tab w:val="left" w:pos="2127" w:leader="none"/>
          <w:tab w:val="left" w:pos="2410" w:leader="none"/>
        </w:tabs>
        <w:jc w:val="both"/>
        <w:rPr>
          <w:lang w:val="ru-RU" w:eastAsia="en-US"/>
        </w:rPr>
      </w:pPr>
      <w:r>
        <w:rPr>
          <w:lang w:val="ru-RU"/>
        </w:rPr>
        <w:t xml:space="preserve">Приложение № 3. – </w:t>
      </w:r>
      <w:r>
        <w:rPr>
          <w:lang w:val="ru-RU" w:eastAsia="en-US"/>
        </w:rPr>
        <w:t>Стоимость работ по ремонту легковых транспортных средств без учета материалов.</w:t>
      </w:r>
    </w:p>
    <w:p>
      <w:pPr>
        <w:pStyle w:val="Normal"/>
        <w:tabs>
          <w:tab w:val="clear" w:pos="708"/>
          <w:tab w:val="left" w:pos="2127" w:leader="none"/>
          <w:tab w:val="left" w:pos="2410" w:leader="none"/>
        </w:tabs>
        <w:jc w:val="both"/>
        <w:rPr>
          <w:lang w:val="ru-RU" w:eastAsia="en-US"/>
        </w:rPr>
      </w:pPr>
      <w:r>
        <w:rPr>
          <w:lang w:val="ru-RU" w:eastAsia="en-US"/>
        </w:rPr>
      </w:r>
    </w:p>
    <w:p>
      <w:pPr>
        <w:pStyle w:val="ListParagraph"/>
        <w:numPr>
          <w:ilvl w:val="0"/>
          <w:numId w:val="2"/>
        </w:numPr>
        <w:shd w:val="clear" w:color="auto" w:fill="FFFFFF"/>
        <w:tabs>
          <w:tab w:val="clear" w:pos="708"/>
          <w:tab w:val="left" w:pos="259" w:leader="none"/>
        </w:tabs>
        <w:spacing w:before="0" w:after="0"/>
        <w:ind w:left="0" w:firstLine="567"/>
        <w:contextualSpacing w:val="false"/>
        <w:jc w:val="center"/>
        <w:rPr>
          <w:b/>
          <w:bCs/>
        </w:rPr>
      </w:pPr>
      <w:r>
        <w:rPr>
          <w:b/>
          <w:bCs/>
        </w:rPr>
        <w:t>Адреса, реквизиты и подписи Сторон</w:t>
      </w:r>
    </w:p>
    <w:p>
      <w:pPr>
        <w:pStyle w:val="Normal"/>
        <w:shd w:val="clear" w:color="auto" w:fill="FFFFFF"/>
        <w:tabs>
          <w:tab w:val="clear" w:pos="708"/>
          <w:tab w:val="left" w:pos="259" w:leader="none"/>
        </w:tabs>
        <w:jc w:val="center"/>
        <w:rPr>
          <w:b/>
          <w:bCs/>
          <w:lang w:val="ru-RU"/>
        </w:rPr>
      </w:pPr>
      <w:r>
        <w:rPr>
          <w:b/>
          <w:bCs/>
          <w:lang w:val="ru-RU"/>
        </w:rPr>
      </w:r>
    </w:p>
    <w:p>
      <w:pPr>
        <w:pStyle w:val="Normal"/>
        <w:shd w:val="clear" w:color="auto" w:fill="FFFFFF"/>
        <w:tabs>
          <w:tab w:val="clear" w:pos="708"/>
          <w:tab w:val="left" w:pos="259" w:leader="none"/>
        </w:tabs>
        <w:jc w:val="center"/>
        <w:rPr>
          <w:b/>
          <w:bCs/>
          <w:lang w:val="ru-RU"/>
        </w:rPr>
      </w:pPr>
      <w:r>
        <w:rPr>
          <w:b/>
          <w:bCs/>
          <w:lang w:val="ru-RU"/>
        </w:rPr>
      </w:r>
    </w:p>
    <w:tbl>
      <w:tblPr>
        <w:tblW w:w="1985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070"/>
        <w:gridCol w:w="5069"/>
        <w:gridCol w:w="5071"/>
        <w:gridCol w:w="4643"/>
      </w:tblGrid>
      <w:tr>
        <w:trPr/>
        <w:tc>
          <w:tcPr>
            <w:tcW w:w="5070" w:type="dxa"/>
            <w:tcBorders/>
          </w:tcPr>
          <w:p>
            <w:pPr>
              <w:pStyle w:val="Normal"/>
              <w:widowControl w:val="false"/>
              <w:rPr>
                <w:b/>
                <w:u w:val="single"/>
              </w:rPr>
            </w:pPr>
            <w:r>
              <w:rPr>
                <w:b/>
                <w:u w:val="single"/>
                <w:lang w:val="ru-RU"/>
              </w:rPr>
              <w:t>Заказчик</w:t>
            </w:r>
            <w:r>
              <w:rPr>
                <w:b/>
                <w:u w:val="single"/>
              </w:rPr>
              <w:t>:</w:t>
            </w:r>
          </w:p>
        </w:tc>
        <w:tc>
          <w:tcPr>
            <w:tcW w:w="5069" w:type="dxa"/>
            <w:tcBorders/>
          </w:tcPr>
          <w:p>
            <w:pPr>
              <w:pStyle w:val="Normal"/>
              <w:widowControl w:val="false"/>
              <w:rPr>
                <w:b/>
                <w:u w:val="single"/>
              </w:rPr>
            </w:pPr>
            <w:r>
              <w:rPr>
                <w:b/>
                <w:u w:val="single"/>
                <w:lang w:val="ru-RU"/>
              </w:rPr>
              <w:t>Исполнитель</w:t>
            </w:r>
            <w:r>
              <w:rPr>
                <w:b/>
                <w:u w:val="single"/>
              </w:rPr>
              <w:t>:</w:t>
            </w:r>
          </w:p>
        </w:tc>
        <w:tc>
          <w:tcPr>
            <w:tcW w:w="5071" w:type="dxa"/>
            <w:tcBorders/>
          </w:tcPr>
          <w:p>
            <w:pPr>
              <w:pStyle w:val="Normal"/>
              <w:widowControl w:val="false"/>
              <w:rPr>
                <w:b/>
                <w:u w:val="single"/>
              </w:rPr>
            </w:pPr>
            <w:r>
              <w:rPr>
                <w:b/>
                <w:u w:val="single"/>
              </w:rPr>
            </w:r>
          </w:p>
        </w:tc>
        <w:tc>
          <w:tcPr>
            <w:tcW w:w="4643" w:type="dxa"/>
            <w:tcBorders/>
          </w:tcPr>
          <w:p>
            <w:pPr>
              <w:pStyle w:val="Normal"/>
              <w:widowControl w:val="false"/>
              <w:spacing w:lineRule="auto" w:line="276"/>
              <w:rPr>
                <w:b/>
                <w:u w:val="single"/>
                <w:lang w:eastAsia="en-US"/>
              </w:rPr>
            </w:pPr>
            <w:r>
              <w:rPr>
                <w:b/>
                <w:u w:val="single"/>
                <w:lang w:eastAsia="en-US"/>
              </w:rPr>
            </w:r>
          </w:p>
        </w:tc>
      </w:tr>
      <w:tr>
        <w:trPr/>
        <w:tc>
          <w:tcPr>
            <w:tcW w:w="5070" w:type="dxa"/>
            <w:tcBorders/>
          </w:tcPr>
          <w:p>
            <w:pPr>
              <w:pStyle w:val="Normal"/>
              <w:widowControl w:val="false"/>
              <w:rPr>
                <w:b/>
                <w:lang w:val="ru-RU"/>
              </w:rPr>
            </w:pPr>
            <w:r>
              <w:rPr>
                <w:b/>
                <w:lang w:val="ru-RU"/>
              </w:rPr>
              <w:t xml:space="preserve">Акционерное общество </w:t>
            </w:r>
          </w:p>
          <w:p>
            <w:pPr>
              <w:pStyle w:val="Normal"/>
              <w:widowControl w:val="false"/>
              <w:rPr>
                <w:b/>
                <w:lang w:val="ru-RU"/>
              </w:rPr>
            </w:pPr>
            <w:r>
              <w:rPr>
                <w:b/>
                <w:lang w:val="ru-RU"/>
              </w:rPr>
              <w:t xml:space="preserve">«Гидроремонт-ВКК» </w:t>
            </w:r>
          </w:p>
          <w:p>
            <w:pPr>
              <w:pStyle w:val="Normal"/>
              <w:widowControl w:val="false"/>
              <w:rPr>
                <w:b/>
                <w:lang w:val="ru-RU"/>
              </w:rPr>
            </w:pPr>
            <w:r>
              <w:rPr>
                <w:b/>
                <w:lang w:val="ru-RU"/>
              </w:rPr>
              <w:t>(АО «Гидроремонт-ВКК»)</w:t>
            </w:r>
          </w:p>
          <w:p>
            <w:pPr>
              <w:pStyle w:val="Normal"/>
              <w:widowControl w:val="false"/>
              <w:suppressAutoHyphens w:val="true"/>
              <w:rPr>
                <w:lang w:val="x-none" w:eastAsia="ar-SA"/>
              </w:rPr>
            </w:pPr>
            <w:r>
              <w:rPr>
                <w:lang w:val="x-none" w:eastAsia="ar-SA"/>
              </w:rPr>
              <w:t xml:space="preserve">Юридический адрес: </w:t>
            </w:r>
            <w:r>
              <w:rPr>
                <w:sz w:val="24"/>
                <w:szCs w:val="24"/>
                <w:lang w:val="x-none" w:eastAsia="ar-SA"/>
              </w:rPr>
              <w:t>603140, Нижегородская обл., г.о. город Нижний Новгород, г. Нижний Новгород, пер. Мотальный, д.8 помещ. ВП31, офис С1А</w:t>
            </w:r>
          </w:p>
          <w:p>
            <w:pPr>
              <w:pStyle w:val="Normal"/>
              <w:widowControl w:val="false"/>
              <w:suppressAutoHyphens w:val="true"/>
              <w:rPr>
                <w:lang w:val="x-none" w:eastAsia="ar-SA"/>
              </w:rPr>
            </w:pPr>
            <w:r>
              <w:rPr>
                <w:lang w:val="x-none" w:eastAsia="ar-SA"/>
              </w:rPr>
              <w:t>Почтовый адрес: 445350, РФ, Самарская область, г. Жигулевск, а/я 44.</w:t>
            </w:r>
          </w:p>
          <w:p>
            <w:pPr>
              <w:pStyle w:val="Normal"/>
              <w:widowControl w:val="false"/>
              <w:suppressAutoHyphens w:val="true"/>
              <w:rPr>
                <w:lang w:val="ru-RU" w:eastAsia="ar-SA"/>
              </w:rPr>
            </w:pPr>
            <w:r>
              <w:rPr>
                <w:lang w:val="ru-RU" w:eastAsia="ar-SA"/>
              </w:rPr>
              <w:t>Грузоп</w:t>
            </w:r>
            <w:r>
              <w:rPr>
                <w:lang w:val="x-none" w:eastAsia="ar-SA"/>
              </w:rPr>
              <w:t xml:space="preserve">олучатель: </w:t>
            </w:r>
            <w:r>
              <w:rPr>
                <w:lang w:val="ru-RU" w:eastAsia="ar-SA"/>
              </w:rPr>
              <w:t>Жигулевский филиал АО «Гидроремонт-ВКК» в г. Жигулевск, 445351, РФ, Самарская область, г. Жигулевск, Жигулевская ГЭС</w:t>
            </w:r>
            <w:r>
              <w:rPr>
                <w:lang w:val="x-none" w:eastAsia="ar-SA"/>
              </w:rPr>
              <w:t xml:space="preserve"> </w:t>
            </w:r>
            <w:r>
              <w:rPr>
                <w:lang w:val="ru-RU" w:eastAsia="ar-SA"/>
              </w:rPr>
              <w:br/>
              <w:t>ОГРН 1036301733005</w:t>
            </w:r>
          </w:p>
          <w:p>
            <w:pPr>
              <w:pStyle w:val="Normal"/>
              <w:widowControl w:val="false"/>
              <w:suppressAutoHyphens w:val="true"/>
              <w:rPr>
                <w:lang w:val="x-none" w:eastAsia="ar-SA"/>
              </w:rPr>
            </w:pPr>
            <w:r>
              <w:rPr>
                <w:lang w:val="x-none" w:eastAsia="ar-SA"/>
              </w:rPr>
              <w:t>ИНН/КПП 6345012488/634543001</w:t>
            </w:r>
          </w:p>
          <w:p>
            <w:pPr>
              <w:pStyle w:val="Normal"/>
              <w:widowControl w:val="false"/>
              <w:suppressAutoHyphens w:val="true"/>
              <w:rPr>
                <w:lang w:val="ru-RU" w:eastAsia="ar-SA"/>
              </w:rPr>
            </w:pPr>
            <w:r>
              <w:rPr>
                <w:lang w:val="x-none" w:eastAsia="ar-SA"/>
              </w:rPr>
              <w:t xml:space="preserve">Наименование банка: </w:t>
            </w:r>
            <w:r>
              <w:rPr>
                <w:lang w:val="ru-RU" w:eastAsia="ar-SA"/>
              </w:rPr>
              <w:t xml:space="preserve">Банк ГПБ (АО) </w:t>
            </w:r>
          </w:p>
          <w:p>
            <w:pPr>
              <w:pStyle w:val="Normal"/>
              <w:widowControl w:val="false"/>
              <w:suppressAutoHyphens w:val="true"/>
              <w:rPr>
                <w:lang w:val="ru-RU" w:eastAsia="ar-SA"/>
              </w:rPr>
            </w:pPr>
            <w:r>
              <w:rPr>
                <w:lang w:val="ru-RU" w:eastAsia="ar-SA"/>
              </w:rPr>
              <w:t>г. Москва</w:t>
            </w:r>
          </w:p>
          <w:p>
            <w:pPr>
              <w:pStyle w:val="Normal"/>
              <w:widowControl w:val="false"/>
              <w:suppressAutoHyphens w:val="true"/>
              <w:rPr>
                <w:lang w:val="x-none" w:eastAsia="ar-SA"/>
              </w:rPr>
            </w:pPr>
            <w:r>
              <w:rPr>
                <w:lang w:val="x-none" w:eastAsia="ar-SA"/>
              </w:rPr>
              <w:t xml:space="preserve">БИК </w:t>
            </w:r>
            <w:r>
              <w:rPr>
                <w:lang w:val="ru-RU" w:eastAsia="ar-SA"/>
              </w:rPr>
              <w:t>044525823</w:t>
            </w:r>
            <w:r>
              <w:rPr>
                <w:lang w:val="x-none" w:eastAsia="ar-SA"/>
              </w:rPr>
              <w:t xml:space="preserve"> </w:t>
            </w:r>
          </w:p>
          <w:p>
            <w:pPr>
              <w:pStyle w:val="Normal"/>
              <w:widowControl w:val="false"/>
              <w:suppressAutoHyphens w:val="true"/>
              <w:rPr>
                <w:lang w:val="x-none" w:eastAsia="ar-SA"/>
              </w:rPr>
            </w:pPr>
            <w:r>
              <w:rPr>
                <w:lang w:val="x-none" w:eastAsia="ar-SA"/>
              </w:rPr>
              <w:t xml:space="preserve">Корреспондентский счет </w:t>
            </w:r>
          </w:p>
          <w:p>
            <w:pPr>
              <w:pStyle w:val="Normal"/>
              <w:widowControl w:val="false"/>
              <w:suppressAutoHyphens w:val="true"/>
              <w:rPr>
                <w:lang w:val="ru-RU" w:eastAsia="ar-SA"/>
              </w:rPr>
            </w:pPr>
            <w:r>
              <w:rPr>
                <w:lang w:val="x-none" w:eastAsia="ar-SA"/>
              </w:rPr>
              <w:t xml:space="preserve">№ </w:t>
            </w:r>
            <w:r>
              <w:rPr>
                <w:lang w:val="ru-RU" w:eastAsia="ar-SA"/>
              </w:rPr>
              <w:t>30101810200000000823</w:t>
            </w:r>
          </w:p>
          <w:p>
            <w:pPr>
              <w:pStyle w:val="Normal"/>
              <w:widowControl w:val="false"/>
              <w:suppressAutoHyphens w:val="true"/>
              <w:rPr>
                <w:lang w:val="ru-RU" w:eastAsia="ar-SA"/>
              </w:rPr>
            </w:pPr>
            <w:r>
              <w:rPr>
                <w:lang w:val="x-none" w:eastAsia="ar-SA"/>
              </w:rPr>
              <w:t xml:space="preserve"> </w:t>
            </w:r>
            <w:r>
              <w:rPr>
                <w:lang w:val="x-none" w:eastAsia="ar-SA"/>
              </w:rPr>
              <w:t xml:space="preserve">Расчетный счет № </w:t>
            </w:r>
            <w:r>
              <w:rPr>
                <w:lang w:val="ru-RU" w:eastAsia="ar-SA"/>
              </w:rPr>
              <w:t>40702810200000046755</w:t>
            </w:r>
          </w:p>
          <w:p>
            <w:pPr>
              <w:pStyle w:val="Normal"/>
              <w:widowControl w:val="false"/>
              <w:suppressAutoHyphens w:val="true"/>
              <w:rPr>
                <w:u w:val="single"/>
                <w:lang w:val="ru-RU" w:eastAsia="ar-SA"/>
              </w:rPr>
            </w:pPr>
            <w:r>
              <w:rPr>
                <w:u w:val="single"/>
                <w:lang w:val="en-US" w:eastAsia="ar-SA"/>
              </w:rPr>
              <w:t>E</w:t>
            </w:r>
            <w:r>
              <w:rPr>
                <w:u w:val="single"/>
                <w:lang w:val="ru-RU" w:eastAsia="ar-SA"/>
              </w:rPr>
              <w:t>-</w:t>
            </w:r>
            <w:r>
              <w:rPr>
                <w:u w:val="single"/>
                <w:lang w:val="en-US" w:eastAsia="ar-SA"/>
              </w:rPr>
              <w:t>mail</w:t>
            </w:r>
            <w:r>
              <w:rPr>
                <w:u w:val="single"/>
                <w:lang w:val="ru-RU" w:eastAsia="ar-SA"/>
              </w:rPr>
              <w:t xml:space="preserve">: </w:t>
            </w:r>
            <w:hyperlink r:id="rId2">
              <w:r>
                <w:rPr>
                  <w:rStyle w:val="Hyperlink"/>
                  <w:bCs/>
                  <w:color w:val="000000"/>
                  <w:lang w:val="en-US"/>
                </w:rPr>
                <w:t>zhigulevsk@rushydro.ru</w:t>
              </w:r>
            </w:hyperlink>
          </w:p>
          <w:p>
            <w:pPr>
              <w:pStyle w:val="Normal"/>
              <w:widowControl w:val="false"/>
              <w:rPr>
                <w:rFonts w:eastAsia="Calibri"/>
                <w:color w:val="0000FF"/>
                <w:kern w:val="2"/>
                <w:u w:val="single"/>
                <w:lang w:val="ru-RU" w:eastAsia="ar-SA"/>
              </w:rPr>
            </w:pPr>
            <w:r>
              <w:rPr>
                <w:lang w:val="ru-RU" w:eastAsia="ar-SA"/>
              </w:rPr>
              <w:t xml:space="preserve">Тел.: </w:t>
            </w:r>
            <w:r>
              <w:rPr>
                <w:lang w:val="x-none" w:eastAsia="ar-SA"/>
              </w:rPr>
              <w:t>(84862) 71-6-91</w:t>
            </w:r>
          </w:p>
          <w:p>
            <w:pPr>
              <w:pStyle w:val="Normal"/>
              <w:widowControl w:val="false"/>
              <w:rPr>
                <w:rFonts w:eastAsia="Calibri"/>
                <w:color w:val="0000FF"/>
                <w:kern w:val="2"/>
                <w:u w:val="single"/>
                <w:lang w:val="ru-RU" w:eastAsia="ar-SA"/>
              </w:rPr>
            </w:pPr>
            <w:r>
              <w:rPr>
                <w:rFonts w:eastAsia="Calibri"/>
                <w:color w:val="0000FF"/>
                <w:kern w:val="2"/>
                <w:u w:val="single"/>
                <w:lang w:val="ru-RU" w:eastAsia="ar-SA"/>
              </w:rPr>
            </w:r>
          </w:p>
        </w:tc>
        <w:tc>
          <w:tcPr>
            <w:tcW w:w="5069" w:type="dxa"/>
            <w:tcBorders/>
          </w:tcPr>
          <w:p>
            <w:pPr>
              <w:pStyle w:val="Normal"/>
              <w:widowControl w:val="false"/>
              <w:rPr>
                <w:b/>
                <w:lang w:val="ru-RU"/>
              </w:rPr>
            </w:pPr>
            <w:r>
              <w:rPr>
                <w:b/>
                <w:lang w:val="ru-RU"/>
              </w:rPr>
            </w:r>
          </w:p>
          <w:p>
            <w:pPr>
              <w:pStyle w:val="Normal"/>
              <w:widowControl w:val="false"/>
              <w:rPr>
                <w:lang w:val="ru-RU"/>
              </w:rPr>
            </w:pPr>
            <w:r>
              <w:rPr>
                <w:lang w:val="ru-RU"/>
              </w:rPr>
            </w:r>
          </w:p>
        </w:tc>
        <w:tc>
          <w:tcPr>
            <w:tcW w:w="5071" w:type="dxa"/>
            <w:tcBorders/>
          </w:tcPr>
          <w:p>
            <w:pPr>
              <w:pStyle w:val="Normal"/>
              <w:widowControl w:val="false"/>
              <w:rPr>
                <w:rFonts w:eastAsia="Calibri"/>
                <w:color w:val="0000FF"/>
                <w:kern w:val="2"/>
                <w:u w:val="single"/>
                <w:lang w:val="ru-RU" w:eastAsia="ar-SA"/>
              </w:rPr>
            </w:pPr>
            <w:r>
              <w:rPr>
                <w:rFonts w:eastAsia="Calibri"/>
                <w:color w:val="0000FF"/>
                <w:kern w:val="2"/>
                <w:u w:val="single"/>
                <w:lang w:val="ru-RU" w:eastAsia="ar-SA"/>
              </w:rPr>
            </w:r>
          </w:p>
        </w:tc>
        <w:tc>
          <w:tcPr>
            <w:tcW w:w="4643" w:type="dxa"/>
            <w:tcBorders/>
          </w:tcPr>
          <w:p>
            <w:pPr>
              <w:pStyle w:val="Normal"/>
              <w:widowControl w:val="false"/>
              <w:suppressAutoHyphens w:val="true"/>
              <w:spacing w:lineRule="auto" w:line="276"/>
              <w:jc w:val="both"/>
              <w:rPr>
                <w:lang w:val="ru-RU"/>
              </w:rPr>
            </w:pPr>
            <w:r>
              <w:rPr>
                <w:lang w:val="ru-RU"/>
              </w:rPr>
            </w:r>
          </w:p>
        </w:tc>
      </w:tr>
      <w:tr>
        <w:trPr/>
        <w:tc>
          <w:tcPr>
            <w:tcW w:w="5070" w:type="dxa"/>
            <w:tcBorders/>
          </w:tcPr>
          <w:p>
            <w:pPr>
              <w:pStyle w:val="Normal"/>
              <w:widowControl w:val="false"/>
              <w:rPr>
                <w:lang w:val="ru-RU"/>
              </w:rPr>
            </w:pPr>
            <w:r>
              <w:rPr>
                <w:lang w:val="ru-RU"/>
              </w:rPr>
              <w:t>Директор Жигулёвского филиала</w:t>
            </w:r>
          </w:p>
          <w:p>
            <w:pPr>
              <w:pStyle w:val="Normal"/>
              <w:widowControl w:val="false"/>
              <w:rPr>
                <w:lang w:val="ru-RU"/>
              </w:rPr>
            </w:pPr>
            <w:r>
              <w:rPr>
                <w:lang w:val="ru-RU"/>
              </w:rPr>
              <w:t>АО «Гидроремонт-ВКК» в г. Жигулёвск</w:t>
            </w:r>
          </w:p>
          <w:p>
            <w:pPr>
              <w:pStyle w:val="Normal"/>
              <w:widowControl w:val="false"/>
              <w:rPr>
                <w:lang w:val="ru-RU"/>
              </w:rPr>
            </w:pPr>
            <w:r>
              <w:rPr>
                <w:lang w:val="ru-RU"/>
              </w:rPr>
            </w:r>
          </w:p>
          <w:p>
            <w:pPr>
              <w:pStyle w:val="Normal"/>
              <w:widowControl w:val="false"/>
              <w:rPr>
                <w:lang w:val="ru-RU"/>
              </w:rPr>
            </w:pPr>
            <w:r>
              <w:rPr>
                <w:lang w:val="ru-RU"/>
              </w:rPr>
              <w:t>____________________ / /</w:t>
            </w:r>
          </w:p>
          <w:p>
            <w:pPr>
              <w:pStyle w:val="Normal"/>
              <w:widowControl w:val="false"/>
              <w:rPr>
                <w:lang w:val="ru-RU"/>
              </w:rPr>
            </w:pPr>
            <w:r>
              <w:rPr>
                <w:lang w:val="ru-RU"/>
              </w:rPr>
              <w:t>м.п.</w:t>
            </w:r>
          </w:p>
        </w:tc>
        <w:tc>
          <w:tcPr>
            <w:tcW w:w="5069"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 /  /</w:t>
            </w:r>
          </w:p>
          <w:p>
            <w:pPr>
              <w:pStyle w:val="Normal"/>
              <w:widowControl w:val="false"/>
              <w:rPr>
                <w:lang w:val="ru-RU"/>
              </w:rPr>
            </w:pPr>
            <w:r>
              <w:rPr>
                <w:lang w:val="ru-RU"/>
              </w:rPr>
              <w:t>м.п.</w:t>
            </w:r>
          </w:p>
        </w:tc>
        <w:tc>
          <w:tcPr>
            <w:tcW w:w="5071" w:type="dxa"/>
            <w:tcBorders/>
          </w:tcPr>
          <w:p>
            <w:pPr>
              <w:pStyle w:val="Normal"/>
              <w:widowControl w:val="false"/>
              <w:rPr>
                <w:lang w:val="ru-RU"/>
              </w:rPr>
            </w:pPr>
            <w:r>
              <w:rPr>
                <w:lang w:val="ru-RU"/>
              </w:rPr>
            </w:r>
          </w:p>
        </w:tc>
        <w:tc>
          <w:tcPr>
            <w:tcW w:w="4643" w:type="dxa"/>
            <w:tcBorders/>
          </w:tcPr>
          <w:p>
            <w:pPr>
              <w:pStyle w:val="Normal"/>
              <w:widowControl w:val="false"/>
              <w:spacing w:lineRule="auto" w:line="276"/>
              <w:rPr>
                <w:lang w:val="ru-RU" w:eastAsia="en-US"/>
              </w:rPr>
            </w:pPr>
            <w:r>
              <w:rPr>
                <w:lang w:val="ru-RU" w:eastAsia="en-US"/>
              </w:rPr>
            </w:r>
          </w:p>
        </w:tc>
      </w:tr>
    </w:tbl>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t xml:space="preserve">Приложение №1 </w:t>
      </w:r>
    </w:p>
    <w:p>
      <w:pPr>
        <w:pStyle w:val="Normal"/>
        <w:ind w:left="5103" w:hanging="0"/>
        <w:jc w:val="right"/>
        <w:rPr>
          <w:lang w:val="ru-RU"/>
        </w:rPr>
      </w:pPr>
      <w:r>
        <w:rPr>
          <w:lang w:val="ru-RU"/>
        </w:rPr>
        <w:t>к Договору №______-Жиг/ус-</w:t>
      </w:r>
    </w:p>
    <w:p>
      <w:pPr>
        <w:pStyle w:val="Normal"/>
        <w:ind w:left="4536" w:hanging="0"/>
        <w:jc w:val="right"/>
        <w:rPr>
          <w:lang w:val="ru-RU"/>
        </w:rPr>
      </w:pPr>
      <w:r>
        <w:rPr>
          <w:lang w:val="ru-RU"/>
        </w:rPr>
        <w:t>от «______»__________ 2026г.</w:t>
      </w:r>
    </w:p>
    <w:p>
      <w:pPr>
        <w:pStyle w:val="Normal"/>
        <w:ind w:left="5103" w:hanging="0"/>
        <w:jc w:val="right"/>
        <w:rPr>
          <w:lang w:val="ru-RU"/>
        </w:rPr>
      </w:pPr>
      <w:r>
        <w:rPr>
          <w:lang w:val="ru-RU"/>
        </w:rPr>
      </w:r>
    </w:p>
    <w:p>
      <w:pPr>
        <w:pStyle w:val="Normal"/>
        <w:rPr>
          <w:lang w:val="ru-RU"/>
        </w:rPr>
      </w:pPr>
      <w:r>
        <w:rPr>
          <w:lang w:val="ru-RU"/>
        </w:rPr>
      </w:r>
    </w:p>
    <w:p>
      <w:pPr>
        <w:pStyle w:val="Normal"/>
        <w:jc w:val="center"/>
        <w:rPr>
          <w:b/>
          <w:sz w:val="26"/>
          <w:szCs w:val="26"/>
          <w:lang w:val="ru-RU"/>
        </w:rPr>
      </w:pPr>
      <w:r>
        <w:rPr>
          <w:lang w:val="ru-RU"/>
        </w:rPr>
        <w:tab/>
      </w:r>
    </w:p>
    <w:p>
      <w:pPr>
        <w:pStyle w:val="Normal"/>
        <w:jc w:val="center"/>
        <w:rPr>
          <w:b/>
          <w:lang w:val="ru-RU"/>
        </w:rPr>
      </w:pPr>
      <w:r>
        <w:rPr>
          <w:b/>
          <w:lang w:val="ru-RU"/>
        </w:rPr>
        <w:t>ТЕХНИЧЕСКИЕ ТРЕБОВАНИЯ</w:t>
      </w:r>
    </w:p>
    <w:p>
      <w:pPr>
        <w:pStyle w:val="Normal"/>
        <w:jc w:val="center"/>
        <w:rPr>
          <w:b/>
          <w:iCs/>
          <w:lang w:val="ru-RU"/>
        </w:rPr>
      </w:pPr>
      <w:r>
        <w:rPr>
          <w:b/>
          <w:iCs/>
          <w:lang w:val="ru-RU"/>
        </w:rPr>
        <w:t xml:space="preserve">Оказание услуг  по ремонту кузова легкового автомобиля Жигулевского филиала АО «Гидроремонт-ВКК» в г. Жигулевск </w:t>
      </w:r>
    </w:p>
    <w:p>
      <w:pPr>
        <w:pStyle w:val="Normal"/>
        <w:ind w:left="1260" w:right="680" w:hanging="0"/>
        <w:jc w:val="both"/>
        <w:rPr>
          <w:b/>
          <w:lang w:val="ru-RU"/>
        </w:rPr>
      </w:pPr>
      <w:r>
        <w:rPr>
          <w:b/>
          <w:lang w:val="ru-RU"/>
        </w:rPr>
      </w:r>
    </w:p>
    <w:p>
      <w:pPr>
        <w:pStyle w:val="Heading4"/>
        <w:keepLines w:val="false"/>
        <w:numPr>
          <w:ilvl w:val="0"/>
          <w:numId w:val="7"/>
        </w:numPr>
        <w:tabs>
          <w:tab w:val="clear" w:pos="708"/>
          <w:tab w:val="left" w:pos="851" w:leader="none"/>
          <w:tab w:val="left" w:pos="993" w:leader="none"/>
        </w:tabs>
        <w:spacing w:before="0" w:after="0"/>
        <w:jc w:val="both"/>
        <w:rPr>
          <w:rFonts w:ascii="Times New Roman" w:hAnsi="Times New Roman" w:cs="Times New Roman"/>
          <w:i w:val="false"/>
          <w:i w:val="false"/>
          <w:color w:val="auto"/>
          <w:lang w:val="ru-RU"/>
        </w:rPr>
      </w:pPr>
      <w:r>
        <w:rPr>
          <w:rFonts w:cs="Times New Roman" w:ascii="Times New Roman" w:hAnsi="Times New Roman"/>
          <w:i w:val="false"/>
          <w:color w:val="auto"/>
          <w:lang w:val="ru-RU"/>
        </w:rPr>
      </w:r>
    </w:p>
    <w:p>
      <w:pPr>
        <w:pStyle w:val="Normal"/>
        <w:ind w:right="680" w:hanging="0"/>
        <w:jc w:val="both"/>
        <w:rPr>
          <w:b/>
          <w:lang w:val="ru-RU"/>
        </w:rPr>
      </w:pPr>
      <w:r>
        <w:rPr>
          <w:b/>
          <w:lang w:val="ru-RU"/>
        </w:rPr>
      </w:r>
    </w:p>
    <w:p>
      <w:pPr>
        <w:pStyle w:val="Normal"/>
        <w:ind w:right="680" w:hanging="0"/>
        <w:jc w:val="both"/>
        <w:rPr>
          <w:b/>
          <w:lang w:val="ru-RU"/>
        </w:rPr>
      </w:pPr>
      <w:r>
        <w:rPr>
          <w:b/>
          <w:lang w:val="ru-RU"/>
        </w:rPr>
      </w:r>
    </w:p>
    <w:p>
      <w:pPr>
        <w:pStyle w:val="Normal"/>
        <w:ind w:right="680" w:hanging="0"/>
        <w:jc w:val="both"/>
        <w:rPr>
          <w:b/>
          <w:lang w:val="ru-RU"/>
        </w:rPr>
      </w:pPr>
      <w:r>
        <w:rPr>
          <w:b/>
          <w:lang w:val="ru-RU"/>
        </w:rPr>
      </w:r>
    </w:p>
    <w:p>
      <w:pPr>
        <w:pStyle w:val="Normal"/>
        <w:ind w:right="36" w:hanging="0"/>
        <w:jc w:val="both"/>
        <w:rPr>
          <w:lang w:val="ru-RU"/>
        </w:rPr>
      </w:pPr>
      <w:r>
        <w:rPr>
          <w:lang w:val="ru-RU"/>
        </w:rPr>
      </w:r>
    </w:p>
    <w:p>
      <w:pPr>
        <w:pStyle w:val="Normal"/>
        <w:ind w:right="36" w:hanging="0"/>
        <w:jc w:val="both"/>
        <w:rPr>
          <w:lang w:val="ru-RU"/>
        </w:rPr>
      </w:pPr>
      <w:r>
        <w:rPr>
          <w:lang w:val="ru-RU"/>
        </w:rPr>
      </w:r>
    </w:p>
    <w:tbl>
      <w:tblPr>
        <w:tblW w:w="19002"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6"/>
        <w:gridCol w:w="4785"/>
        <w:gridCol w:w="4786"/>
        <w:gridCol w:w="4644"/>
      </w:tblGrid>
      <w:tr>
        <w:trPr/>
        <w:tc>
          <w:tcPr>
            <w:tcW w:w="4786" w:type="dxa"/>
            <w:tcBorders/>
          </w:tcPr>
          <w:p>
            <w:pPr>
              <w:pStyle w:val="Normal"/>
              <w:widowControl w:val="false"/>
              <w:rPr>
                <w:b/>
                <w:u w:val="single"/>
                <w:lang w:val="ru-RU"/>
              </w:rPr>
            </w:pPr>
            <w:r>
              <w:rPr>
                <w:b/>
                <w:u w:val="single"/>
                <w:lang w:val="ru-RU"/>
              </w:rPr>
              <w:t>Заказчик:</w:t>
            </w:r>
          </w:p>
          <w:p>
            <w:pPr>
              <w:pStyle w:val="Normal"/>
              <w:widowControl w:val="false"/>
              <w:rPr>
                <w:lang w:val="ru-RU"/>
              </w:rPr>
            </w:pPr>
            <w:r>
              <w:rPr>
                <w:lang w:val="ru-RU"/>
              </w:rPr>
            </w:r>
          </w:p>
          <w:p>
            <w:pPr>
              <w:pStyle w:val="Normal"/>
              <w:widowControl w:val="false"/>
              <w:rPr>
                <w:lang w:val="ru-RU"/>
              </w:rPr>
            </w:pPr>
            <w:r>
              <w:rPr>
                <w:lang w:val="ru-RU"/>
              </w:rPr>
              <w:t>Директор Жигулёвского филиала</w:t>
            </w:r>
          </w:p>
          <w:p>
            <w:pPr>
              <w:pStyle w:val="Normal"/>
              <w:widowControl w:val="false"/>
              <w:rPr>
                <w:lang w:val="ru-RU"/>
              </w:rPr>
            </w:pPr>
            <w:r>
              <w:rPr>
                <w:lang w:val="ru-RU"/>
              </w:rPr>
              <w:t>АО «Гидроремонт-ВКК» в г. Жигулёвск</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 / /</w:t>
            </w:r>
          </w:p>
          <w:p>
            <w:pPr>
              <w:pStyle w:val="Normal"/>
              <w:widowControl w:val="false"/>
              <w:rPr>
                <w:lang w:val="ru-RU"/>
              </w:rPr>
            </w:pPr>
            <w:r>
              <w:rPr>
                <w:lang w:val="ru-RU"/>
              </w:rPr>
              <w:t>м.п.</w:t>
            </w:r>
          </w:p>
        </w:tc>
        <w:tc>
          <w:tcPr>
            <w:tcW w:w="4785" w:type="dxa"/>
            <w:tcBorders/>
          </w:tcPr>
          <w:p>
            <w:pPr>
              <w:pStyle w:val="Normal"/>
              <w:widowControl w:val="false"/>
              <w:rPr>
                <w:b/>
                <w:u w:val="single"/>
                <w:lang w:val="ru-RU"/>
              </w:rPr>
            </w:pPr>
            <w:r>
              <w:rPr>
                <w:b/>
                <w:u w:val="single"/>
                <w:lang w:val="ru-RU"/>
              </w:rPr>
              <w:t>Исполнитель:</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ind w:left="639" w:hanging="0"/>
              <w:rPr>
                <w:lang w:val="ru-RU"/>
              </w:rPr>
            </w:pPr>
            <w:r>
              <w:rPr>
                <w:lang w:val="ru-RU"/>
              </w:rPr>
              <w:t>_______________ / /</w:t>
            </w:r>
          </w:p>
          <w:p>
            <w:pPr>
              <w:pStyle w:val="Normal"/>
              <w:widowControl w:val="false"/>
              <w:rPr>
                <w:lang w:val="ru-RU"/>
              </w:rPr>
            </w:pPr>
            <w:r>
              <w:rPr>
                <w:lang w:val="ru-RU"/>
              </w:rPr>
              <w:t>м.п.</w:t>
            </w:r>
          </w:p>
        </w:tc>
        <w:tc>
          <w:tcPr>
            <w:tcW w:w="4786" w:type="dxa"/>
            <w:tcBorders/>
          </w:tcPr>
          <w:p>
            <w:pPr>
              <w:pStyle w:val="Normal"/>
              <w:widowControl w:val="false"/>
              <w:spacing w:lineRule="auto" w:line="276"/>
              <w:rPr>
                <w:lang w:val="ru-RU" w:eastAsia="en-US"/>
              </w:rPr>
            </w:pPr>
            <w:r>
              <w:rPr>
                <w:lang w:val="ru-RU" w:eastAsia="en-US"/>
              </w:rPr>
            </w:r>
          </w:p>
        </w:tc>
        <w:tc>
          <w:tcPr>
            <w:tcW w:w="4644" w:type="dxa"/>
            <w:tcBorders/>
          </w:tcPr>
          <w:p>
            <w:pPr>
              <w:pStyle w:val="Normal"/>
              <w:widowControl w:val="false"/>
              <w:spacing w:lineRule="auto" w:line="276"/>
              <w:rPr>
                <w:lang w:val="ru-RU" w:eastAsia="en-US"/>
              </w:rPr>
            </w:pPr>
            <w:r>
              <w:rPr>
                <w:lang w:val="ru-RU" w:eastAsia="en-US"/>
              </w:rPr>
            </w:r>
          </w:p>
        </w:tc>
      </w:tr>
    </w:tbl>
    <w:p>
      <w:pPr>
        <w:pStyle w:val="Normal"/>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t xml:space="preserve">Приложение №2 </w:t>
      </w:r>
    </w:p>
    <w:p>
      <w:pPr>
        <w:pStyle w:val="Normal"/>
        <w:ind w:left="5103" w:hanging="0"/>
        <w:jc w:val="right"/>
        <w:rPr>
          <w:lang w:val="ru-RU"/>
        </w:rPr>
      </w:pPr>
      <w:r>
        <w:rPr>
          <w:lang w:val="ru-RU"/>
        </w:rPr>
        <w:t>к Договору №_______-Жиг/ус-</w:t>
      </w:r>
    </w:p>
    <w:p>
      <w:pPr>
        <w:pStyle w:val="Normal"/>
        <w:ind w:left="4536" w:hanging="0"/>
        <w:jc w:val="right"/>
        <w:rPr>
          <w:lang w:val="ru-RU"/>
        </w:rPr>
      </w:pPr>
      <w:r>
        <w:rPr>
          <w:lang w:val="ru-RU"/>
        </w:rPr>
        <w:t>от «______» ________ 202</w:t>
      </w:r>
      <w:r>
        <w:rPr>
          <w:lang w:val="en-US"/>
        </w:rPr>
        <w:t>6</w:t>
      </w:r>
      <w:r>
        <w:rPr>
          <w:lang w:val="ru-RU"/>
        </w:rPr>
        <w:t xml:space="preserve"> г.</w:t>
      </w:r>
    </w:p>
    <w:p>
      <w:pPr>
        <w:pStyle w:val="Normal"/>
        <w:ind w:left="5103" w:hanging="0"/>
        <w:jc w:val="right"/>
        <w:rPr>
          <w:b/>
          <w:lang w:val="ru-RU"/>
        </w:rPr>
      </w:pPr>
      <w:r>
        <w:rPr>
          <w:b/>
          <w:lang w:val="ru-RU"/>
        </w:rPr>
      </w:r>
    </w:p>
    <w:p>
      <w:pPr>
        <w:pStyle w:val="Normal"/>
        <w:rPr>
          <w:lang w:val="ru-RU"/>
        </w:rPr>
      </w:pPr>
      <w:r>
        <w:rPr>
          <w:lang w:val="ru-RU"/>
        </w:rPr>
      </w:r>
    </w:p>
    <w:p>
      <w:pPr>
        <w:pStyle w:val="Normal"/>
        <w:rPr>
          <w:lang w:val="ru-RU"/>
        </w:rPr>
      </w:pPr>
      <w:r>
        <w:rPr>
          <w:lang w:val="ru-RU"/>
        </w:rPr>
      </w:r>
    </w:p>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t>Перечень легковых транспортных средств,</w:t>
      </w:r>
    </w:p>
    <w:p>
      <w:pPr>
        <w:pStyle w:val="Normal"/>
        <w:widowControl w:val="false"/>
        <w:numPr>
          <w:ilvl w:val="0"/>
          <w:numId w:val="0"/>
        </w:numPr>
        <w:ind w:left="0" w:hanging="0"/>
        <w:jc w:val="center"/>
        <w:outlineLvl w:val="0"/>
        <w:rPr>
          <w:b/>
          <w:lang w:val="ru-RU"/>
        </w:rPr>
      </w:pPr>
      <w:r>
        <w:rPr>
          <w:b/>
          <w:lang w:val="ru-RU"/>
        </w:rPr>
        <w:t xml:space="preserve"> </w:t>
      </w:r>
      <w:r>
        <w:rPr>
          <w:b/>
          <w:lang w:val="ru-RU"/>
        </w:rPr>
        <w:t>подлежащих ремонту кузова</w:t>
      </w:r>
    </w:p>
    <w:p>
      <w:pPr>
        <w:pStyle w:val="Normal"/>
        <w:widowControl w:val="false"/>
        <w:numPr>
          <w:ilvl w:val="0"/>
          <w:numId w:val="0"/>
        </w:numPr>
        <w:ind w:left="0" w:hanging="0"/>
        <w:jc w:val="center"/>
        <w:outlineLvl w:val="0"/>
        <w:rPr>
          <w:b/>
          <w:lang w:val="ru-RU"/>
        </w:rPr>
      </w:pPr>
      <w:r>
        <w:rPr>
          <w:b/>
          <w:lang w:val="ru-RU"/>
        </w:rPr>
      </w:r>
    </w:p>
    <w:tbl>
      <w:tblPr>
        <w:tblpPr w:bottomFromText="0" w:horzAnchor="margin" w:leftFromText="180" w:rightFromText="180" w:tblpX="0" w:tblpY="325" w:topFromText="0" w:vertAnchor="text"/>
        <w:tblW w:w="9923" w:type="dxa"/>
        <w:jc w:val="left"/>
        <w:tblInd w:w="-5" w:type="dxa"/>
        <w:tblLayout w:type="fixed"/>
        <w:tblCellMar>
          <w:top w:w="0" w:type="dxa"/>
          <w:left w:w="108" w:type="dxa"/>
          <w:bottom w:w="0" w:type="dxa"/>
          <w:right w:w="108" w:type="dxa"/>
        </w:tblCellMar>
        <w:tblLook w:val="0000" w:noHBand="0" w:noVBand="0" w:firstColumn="0" w:lastRow="0" w:lastColumn="0" w:firstRow="0"/>
      </w:tblPr>
      <w:tblGrid>
        <w:gridCol w:w="558"/>
        <w:gridCol w:w="3828"/>
        <w:gridCol w:w="1701"/>
        <w:gridCol w:w="2693"/>
        <w:gridCol w:w="1143"/>
      </w:tblGrid>
      <w:tr>
        <w:trPr>
          <w:trHeight w:val="1114" w:hRule="atLeast"/>
        </w:trPr>
        <w:tc>
          <w:tcPr>
            <w:tcW w:w="55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w:t>
            </w:r>
          </w:p>
          <w:p>
            <w:pPr>
              <w:pStyle w:val="Normal"/>
              <w:widowControl w:val="false"/>
              <w:ind w:hanging="6"/>
              <w:jc w:val="center"/>
              <w:rPr/>
            </w:pPr>
            <w:r>
              <w:rPr/>
              <w:t>п/п</w:t>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Наименование объекта</w:t>
            </w:r>
          </w:p>
          <w:p>
            <w:pPr>
              <w:pStyle w:val="Normal"/>
              <w:widowControl w:val="false"/>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rPr>
              <w:t>Гос. номер ТС</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en-US"/>
              </w:rPr>
            </w:pPr>
            <w:r>
              <w:rPr>
                <w:lang w:val="en-US"/>
              </w:rPr>
              <w:t>VIN</w:t>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rPr>
              <w:t>Год выпуска</w:t>
            </w:r>
          </w:p>
        </w:tc>
      </w:tr>
      <w:tr>
        <w:trPr>
          <w:trHeight w:val="259" w:hRule="atLeast"/>
        </w:trPr>
        <w:tc>
          <w:tcPr>
            <w:tcW w:w="558"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suppressAutoHyphens w:val="true"/>
              <w:ind w:left="284" w:hanging="6"/>
              <w:jc w:val="center"/>
              <w:rPr/>
            </w:pPr>
            <w:r>
              <w:rPr/>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Toyota Camry</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6"/>
              <w:jc w:val="center"/>
              <w:rPr/>
            </w:pPr>
            <w:r>
              <w:rPr/>
              <w:t>Е 920 ХЕ 763</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pPr>
            <w:r>
              <w:rPr/>
              <w:t>XW7BK4FK40S000633</w:t>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pPr>
            <w:r>
              <w:rPr/>
              <w:t>2011</w:t>
            </w:r>
          </w:p>
        </w:tc>
      </w:tr>
    </w:tbl>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r>
    </w:p>
    <w:p>
      <w:pPr>
        <w:pStyle w:val="Normal"/>
        <w:widowControl w:val="false"/>
        <w:numPr>
          <w:ilvl w:val="0"/>
          <w:numId w:val="0"/>
        </w:numPr>
        <w:ind w:left="0" w:hanging="0"/>
        <w:jc w:val="center"/>
        <w:outlineLvl w:val="0"/>
        <w:rPr>
          <w:b/>
          <w:lang w:val="ru-RU"/>
        </w:rPr>
      </w:pPr>
      <w:r>
        <w:rPr>
          <w:b/>
          <w:lang w:val="ru-RU"/>
        </w:rPr>
      </w:r>
    </w:p>
    <w:p>
      <w:pPr>
        <w:pStyle w:val="Normal"/>
        <w:rPr>
          <w:lang w:val="ru-RU"/>
        </w:rPr>
      </w:pPr>
      <w:r>
        <w:rPr>
          <w:lang w:val="ru-RU"/>
        </w:rPr>
      </w:r>
    </w:p>
    <w:tbl>
      <w:tblPr>
        <w:tblW w:w="19002"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6"/>
        <w:gridCol w:w="4785"/>
        <w:gridCol w:w="4786"/>
        <w:gridCol w:w="4644"/>
      </w:tblGrid>
      <w:tr>
        <w:trPr/>
        <w:tc>
          <w:tcPr>
            <w:tcW w:w="4786" w:type="dxa"/>
            <w:tcBorders/>
          </w:tcPr>
          <w:p>
            <w:pPr>
              <w:pStyle w:val="Normal"/>
              <w:widowControl w:val="false"/>
              <w:rPr>
                <w:b/>
                <w:u w:val="single"/>
                <w:lang w:val="ru-RU"/>
              </w:rPr>
            </w:pPr>
            <w:r>
              <w:rPr>
                <w:b/>
                <w:u w:val="single"/>
                <w:lang w:val="ru-RU"/>
              </w:rPr>
              <w:t>Заказчик:</w:t>
            </w:r>
          </w:p>
          <w:p>
            <w:pPr>
              <w:pStyle w:val="Normal"/>
              <w:widowControl w:val="false"/>
              <w:rPr>
                <w:lang w:val="ru-RU"/>
              </w:rPr>
            </w:pPr>
            <w:r>
              <w:rPr>
                <w:lang w:val="ru-RU"/>
              </w:rPr>
            </w:r>
          </w:p>
          <w:p>
            <w:pPr>
              <w:pStyle w:val="Normal"/>
              <w:widowControl w:val="false"/>
              <w:rPr>
                <w:lang w:val="ru-RU"/>
              </w:rPr>
            </w:pPr>
            <w:r>
              <w:rPr>
                <w:lang w:val="ru-RU"/>
              </w:rPr>
              <w:t>Директор Жигулёвского филиала</w:t>
            </w:r>
          </w:p>
          <w:p>
            <w:pPr>
              <w:pStyle w:val="Normal"/>
              <w:widowControl w:val="false"/>
              <w:rPr>
                <w:lang w:val="ru-RU"/>
              </w:rPr>
            </w:pPr>
            <w:r>
              <w:rPr>
                <w:lang w:val="ru-RU"/>
              </w:rPr>
              <w:t>АО «Гидроремонт-ВКК» в г. Жигулёвск</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 / /</w:t>
            </w:r>
          </w:p>
          <w:p>
            <w:pPr>
              <w:pStyle w:val="Normal"/>
              <w:widowControl w:val="false"/>
              <w:rPr>
                <w:lang w:val="ru-RU"/>
              </w:rPr>
            </w:pPr>
            <w:r>
              <w:rPr>
                <w:lang w:val="ru-RU"/>
              </w:rPr>
              <w:t>м.п.</w:t>
            </w:r>
          </w:p>
        </w:tc>
        <w:tc>
          <w:tcPr>
            <w:tcW w:w="4785" w:type="dxa"/>
            <w:tcBorders/>
          </w:tcPr>
          <w:p>
            <w:pPr>
              <w:pStyle w:val="Normal"/>
              <w:widowControl w:val="false"/>
              <w:rPr>
                <w:b/>
                <w:u w:val="single"/>
                <w:lang w:val="ru-RU"/>
              </w:rPr>
            </w:pPr>
            <w:r>
              <w:rPr>
                <w:b/>
                <w:u w:val="single"/>
                <w:lang w:val="ru-RU"/>
              </w:rPr>
              <w:t>Исполнитель:</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 / /</w:t>
            </w:r>
          </w:p>
          <w:p>
            <w:pPr>
              <w:pStyle w:val="Normal"/>
              <w:widowControl w:val="false"/>
              <w:rPr>
                <w:lang w:val="ru-RU"/>
              </w:rPr>
            </w:pPr>
            <w:r>
              <w:rPr>
                <w:lang w:val="ru-RU"/>
              </w:rPr>
              <w:t>м.п.</w:t>
            </w:r>
          </w:p>
        </w:tc>
        <w:tc>
          <w:tcPr>
            <w:tcW w:w="4786" w:type="dxa"/>
            <w:tcBorders/>
          </w:tcPr>
          <w:p>
            <w:pPr>
              <w:pStyle w:val="Normal"/>
              <w:widowControl w:val="false"/>
              <w:spacing w:lineRule="auto" w:line="276"/>
              <w:rPr>
                <w:lang w:val="ru-RU" w:eastAsia="en-US"/>
              </w:rPr>
            </w:pPr>
            <w:r>
              <w:rPr>
                <w:lang w:val="ru-RU" w:eastAsia="en-US"/>
              </w:rPr>
            </w:r>
          </w:p>
        </w:tc>
        <w:tc>
          <w:tcPr>
            <w:tcW w:w="4644" w:type="dxa"/>
            <w:tcBorders/>
          </w:tcPr>
          <w:p>
            <w:pPr>
              <w:pStyle w:val="Normal"/>
              <w:widowControl w:val="false"/>
              <w:spacing w:lineRule="auto" w:line="276"/>
              <w:rPr>
                <w:lang w:val="ru-RU" w:eastAsia="en-US"/>
              </w:rPr>
            </w:pPr>
            <w:r>
              <w:rPr>
                <w:lang w:val="ru-RU" w:eastAsia="en-US"/>
              </w:rPr>
            </w:r>
          </w:p>
        </w:tc>
      </w:tr>
    </w:tbl>
    <w:p>
      <w:pPr>
        <w:pStyle w:val="Normal"/>
        <w:rPr>
          <w:lang w:val="ru-RU"/>
        </w:rPr>
      </w:pPr>
      <w:r>
        <w:rPr>
          <w:lang w:val="ru-RU"/>
        </w:rPr>
      </w:r>
    </w:p>
    <w:p>
      <w:pPr>
        <w:pStyle w:val="Normal"/>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rPr>
          <w:lang w:val="ru-RU"/>
        </w:rPr>
      </w:pPr>
      <w:r>
        <w:rPr>
          <w:lang w:val="ru-RU"/>
        </w:rPr>
      </w:r>
    </w:p>
    <w:p>
      <w:pPr>
        <w:pStyle w:val="Normal"/>
        <w:ind w:left="6379" w:hanging="0"/>
        <w:jc w:val="right"/>
        <w:rPr>
          <w:lang w:val="ru-RU"/>
        </w:rPr>
      </w:pPr>
      <w:r>
        <w:rPr>
          <w:lang w:val="ru-RU"/>
        </w:rPr>
        <w:t xml:space="preserve">Приложение №3 </w:t>
      </w:r>
    </w:p>
    <w:p>
      <w:pPr>
        <w:pStyle w:val="Normal"/>
        <w:ind w:left="5103" w:hanging="0"/>
        <w:jc w:val="right"/>
        <w:rPr>
          <w:lang w:val="en-US"/>
        </w:rPr>
      </w:pPr>
      <w:r>
        <w:rPr>
          <w:lang w:val="ru-RU"/>
        </w:rPr>
        <w:t>к Договору №________-Жиг/ус-</w:t>
      </w:r>
    </w:p>
    <w:p>
      <w:pPr>
        <w:pStyle w:val="Normal"/>
        <w:ind w:left="4536" w:hanging="0"/>
        <w:jc w:val="right"/>
        <w:rPr>
          <w:lang w:val="ru-RU"/>
        </w:rPr>
      </w:pPr>
      <w:r>
        <w:rPr>
          <w:lang w:val="ru-RU"/>
        </w:rPr>
        <w:t>от «________» _________ 202</w:t>
      </w:r>
      <w:r>
        <w:rPr>
          <w:lang w:val="en-US"/>
        </w:rPr>
        <w:t>6</w:t>
      </w:r>
      <w:r>
        <w:rPr>
          <w:lang w:val="ru-RU"/>
        </w:rPr>
        <w:t xml:space="preserve"> г.</w:t>
      </w:r>
    </w:p>
    <w:p>
      <w:pPr>
        <w:pStyle w:val="Normal"/>
        <w:ind w:left="5103" w:hanging="0"/>
        <w:jc w:val="right"/>
        <w:rPr>
          <w:lang w:val="ru-RU"/>
        </w:rPr>
      </w:pPr>
      <w:r>
        <w:rPr>
          <w:lang w:val="ru-RU"/>
        </w:rPr>
      </w:r>
    </w:p>
    <w:p>
      <w:pPr>
        <w:pStyle w:val="Normal"/>
        <w:tabs>
          <w:tab w:val="clear" w:pos="708"/>
          <w:tab w:val="left" w:pos="1335" w:leader="none"/>
        </w:tabs>
        <w:jc w:val="right"/>
        <w:rPr>
          <w:lang w:val="ru-RU"/>
        </w:rPr>
      </w:pPr>
      <w:r>
        <w:rPr>
          <w:lang w:val="ru-RU"/>
        </w:rPr>
      </w:r>
    </w:p>
    <w:p>
      <w:pPr>
        <w:pStyle w:val="Normal"/>
        <w:tabs>
          <w:tab w:val="clear" w:pos="708"/>
          <w:tab w:val="left" w:pos="1335" w:leader="none"/>
        </w:tabs>
        <w:jc w:val="right"/>
        <w:rPr>
          <w:lang w:val="ru-RU"/>
        </w:rPr>
      </w:pPr>
      <w:r>
        <w:rPr>
          <w:lang w:val="ru-RU"/>
        </w:rPr>
      </w:r>
    </w:p>
    <w:p>
      <w:pPr>
        <w:pStyle w:val="Normal"/>
        <w:tabs>
          <w:tab w:val="clear" w:pos="708"/>
          <w:tab w:val="left" w:pos="1335" w:leader="none"/>
        </w:tabs>
        <w:jc w:val="center"/>
        <w:rPr>
          <w:b/>
          <w:lang w:val="ru-RU" w:eastAsia="en-US"/>
        </w:rPr>
      </w:pPr>
      <w:r>
        <w:rPr>
          <w:b/>
          <w:lang w:val="ru-RU" w:eastAsia="en-US"/>
        </w:rPr>
        <w:t xml:space="preserve">Стоимость услуг по ремонту кузова </w:t>
      </w:r>
    </w:p>
    <w:p>
      <w:pPr>
        <w:pStyle w:val="Normal"/>
        <w:tabs>
          <w:tab w:val="clear" w:pos="708"/>
          <w:tab w:val="left" w:pos="1335" w:leader="none"/>
        </w:tabs>
        <w:jc w:val="center"/>
        <w:rPr>
          <w:b/>
          <w:lang w:val="ru-RU" w:eastAsia="en-US"/>
        </w:rPr>
      </w:pPr>
      <w:r>
        <w:rPr>
          <w:b/>
          <w:lang w:val="ru-RU" w:eastAsia="en-US"/>
        </w:rPr>
        <w:t>легкового автомобиля с учетом материалов</w:t>
      </w:r>
    </w:p>
    <w:p>
      <w:pPr>
        <w:pStyle w:val="Normal"/>
        <w:tabs>
          <w:tab w:val="clear" w:pos="708"/>
          <w:tab w:val="left" w:pos="1335" w:leader="none"/>
        </w:tabs>
        <w:jc w:val="center"/>
        <w:rPr>
          <w:b/>
          <w:lang w:val="ru-RU" w:eastAsia="en-US"/>
        </w:rPr>
      </w:pPr>
      <w:r>
        <w:rPr>
          <w:b/>
          <w:lang w:val="ru-RU" w:eastAsia="en-US"/>
        </w:rPr>
      </w:r>
    </w:p>
    <w:p>
      <w:pPr>
        <w:pStyle w:val="Normal"/>
        <w:tabs>
          <w:tab w:val="clear" w:pos="708"/>
          <w:tab w:val="left" w:pos="1335" w:leader="none"/>
        </w:tabs>
        <w:jc w:val="center"/>
        <w:rPr>
          <w:b/>
          <w:lang w:val="ru-RU" w:eastAsia="en-US"/>
        </w:rPr>
      </w:pPr>
      <w:r>
        <w:rPr>
          <w:b/>
          <w:lang w:val="ru-RU" w:eastAsia="en-US"/>
        </w:rPr>
      </w:r>
    </w:p>
    <w:tbl>
      <w:tblPr>
        <w:tblW w:w="9750" w:type="dxa"/>
        <w:jc w:val="left"/>
        <w:tblInd w:w="-168" w:type="dxa"/>
        <w:tblLayout w:type="fixed"/>
        <w:tblCellMar>
          <w:top w:w="0" w:type="dxa"/>
          <w:left w:w="108" w:type="dxa"/>
          <w:bottom w:w="0" w:type="dxa"/>
          <w:right w:w="108" w:type="dxa"/>
        </w:tblCellMar>
        <w:tblLook w:val="0000" w:noHBand="0" w:noVBand="0" w:firstColumn="0" w:lastRow="0" w:lastColumn="0" w:firstRow="0"/>
      </w:tblPr>
      <w:tblGrid>
        <w:gridCol w:w="619"/>
        <w:gridCol w:w="5781"/>
        <w:gridCol w:w="1194"/>
        <w:gridCol w:w="962"/>
        <w:gridCol w:w="1194"/>
      </w:tblGrid>
      <w:tr>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b/>
                <w:bCs/>
              </w:rPr>
            </w:pPr>
            <w:r>
              <w:rPr>
                <w:b/>
                <w:bCs/>
              </w:rPr>
              <w:t>№</w:t>
            </w:r>
          </w:p>
          <w:p>
            <w:pPr>
              <w:pStyle w:val="Normal"/>
              <w:keepNext w:val="true"/>
              <w:widowControl w:val="false"/>
              <w:jc w:val="center"/>
              <w:rPr>
                <w:b/>
                <w:bCs/>
              </w:rPr>
            </w:pPr>
            <w:r>
              <w:rPr>
                <w:b/>
                <w:bCs/>
              </w:rPr>
              <w:t>п/п</w:t>
            </w:r>
          </w:p>
        </w:tc>
        <w:tc>
          <w:tcPr>
            <w:tcW w:w="578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b/>
                <w:bCs/>
              </w:rPr>
            </w:pPr>
            <w:r>
              <w:rPr>
                <w:b/>
                <w:bCs/>
              </w:rPr>
              <w:t>Наименование услуг / этапа услуг</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b/>
                <w:bCs/>
              </w:rPr>
            </w:pPr>
            <w:r>
              <w:rPr>
                <w:b/>
                <w:bCs/>
              </w:rPr>
              <w:t>Цена н/час (руб.)</w:t>
            </w:r>
          </w:p>
        </w:tc>
        <w:tc>
          <w:tcPr>
            <w:tcW w:w="962" w:type="dxa"/>
            <w:tcBorders>
              <w:top w:val="single" w:sz="4" w:space="0" w:color="000000"/>
              <w:left w:val="single" w:sz="4" w:space="0" w:color="000000"/>
              <w:bottom w:val="single" w:sz="4" w:space="0" w:color="000000"/>
            </w:tcBorders>
            <w:vAlign w:val="center"/>
          </w:tcPr>
          <w:p>
            <w:pPr>
              <w:pStyle w:val="Normal"/>
              <w:keepNext w:val="true"/>
              <w:widowControl w:val="false"/>
              <w:jc w:val="center"/>
              <w:rPr>
                <w:b/>
                <w:bCs/>
              </w:rPr>
            </w:pPr>
            <w:r>
              <w:rPr>
                <w:b/>
                <w:bCs/>
              </w:rPr>
              <w:t>Время</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b/>
                <w:bCs/>
              </w:rPr>
            </w:pPr>
            <w:r>
              <w:rPr>
                <w:b/>
                <w:bCs/>
              </w:rPr>
              <w:t>Сумма (руб.)</w:t>
            </w:r>
          </w:p>
        </w:tc>
      </w:tr>
      <w:tr>
        <w:trPr/>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rPr>
              <w:t>1</w:t>
            </w:r>
          </w:p>
        </w:tc>
        <w:tc>
          <w:tcPr>
            <w:tcW w:w="5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rPr>
              <w:t>2</w:t>
            </w:r>
          </w:p>
        </w:tc>
        <w:tc>
          <w:tcPr>
            <w:tcW w:w="11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rPr>
              <w:t>3</w:t>
            </w:r>
          </w:p>
        </w:tc>
        <w:tc>
          <w:tcPr>
            <w:tcW w:w="962" w:type="dxa"/>
            <w:tcBorders>
              <w:top w:val="single" w:sz="4" w:space="0" w:color="000000"/>
              <w:left w:val="single" w:sz="4" w:space="0" w:color="000000"/>
              <w:bottom w:val="single" w:sz="4" w:space="0" w:color="000000"/>
            </w:tcBorders>
          </w:tcPr>
          <w:p>
            <w:pPr>
              <w:pStyle w:val="Normal"/>
              <w:widowControl w:val="false"/>
              <w:jc w:val="center"/>
              <w:rPr>
                <w:b/>
              </w:rPr>
            </w:pPr>
            <w:r>
              <w:rPr>
                <w:b/>
              </w:rPr>
              <w:t>4</w:t>
            </w:r>
          </w:p>
        </w:tc>
        <w:tc>
          <w:tcPr>
            <w:tcW w:w="11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rPr>
              <w:t>5</w:t>
            </w:r>
          </w:p>
        </w:tc>
      </w:tr>
      <w:tr>
        <w:trPr/>
        <w:tc>
          <w:tcPr>
            <w:tcW w:w="619"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rPr/>
            </w:pPr>
            <w:r>
              <w:rPr/>
              <w:t>1.</w:t>
            </w:r>
          </w:p>
        </w:tc>
        <w:tc>
          <w:tcPr>
            <w:tcW w:w="5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085" w:leader="none"/>
              </w:tabs>
              <w:ind w:left="-45" w:right="-75" w:hanging="0"/>
              <w:rPr/>
            </w:pPr>
            <w:r>
              <w:rPr/>
              <w:t>Брызговик лонжерона переднего левого — замена с окраской</w:t>
            </w:r>
          </w:p>
        </w:tc>
        <w:tc>
          <w:tcPr>
            <w:tcW w:w="11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1000,00</w:t>
            </w:r>
          </w:p>
        </w:tc>
        <w:tc>
          <w:tcPr>
            <w:tcW w:w="962" w:type="dxa"/>
            <w:tcBorders>
              <w:top w:val="single" w:sz="4" w:space="0" w:color="000000"/>
              <w:left w:val="single" w:sz="4" w:space="0" w:color="000000"/>
              <w:bottom w:val="single" w:sz="4" w:space="0" w:color="000000"/>
            </w:tcBorders>
          </w:tcPr>
          <w:p>
            <w:pPr>
              <w:pStyle w:val="Normal"/>
              <w:widowControl w:val="false"/>
              <w:jc w:val="center"/>
              <w:rPr/>
            </w:pPr>
            <w:r>
              <w:rPr/>
              <w:t>16,0</w:t>
            </w:r>
          </w:p>
        </w:tc>
        <w:tc>
          <w:tcPr>
            <w:tcW w:w="11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16000,00</w:t>
            </w:r>
          </w:p>
        </w:tc>
      </w:tr>
      <w:tr>
        <w:trPr/>
        <w:tc>
          <w:tcPr>
            <w:tcW w:w="619"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rPr/>
            </w:pPr>
            <w:r>
              <w:rPr/>
              <w:t>2.</w:t>
            </w:r>
          </w:p>
        </w:tc>
        <w:tc>
          <w:tcPr>
            <w:tcW w:w="5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085" w:leader="none"/>
              </w:tabs>
              <w:ind w:left="-45" w:right="-75" w:hanging="0"/>
              <w:rPr/>
            </w:pPr>
            <w:r>
              <w:rPr/>
              <w:t>Брызговик лонжерона переднего правого — замена с окраской</w:t>
            </w:r>
          </w:p>
        </w:tc>
        <w:tc>
          <w:tcPr>
            <w:tcW w:w="11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1000,00</w:t>
            </w:r>
          </w:p>
        </w:tc>
        <w:tc>
          <w:tcPr>
            <w:tcW w:w="962" w:type="dxa"/>
            <w:tcBorders>
              <w:top w:val="single" w:sz="4" w:space="0" w:color="000000"/>
              <w:left w:val="single" w:sz="4" w:space="0" w:color="000000"/>
              <w:bottom w:val="single" w:sz="4" w:space="0" w:color="000000"/>
            </w:tcBorders>
          </w:tcPr>
          <w:p>
            <w:pPr>
              <w:pStyle w:val="Normal"/>
              <w:widowControl w:val="false"/>
              <w:jc w:val="center"/>
              <w:rPr/>
            </w:pPr>
            <w:r>
              <w:rPr/>
              <w:t>16,0</w:t>
            </w:r>
          </w:p>
        </w:tc>
        <w:tc>
          <w:tcPr>
            <w:tcW w:w="11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16000,00</w:t>
            </w:r>
          </w:p>
        </w:tc>
      </w:tr>
      <w:tr>
        <w:trPr/>
        <w:tc>
          <w:tcPr>
            <w:tcW w:w="619"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rPr/>
            </w:pPr>
            <w:r>
              <w:rPr/>
              <w:t>3.</w:t>
            </w:r>
          </w:p>
        </w:tc>
        <w:tc>
          <w:tcPr>
            <w:tcW w:w="5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085" w:leader="none"/>
              </w:tabs>
              <w:ind w:left="-45" w:right="-75" w:hanging="0"/>
              <w:rPr/>
            </w:pPr>
            <w:r>
              <w:rPr/>
              <w:t>Дверь передняя левая - окраска</w:t>
            </w:r>
          </w:p>
        </w:tc>
        <w:tc>
          <w:tcPr>
            <w:tcW w:w="11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1000,00</w:t>
            </w:r>
          </w:p>
        </w:tc>
        <w:tc>
          <w:tcPr>
            <w:tcW w:w="962" w:type="dxa"/>
            <w:tcBorders>
              <w:top w:val="single" w:sz="4" w:space="0" w:color="000000"/>
              <w:left w:val="single" w:sz="4" w:space="0" w:color="000000"/>
              <w:bottom w:val="single" w:sz="4" w:space="0" w:color="000000"/>
            </w:tcBorders>
          </w:tcPr>
          <w:p>
            <w:pPr>
              <w:pStyle w:val="Normal"/>
              <w:widowControl w:val="false"/>
              <w:jc w:val="center"/>
              <w:rPr/>
            </w:pPr>
            <w:r>
              <w:rPr/>
              <w:t>14,0</w:t>
            </w:r>
          </w:p>
        </w:tc>
        <w:tc>
          <w:tcPr>
            <w:tcW w:w="11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14000,00</w:t>
            </w:r>
          </w:p>
        </w:tc>
      </w:tr>
      <w:tr>
        <w:trPr/>
        <w:tc>
          <w:tcPr>
            <w:tcW w:w="619" w:type="dxa"/>
            <w:tcBorders>
              <w:left w:val="single" w:sz="4" w:space="0" w:color="000000"/>
              <w:bottom w:val="single" w:sz="4" w:space="0" w:color="000000"/>
              <w:right w:val="single" w:sz="4" w:space="0" w:color="000000"/>
            </w:tcBorders>
          </w:tcPr>
          <w:p>
            <w:pPr>
              <w:pStyle w:val="ListParagraph"/>
              <w:widowControl w:val="false"/>
              <w:ind w:left="0" w:hanging="0"/>
              <w:rPr/>
            </w:pPr>
            <w:r>
              <w:rPr/>
              <w:t>4.</w:t>
            </w:r>
          </w:p>
        </w:tc>
        <w:tc>
          <w:tcPr>
            <w:tcW w:w="5781" w:type="dxa"/>
            <w:tcBorders>
              <w:left w:val="single" w:sz="4" w:space="0" w:color="000000"/>
              <w:bottom w:val="single" w:sz="4" w:space="0" w:color="000000"/>
              <w:right w:val="single" w:sz="4" w:space="0" w:color="000000"/>
            </w:tcBorders>
          </w:tcPr>
          <w:p>
            <w:pPr>
              <w:pStyle w:val="Normal"/>
              <w:widowControl w:val="false"/>
              <w:tabs>
                <w:tab w:val="clear" w:pos="708"/>
                <w:tab w:val="left" w:pos="8085" w:leader="none"/>
              </w:tabs>
              <w:ind w:left="-45" w:right="-75" w:hanging="0"/>
              <w:rPr/>
            </w:pPr>
            <w:r>
              <w:rPr/>
              <w:t>Дверь передняя правая - окраска</w:t>
            </w:r>
          </w:p>
        </w:tc>
        <w:tc>
          <w:tcPr>
            <w:tcW w:w="1194" w:type="dxa"/>
            <w:tcBorders>
              <w:left w:val="single" w:sz="4" w:space="0" w:color="000000"/>
              <w:bottom w:val="single" w:sz="4" w:space="0" w:color="000000"/>
              <w:right w:val="single" w:sz="4" w:space="0" w:color="000000"/>
            </w:tcBorders>
          </w:tcPr>
          <w:p>
            <w:pPr>
              <w:pStyle w:val="Normal"/>
              <w:widowControl w:val="false"/>
              <w:jc w:val="center"/>
              <w:rPr/>
            </w:pPr>
            <w:r>
              <w:rPr/>
              <w:t>1000,00</w:t>
            </w:r>
          </w:p>
        </w:tc>
        <w:tc>
          <w:tcPr>
            <w:tcW w:w="962" w:type="dxa"/>
            <w:tcBorders>
              <w:left w:val="single" w:sz="4" w:space="0" w:color="000000"/>
              <w:bottom w:val="single" w:sz="4" w:space="0" w:color="000000"/>
            </w:tcBorders>
          </w:tcPr>
          <w:p>
            <w:pPr>
              <w:pStyle w:val="Normal"/>
              <w:widowControl w:val="false"/>
              <w:jc w:val="center"/>
              <w:rPr/>
            </w:pPr>
            <w:r>
              <w:rPr/>
              <w:t>14,0</w:t>
            </w:r>
          </w:p>
        </w:tc>
        <w:tc>
          <w:tcPr>
            <w:tcW w:w="1194" w:type="dxa"/>
            <w:tcBorders>
              <w:left w:val="single" w:sz="4" w:space="0" w:color="000000"/>
              <w:bottom w:val="single" w:sz="4" w:space="0" w:color="000000"/>
              <w:right w:val="single" w:sz="4" w:space="0" w:color="000000"/>
            </w:tcBorders>
          </w:tcPr>
          <w:p>
            <w:pPr>
              <w:pStyle w:val="Normal"/>
              <w:widowControl w:val="false"/>
              <w:jc w:val="center"/>
              <w:rPr/>
            </w:pPr>
            <w:r>
              <w:rPr/>
              <w:t>14000,00</w:t>
            </w:r>
          </w:p>
        </w:tc>
      </w:tr>
      <w:tr>
        <w:trPr/>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5.</w:t>
            </w:r>
          </w:p>
        </w:tc>
        <w:tc>
          <w:tcPr>
            <w:tcW w:w="5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085" w:leader="none"/>
              </w:tabs>
              <w:ind w:left="-45" w:right="-75" w:hanging="0"/>
              <w:rPr/>
            </w:pPr>
            <w:r>
              <w:rPr/>
              <w:t>Снятие-установка сопутствующих деталей</w:t>
            </w:r>
          </w:p>
        </w:tc>
        <w:tc>
          <w:tcPr>
            <w:tcW w:w="11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1000,00</w:t>
            </w:r>
          </w:p>
        </w:tc>
        <w:tc>
          <w:tcPr>
            <w:tcW w:w="962" w:type="dxa"/>
            <w:tcBorders>
              <w:top w:val="single" w:sz="4" w:space="0" w:color="000000"/>
              <w:left w:val="single" w:sz="4" w:space="0" w:color="000000"/>
              <w:bottom w:val="single" w:sz="4" w:space="0" w:color="000000"/>
            </w:tcBorders>
          </w:tcPr>
          <w:p>
            <w:pPr>
              <w:pStyle w:val="Normal"/>
              <w:widowControl w:val="false"/>
              <w:jc w:val="center"/>
              <w:rPr/>
            </w:pPr>
            <w:r>
              <w:rPr/>
              <w:t>8,0</w:t>
            </w:r>
          </w:p>
        </w:tc>
        <w:tc>
          <w:tcPr>
            <w:tcW w:w="11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8000,00</w:t>
            </w:r>
          </w:p>
        </w:tc>
      </w:tr>
      <w:tr>
        <w:trPr/>
        <w:tc>
          <w:tcPr>
            <w:tcW w:w="619" w:type="dxa"/>
            <w:tcBorders>
              <w:left w:val="single" w:sz="4" w:space="0" w:color="000000"/>
              <w:bottom w:val="single" w:sz="4" w:space="0" w:color="000000"/>
              <w:right w:val="single" w:sz="4" w:space="0" w:color="000000"/>
            </w:tcBorders>
          </w:tcPr>
          <w:p>
            <w:pPr>
              <w:pStyle w:val="Normal"/>
              <w:widowControl w:val="false"/>
              <w:rPr/>
            </w:pPr>
            <w:r>
              <w:rPr/>
              <w:t>6.</w:t>
            </w:r>
          </w:p>
        </w:tc>
        <w:tc>
          <w:tcPr>
            <w:tcW w:w="5781" w:type="dxa"/>
            <w:tcBorders>
              <w:left w:val="single" w:sz="4" w:space="0" w:color="000000"/>
              <w:bottom w:val="single" w:sz="4" w:space="0" w:color="000000"/>
              <w:right w:val="single" w:sz="4" w:space="0" w:color="000000"/>
            </w:tcBorders>
          </w:tcPr>
          <w:p>
            <w:pPr>
              <w:pStyle w:val="Normal"/>
              <w:widowControl w:val="false"/>
              <w:tabs>
                <w:tab w:val="clear" w:pos="708"/>
                <w:tab w:val="left" w:pos="8085" w:leader="none"/>
              </w:tabs>
              <w:ind w:left="-45" w:right="-75" w:hanging="0"/>
              <w:rPr/>
            </w:pPr>
            <w:r>
              <w:rPr/>
              <w:t>Стакан переднего левого лонжерона — ремонт с окраской</w:t>
            </w:r>
          </w:p>
        </w:tc>
        <w:tc>
          <w:tcPr>
            <w:tcW w:w="1194" w:type="dxa"/>
            <w:tcBorders>
              <w:left w:val="single" w:sz="4" w:space="0" w:color="000000"/>
              <w:bottom w:val="single" w:sz="4" w:space="0" w:color="000000"/>
              <w:right w:val="single" w:sz="4" w:space="0" w:color="000000"/>
            </w:tcBorders>
          </w:tcPr>
          <w:p>
            <w:pPr>
              <w:pStyle w:val="Normal"/>
              <w:widowControl w:val="false"/>
              <w:jc w:val="center"/>
              <w:rPr/>
            </w:pPr>
            <w:r>
              <w:rPr/>
              <w:t>1000,00</w:t>
            </w:r>
          </w:p>
        </w:tc>
        <w:tc>
          <w:tcPr>
            <w:tcW w:w="962" w:type="dxa"/>
            <w:tcBorders>
              <w:left w:val="single" w:sz="4" w:space="0" w:color="000000"/>
              <w:bottom w:val="single" w:sz="4" w:space="0" w:color="000000"/>
            </w:tcBorders>
          </w:tcPr>
          <w:p>
            <w:pPr>
              <w:pStyle w:val="Normal"/>
              <w:widowControl w:val="false"/>
              <w:jc w:val="center"/>
              <w:rPr/>
            </w:pPr>
            <w:r>
              <w:rPr/>
              <w:t>11,0</w:t>
            </w:r>
          </w:p>
        </w:tc>
        <w:tc>
          <w:tcPr>
            <w:tcW w:w="1194" w:type="dxa"/>
            <w:tcBorders>
              <w:left w:val="single" w:sz="4" w:space="0" w:color="000000"/>
              <w:bottom w:val="single" w:sz="4" w:space="0" w:color="000000"/>
              <w:right w:val="single" w:sz="4" w:space="0" w:color="000000"/>
            </w:tcBorders>
          </w:tcPr>
          <w:p>
            <w:pPr>
              <w:pStyle w:val="Normal"/>
              <w:widowControl w:val="false"/>
              <w:jc w:val="center"/>
              <w:rPr/>
            </w:pPr>
            <w:r>
              <w:rPr/>
              <w:t>11000,00</w:t>
            </w:r>
          </w:p>
        </w:tc>
      </w:tr>
      <w:tr>
        <w:trPr/>
        <w:tc>
          <w:tcPr>
            <w:tcW w:w="619" w:type="dxa"/>
            <w:tcBorders>
              <w:left w:val="single" w:sz="4" w:space="0" w:color="000000"/>
              <w:bottom w:val="single" w:sz="4" w:space="0" w:color="000000"/>
              <w:right w:val="single" w:sz="4" w:space="0" w:color="000000"/>
            </w:tcBorders>
          </w:tcPr>
          <w:p>
            <w:pPr>
              <w:pStyle w:val="Normal"/>
              <w:widowControl w:val="false"/>
              <w:rPr/>
            </w:pPr>
            <w:r>
              <w:rPr/>
              <w:t>7.</w:t>
            </w:r>
          </w:p>
        </w:tc>
        <w:tc>
          <w:tcPr>
            <w:tcW w:w="5781" w:type="dxa"/>
            <w:tcBorders>
              <w:left w:val="single" w:sz="4" w:space="0" w:color="000000"/>
              <w:bottom w:val="single" w:sz="4" w:space="0" w:color="000000"/>
              <w:right w:val="single" w:sz="4" w:space="0" w:color="000000"/>
            </w:tcBorders>
          </w:tcPr>
          <w:p>
            <w:pPr>
              <w:pStyle w:val="Normal"/>
              <w:widowControl w:val="false"/>
              <w:tabs>
                <w:tab w:val="clear" w:pos="708"/>
                <w:tab w:val="left" w:pos="8085" w:leader="none"/>
              </w:tabs>
              <w:ind w:left="-45" w:right="-75" w:hanging="0"/>
              <w:rPr/>
            </w:pPr>
            <w:r>
              <w:rPr/>
              <w:t>Стакан правого левого лонжерона — ремонт с окраской</w:t>
            </w:r>
          </w:p>
        </w:tc>
        <w:tc>
          <w:tcPr>
            <w:tcW w:w="1194" w:type="dxa"/>
            <w:tcBorders>
              <w:left w:val="single" w:sz="4" w:space="0" w:color="000000"/>
              <w:bottom w:val="single" w:sz="4" w:space="0" w:color="000000"/>
              <w:right w:val="single" w:sz="4" w:space="0" w:color="000000"/>
            </w:tcBorders>
          </w:tcPr>
          <w:p>
            <w:pPr>
              <w:pStyle w:val="Normal"/>
              <w:widowControl w:val="false"/>
              <w:jc w:val="center"/>
              <w:rPr/>
            </w:pPr>
            <w:r>
              <w:rPr/>
              <w:t>1000,00</w:t>
            </w:r>
          </w:p>
        </w:tc>
        <w:tc>
          <w:tcPr>
            <w:tcW w:w="962" w:type="dxa"/>
            <w:tcBorders>
              <w:left w:val="single" w:sz="4" w:space="0" w:color="000000"/>
              <w:bottom w:val="single" w:sz="4" w:space="0" w:color="000000"/>
            </w:tcBorders>
          </w:tcPr>
          <w:p>
            <w:pPr>
              <w:pStyle w:val="Normal"/>
              <w:widowControl w:val="false"/>
              <w:jc w:val="center"/>
              <w:rPr/>
            </w:pPr>
            <w:r>
              <w:rPr/>
              <w:t>11,0</w:t>
            </w:r>
          </w:p>
        </w:tc>
        <w:tc>
          <w:tcPr>
            <w:tcW w:w="1194" w:type="dxa"/>
            <w:tcBorders>
              <w:left w:val="single" w:sz="4" w:space="0" w:color="000000"/>
              <w:bottom w:val="single" w:sz="4" w:space="0" w:color="000000"/>
              <w:right w:val="single" w:sz="4" w:space="0" w:color="000000"/>
            </w:tcBorders>
          </w:tcPr>
          <w:p>
            <w:pPr>
              <w:pStyle w:val="Normal"/>
              <w:widowControl w:val="false"/>
              <w:jc w:val="center"/>
              <w:rPr/>
            </w:pPr>
            <w:r>
              <w:rPr/>
              <w:t>11000,00</w:t>
            </w:r>
          </w:p>
        </w:tc>
      </w:tr>
      <w:tr>
        <w:trPr/>
        <w:tc>
          <w:tcPr>
            <w:tcW w:w="619" w:type="dxa"/>
            <w:tcBorders>
              <w:left w:val="single" w:sz="4" w:space="0" w:color="000000"/>
              <w:bottom w:val="single" w:sz="4" w:space="0" w:color="000000"/>
              <w:right w:val="single" w:sz="4" w:space="0" w:color="000000"/>
            </w:tcBorders>
          </w:tcPr>
          <w:p>
            <w:pPr>
              <w:pStyle w:val="Normal"/>
              <w:widowControl w:val="false"/>
              <w:rPr/>
            </w:pPr>
            <w:r>
              <w:rPr/>
              <w:t>8.</w:t>
            </w:r>
          </w:p>
        </w:tc>
        <w:tc>
          <w:tcPr>
            <w:tcW w:w="5781" w:type="dxa"/>
            <w:tcBorders>
              <w:left w:val="single" w:sz="4" w:space="0" w:color="000000"/>
              <w:bottom w:val="single" w:sz="4" w:space="0" w:color="000000"/>
              <w:right w:val="single" w:sz="4" w:space="0" w:color="000000"/>
            </w:tcBorders>
          </w:tcPr>
          <w:p>
            <w:pPr>
              <w:pStyle w:val="Normal"/>
              <w:widowControl w:val="false"/>
              <w:tabs>
                <w:tab w:val="clear" w:pos="708"/>
                <w:tab w:val="left" w:pos="8085" w:leader="none"/>
              </w:tabs>
              <w:ind w:left="-45" w:right="-75" w:hanging="0"/>
              <w:rPr/>
            </w:pPr>
            <w:r>
              <w:rPr/>
              <w:t>Подбор колера по образцу</w:t>
            </w:r>
          </w:p>
        </w:tc>
        <w:tc>
          <w:tcPr>
            <w:tcW w:w="1194" w:type="dxa"/>
            <w:tcBorders>
              <w:left w:val="single" w:sz="4" w:space="0" w:color="000000"/>
              <w:bottom w:val="single" w:sz="4" w:space="0" w:color="000000"/>
              <w:right w:val="single" w:sz="4" w:space="0" w:color="000000"/>
            </w:tcBorders>
          </w:tcPr>
          <w:p>
            <w:pPr>
              <w:pStyle w:val="Normal"/>
              <w:widowControl w:val="false"/>
              <w:jc w:val="center"/>
              <w:rPr/>
            </w:pPr>
            <w:r>
              <w:rPr/>
              <w:t>1000,00</w:t>
            </w:r>
          </w:p>
        </w:tc>
        <w:tc>
          <w:tcPr>
            <w:tcW w:w="962" w:type="dxa"/>
            <w:tcBorders>
              <w:left w:val="single" w:sz="4" w:space="0" w:color="000000"/>
              <w:bottom w:val="single" w:sz="4" w:space="0" w:color="000000"/>
            </w:tcBorders>
          </w:tcPr>
          <w:p>
            <w:pPr>
              <w:pStyle w:val="Normal"/>
              <w:widowControl w:val="false"/>
              <w:jc w:val="center"/>
              <w:rPr/>
            </w:pPr>
            <w:r>
              <w:rPr/>
              <w:t>3,5</w:t>
            </w:r>
          </w:p>
        </w:tc>
        <w:tc>
          <w:tcPr>
            <w:tcW w:w="1194" w:type="dxa"/>
            <w:tcBorders>
              <w:left w:val="single" w:sz="4" w:space="0" w:color="000000"/>
              <w:bottom w:val="single" w:sz="4" w:space="0" w:color="000000"/>
              <w:right w:val="single" w:sz="4" w:space="0" w:color="000000"/>
            </w:tcBorders>
          </w:tcPr>
          <w:p>
            <w:pPr>
              <w:pStyle w:val="Normal"/>
              <w:widowControl w:val="false"/>
              <w:jc w:val="center"/>
              <w:rPr/>
            </w:pPr>
            <w:r>
              <w:rPr/>
              <w:t>3500,00</w:t>
            </w:r>
          </w:p>
        </w:tc>
      </w:tr>
      <w:tr>
        <w:trPr/>
        <w:tc>
          <w:tcPr>
            <w:tcW w:w="619" w:type="dxa"/>
            <w:tcBorders>
              <w:left w:val="single" w:sz="4" w:space="0" w:color="000000"/>
              <w:bottom w:val="single" w:sz="4" w:space="0" w:color="000000"/>
              <w:right w:val="single" w:sz="4" w:space="0" w:color="000000"/>
            </w:tcBorders>
          </w:tcPr>
          <w:p>
            <w:pPr>
              <w:pStyle w:val="Normal"/>
              <w:widowControl w:val="false"/>
              <w:rPr/>
            </w:pPr>
            <w:r>
              <w:rPr/>
              <w:t>9.</w:t>
            </w:r>
          </w:p>
        </w:tc>
        <w:tc>
          <w:tcPr>
            <w:tcW w:w="5781" w:type="dxa"/>
            <w:tcBorders>
              <w:left w:val="single" w:sz="4" w:space="0" w:color="000000"/>
              <w:bottom w:val="single" w:sz="4" w:space="0" w:color="000000"/>
              <w:right w:val="single" w:sz="4" w:space="0" w:color="000000"/>
            </w:tcBorders>
          </w:tcPr>
          <w:p>
            <w:pPr>
              <w:pStyle w:val="Normal"/>
              <w:widowControl w:val="false"/>
              <w:tabs>
                <w:tab w:val="clear" w:pos="708"/>
                <w:tab w:val="left" w:pos="8085" w:leader="none"/>
              </w:tabs>
              <w:ind w:left="-45" w:right="-75" w:hanging="0"/>
              <w:rPr/>
            </w:pPr>
            <w:r>
              <w:rPr/>
              <w:t xml:space="preserve">Антикоррозийная обработка отремонтированных узлов кузова </w:t>
            </w:r>
          </w:p>
        </w:tc>
        <w:tc>
          <w:tcPr>
            <w:tcW w:w="1194" w:type="dxa"/>
            <w:tcBorders>
              <w:left w:val="single" w:sz="4" w:space="0" w:color="000000"/>
              <w:bottom w:val="single" w:sz="4" w:space="0" w:color="000000"/>
              <w:right w:val="single" w:sz="4" w:space="0" w:color="000000"/>
            </w:tcBorders>
          </w:tcPr>
          <w:p>
            <w:pPr>
              <w:pStyle w:val="Normal"/>
              <w:widowControl w:val="false"/>
              <w:jc w:val="center"/>
              <w:rPr/>
            </w:pPr>
            <w:r>
              <w:rPr/>
              <w:t>1000,00</w:t>
            </w:r>
          </w:p>
        </w:tc>
        <w:tc>
          <w:tcPr>
            <w:tcW w:w="962" w:type="dxa"/>
            <w:tcBorders>
              <w:left w:val="single" w:sz="4" w:space="0" w:color="000000"/>
              <w:bottom w:val="single" w:sz="4" w:space="0" w:color="000000"/>
            </w:tcBorders>
          </w:tcPr>
          <w:p>
            <w:pPr>
              <w:pStyle w:val="Normal"/>
              <w:widowControl w:val="false"/>
              <w:jc w:val="center"/>
              <w:rPr/>
            </w:pPr>
            <w:r>
              <w:rPr/>
              <w:t>3,5</w:t>
            </w:r>
          </w:p>
        </w:tc>
        <w:tc>
          <w:tcPr>
            <w:tcW w:w="1194" w:type="dxa"/>
            <w:tcBorders>
              <w:left w:val="single" w:sz="4" w:space="0" w:color="000000"/>
              <w:bottom w:val="single" w:sz="4" w:space="0" w:color="000000"/>
              <w:right w:val="single" w:sz="4" w:space="0" w:color="000000"/>
            </w:tcBorders>
          </w:tcPr>
          <w:p>
            <w:pPr>
              <w:pStyle w:val="Normal"/>
              <w:widowControl w:val="false"/>
              <w:jc w:val="center"/>
              <w:rPr/>
            </w:pPr>
            <w:r>
              <w:rPr/>
              <w:t>3500,00</w:t>
            </w:r>
          </w:p>
        </w:tc>
      </w:tr>
      <w:tr>
        <w:trPr/>
        <w:tc>
          <w:tcPr>
            <w:tcW w:w="619" w:type="dxa"/>
            <w:tcBorders>
              <w:left w:val="single" w:sz="4" w:space="0" w:color="000000"/>
              <w:bottom w:val="single" w:sz="4" w:space="0" w:color="000000"/>
              <w:right w:val="single" w:sz="4" w:space="0" w:color="000000"/>
            </w:tcBorders>
          </w:tcPr>
          <w:p>
            <w:pPr>
              <w:pStyle w:val="Normal"/>
              <w:widowControl w:val="false"/>
              <w:rPr/>
            </w:pPr>
            <w:r>
              <w:rPr/>
              <w:t>10.</w:t>
            </w:r>
          </w:p>
        </w:tc>
        <w:tc>
          <w:tcPr>
            <w:tcW w:w="5781" w:type="dxa"/>
            <w:tcBorders>
              <w:left w:val="single" w:sz="4" w:space="0" w:color="000000"/>
              <w:bottom w:val="single" w:sz="4" w:space="0" w:color="000000"/>
              <w:right w:val="single" w:sz="4" w:space="0" w:color="000000"/>
            </w:tcBorders>
          </w:tcPr>
          <w:p>
            <w:pPr>
              <w:pStyle w:val="Normal"/>
              <w:widowControl w:val="false"/>
              <w:tabs>
                <w:tab w:val="clear" w:pos="708"/>
                <w:tab w:val="left" w:pos="8085" w:leader="none"/>
              </w:tabs>
              <w:ind w:left="-45" w:right="-75" w:hanging="0"/>
              <w:rPr/>
            </w:pPr>
            <w:r>
              <w:rPr/>
              <w:t>Полировка кузова в сборе</w:t>
            </w:r>
          </w:p>
        </w:tc>
        <w:tc>
          <w:tcPr>
            <w:tcW w:w="1194" w:type="dxa"/>
            <w:tcBorders>
              <w:left w:val="single" w:sz="4" w:space="0" w:color="000000"/>
              <w:bottom w:val="single" w:sz="4" w:space="0" w:color="000000"/>
              <w:right w:val="single" w:sz="4" w:space="0" w:color="000000"/>
            </w:tcBorders>
          </w:tcPr>
          <w:p>
            <w:pPr>
              <w:pStyle w:val="Normal"/>
              <w:widowControl w:val="false"/>
              <w:jc w:val="center"/>
              <w:rPr/>
            </w:pPr>
            <w:r>
              <w:rPr/>
              <w:t>1000,00</w:t>
            </w:r>
          </w:p>
        </w:tc>
        <w:tc>
          <w:tcPr>
            <w:tcW w:w="962" w:type="dxa"/>
            <w:tcBorders>
              <w:left w:val="single" w:sz="4" w:space="0" w:color="000000"/>
              <w:bottom w:val="single" w:sz="4" w:space="0" w:color="000000"/>
            </w:tcBorders>
          </w:tcPr>
          <w:p>
            <w:pPr>
              <w:pStyle w:val="Normal"/>
              <w:widowControl w:val="false"/>
              <w:jc w:val="center"/>
              <w:rPr/>
            </w:pPr>
            <w:r>
              <w:rPr/>
              <w:t>16,0</w:t>
            </w:r>
          </w:p>
        </w:tc>
        <w:tc>
          <w:tcPr>
            <w:tcW w:w="1194" w:type="dxa"/>
            <w:tcBorders>
              <w:left w:val="single" w:sz="4" w:space="0" w:color="000000"/>
              <w:bottom w:val="single" w:sz="4" w:space="0" w:color="000000"/>
              <w:right w:val="single" w:sz="4" w:space="0" w:color="000000"/>
            </w:tcBorders>
          </w:tcPr>
          <w:p>
            <w:pPr>
              <w:pStyle w:val="Normal"/>
              <w:widowControl w:val="false"/>
              <w:jc w:val="center"/>
              <w:rPr/>
            </w:pPr>
            <w:r>
              <w:rPr/>
              <w:t>16000,00</w:t>
            </w:r>
          </w:p>
        </w:tc>
      </w:tr>
      <w:tr>
        <w:trPr/>
        <w:tc>
          <w:tcPr>
            <w:tcW w:w="619" w:type="dxa"/>
            <w:tcBorders>
              <w:left w:val="single" w:sz="4" w:space="0" w:color="000000"/>
              <w:bottom w:val="single" w:sz="4" w:space="0" w:color="000000"/>
              <w:right w:val="single" w:sz="4" w:space="0" w:color="000000"/>
            </w:tcBorders>
          </w:tcPr>
          <w:p>
            <w:pPr>
              <w:pStyle w:val="Normal"/>
              <w:widowControl w:val="false"/>
              <w:rPr/>
            </w:pPr>
            <w:r>
              <w:rPr/>
            </w:r>
          </w:p>
        </w:tc>
        <w:tc>
          <w:tcPr>
            <w:tcW w:w="5781" w:type="dxa"/>
            <w:tcBorders>
              <w:left w:val="single" w:sz="4" w:space="0" w:color="000000"/>
              <w:bottom w:val="single" w:sz="4" w:space="0" w:color="000000"/>
              <w:right w:val="single" w:sz="4" w:space="0" w:color="000000"/>
            </w:tcBorders>
          </w:tcPr>
          <w:p>
            <w:pPr>
              <w:pStyle w:val="Normal"/>
              <w:widowControl w:val="false"/>
              <w:tabs>
                <w:tab w:val="clear" w:pos="708"/>
                <w:tab w:val="left" w:pos="8085" w:leader="none"/>
              </w:tabs>
              <w:ind w:left="-45" w:right="-75" w:hanging="0"/>
              <w:jc w:val="center"/>
              <w:rPr>
                <w:b/>
                <w:bCs/>
              </w:rPr>
            </w:pPr>
            <w:r>
              <w:rPr>
                <w:b/>
                <w:bCs/>
              </w:rPr>
            </w:r>
          </w:p>
          <w:p>
            <w:pPr>
              <w:pStyle w:val="Normal"/>
              <w:widowControl w:val="false"/>
              <w:tabs>
                <w:tab w:val="clear" w:pos="708"/>
                <w:tab w:val="left" w:pos="8085" w:leader="none"/>
              </w:tabs>
              <w:ind w:left="-45" w:right="-75" w:hanging="0"/>
              <w:jc w:val="center"/>
              <w:rPr>
                <w:b/>
                <w:bCs/>
              </w:rPr>
            </w:pPr>
            <w:r>
              <w:rPr>
                <w:b/>
                <w:bCs/>
              </w:rPr>
              <w:t>Запасные части и материалы</w:t>
            </w:r>
          </w:p>
        </w:tc>
        <w:tc>
          <w:tcPr>
            <w:tcW w:w="1194" w:type="dxa"/>
            <w:tcBorders>
              <w:left w:val="single" w:sz="4" w:space="0" w:color="000000"/>
              <w:bottom w:val="single" w:sz="4" w:space="0" w:color="000000"/>
              <w:right w:val="single" w:sz="4" w:space="0" w:color="000000"/>
            </w:tcBorders>
          </w:tcPr>
          <w:p>
            <w:pPr>
              <w:pStyle w:val="Normal"/>
              <w:keepNext w:val="true"/>
              <w:widowControl w:val="false"/>
              <w:jc w:val="center"/>
              <w:rPr>
                <w:b/>
                <w:bCs/>
              </w:rPr>
            </w:pPr>
            <w:r>
              <w:rPr>
                <w:b/>
                <w:bCs/>
              </w:rPr>
              <w:t>Цена н/час (руб.)</w:t>
            </w:r>
          </w:p>
        </w:tc>
        <w:tc>
          <w:tcPr>
            <w:tcW w:w="962" w:type="dxa"/>
            <w:tcBorders>
              <w:left w:val="single" w:sz="4" w:space="0" w:color="000000"/>
              <w:bottom w:val="single" w:sz="4" w:space="0" w:color="000000"/>
            </w:tcBorders>
          </w:tcPr>
          <w:p>
            <w:pPr>
              <w:pStyle w:val="Normal"/>
              <w:widowControl w:val="false"/>
              <w:jc w:val="center"/>
              <w:rPr>
                <w:b/>
                <w:bCs/>
              </w:rPr>
            </w:pPr>
            <w:r>
              <w:rPr>
                <w:b/>
                <w:bCs/>
              </w:rPr>
              <w:t>Количество</w:t>
            </w:r>
          </w:p>
        </w:tc>
        <w:tc>
          <w:tcPr>
            <w:tcW w:w="1194" w:type="dxa"/>
            <w:tcBorders>
              <w:left w:val="single" w:sz="4" w:space="0" w:color="000000"/>
              <w:bottom w:val="single" w:sz="4" w:space="0" w:color="000000"/>
              <w:right w:val="single" w:sz="4" w:space="0" w:color="000000"/>
            </w:tcBorders>
          </w:tcPr>
          <w:p>
            <w:pPr>
              <w:pStyle w:val="Normal"/>
              <w:keepNext w:val="true"/>
              <w:widowControl w:val="false"/>
              <w:jc w:val="center"/>
              <w:rPr>
                <w:b/>
                <w:bCs/>
              </w:rPr>
            </w:pPr>
            <w:r>
              <w:rPr>
                <w:b/>
                <w:bCs/>
              </w:rPr>
              <w:t>Сумма (руб.)</w:t>
            </w:r>
          </w:p>
        </w:tc>
      </w:tr>
      <w:tr>
        <w:trPr/>
        <w:tc>
          <w:tcPr>
            <w:tcW w:w="619" w:type="dxa"/>
            <w:tcBorders>
              <w:left w:val="single" w:sz="4" w:space="0" w:color="000000"/>
              <w:bottom w:val="single" w:sz="4" w:space="0" w:color="000000"/>
              <w:right w:val="single" w:sz="4" w:space="0" w:color="000000"/>
            </w:tcBorders>
          </w:tcPr>
          <w:p>
            <w:pPr>
              <w:pStyle w:val="Normal"/>
              <w:widowControl w:val="false"/>
              <w:rPr/>
            </w:pPr>
            <w:r>
              <w:rPr/>
              <w:t>1.</w:t>
            </w:r>
          </w:p>
        </w:tc>
        <w:tc>
          <w:tcPr>
            <w:tcW w:w="5781" w:type="dxa"/>
            <w:tcBorders>
              <w:left w:val="single" w:sz="4" w:space="0" w:color="000000"/>
              <w:bottom w:val="single" w:sz="4" w:space="0" w:color="000000"/>
              <w:right w:val="single" w:sz="4" w:space="0" w:color="000000"/>
            </w:tcBorders>
          </w:tcPr>
          <w:p>
            <w:pPr>
              <w:pStyle w:val="Normal"/>
              <w:widowControl w:val="false"/>
              <w:tabs>
                <w:tab w:val="clear" w:pos="708"/>
                <w:tab w:val="left" w:pos="8085" w:leader="none"/>
              </w:tabs>
              <w:ind w:left="-45" w:right="-75" w:hanging="0"/>
              <w:rPr/>
            </w:pPr>
            <w:r>
              <w:rPr/>
              <w:t>Брызговик лонжерона TOYOTA CAMRY 11 — LEXUS ES 12 — передний правый</w:t>
            </w:r>
          </w:p>
        </w:tc>
        <w:tc>
          <w:tcPr>
            <w:tcW w:w="1194" w:type="dxa"/>
            <w:tcBorders>
              <w:left w:val="single" w:sz="4" w:space="0" w:color="000000"/>
              <w:bottom w:val="single" w:sz="4" w:space="0" w:color="000000"/>
              <w:right w:val="single" w:sz="4" w:space="0" w:color="000000"/>
            </w:tcBorders>
          </w:tcPr>
          <w:p>
            <w:pPr>
              <w:pStyle w:val="Normal"/>
              <w:widowControl w:val="false"/>
              <w:jc w:val="center"/>
              <w:rPr/>
            </w:pPr>
            <w:r>
              <w:rPr/>
              <w:t>8240,00</w:t>
            </w:r>
          </w:p>
        </w:tc>
        <w:tc>
          <w:tcPr>
            <w:tcW w:w="962" w:type="dxa"/>
            <w:tcBorders>
              <w:left w:val="single" w:sz="4" w:space="0" w:color="000000"/>
              <w:bottom w:val="single" w:sz="4" w:space="0" w:color="000000"/>
            </w:tcBorders>
          </w:tcPr>
          <w:p>
            <w:pPr>
              <w:pStyle w:val="Normal"/>
              <w:widowControl w:val="false"/>
              <w:jc w:val="center"/>
              <w:rPr/>
            </w:pPr>
            <w:r>
              <w:rPr/>
              <w:t>1</w:t>
            </w:r>
          </w:p>
        </w:tc>
        <w:tc>
          <w:tcPr>
            <w:tcW w:w="1194" w:type="dxa"/>
            <w:tcBorders>
              <w:left w:val="single" w:sz="4" w:space="0" w:color="000000"/>
              <w:bottom w:val="single" w:sz="4" w:space="0" w:color="000000"/>
              <w:right w:val="single" w:sz="4" w:space="0" w:color="000000"/>
            </w:tcBorders>
          </w:tcPr>
          <w:p>
            <w:pPr>
              <w:pStyle w:val="Normal"/>
              <w:widowControl w:val="false"/>
              <w:jc w:val="center"/>
              <w:rPr/>
            </w:pPr>
            <w:r>
              <w:rPr/>
              <w:t>8240,00</w:t>
            </w:r>
          </w:p>
        </w:tc>
      </w:tr>
      <w:tr>
        <w:trPr/>
        <w:tc>
          <w:tcPr>
            <w:tcW w:w="619" w:type="dxa"/>
            <w:tcBorders>
              <w:left w:val="single" w:sz="4" w:space="0" w:color="000000"/>
              <w:bottom w:val="single" w:sz="4" w:space="0" w:color="000000"/>
              <w:right w:val="single" w:sz="4" w:space="0" w:color="000000"/>
            </w:tcBorders>
          </w:tcPr>
          <w:p>
            <w:pPr>
              <w:pStyle w:val="Normal"/>
              <w:widowControl w:val="false"/>
              <w:rPr/>
            </w:pPr>
            <w:r>
              <w:rPr/>
              <w:t>2.</w:t>
            </w:r>
          </w:p>
        </w:tc>
        <w:tc>
          <w:tcPr>
            <w:tcW w:w="5781" w:type="dxa"/>
            <w:tcBorders>
              <w:left w:val="single" w:sz="4" w:space="0" w:color="000000"/>
              <w:bottom w:val="single" w:sz="4" w:space="0" w:color="000000"/>
              <w:right w:val="single" w:sz="4" w:space="0" w:color="000000"/>
            </w:tcBorders>
          </w:tcPr>
          <w:p>
            <w:pPr>
              <w:pStyle w:val="Normal"/>
              <w:widowControl w:val="false"/>
              <w:tabs>
                <w:tab w:val="clear" w:pos="708"/>
                <w:tab w:val="left" w:pos="8085" w:leader="none"/>
              </w:tabs>
              <w:ind w:left="-45" w:right="-75" w:hanging="0"/>
              <w:rPr/>
            </w:pPr>
            <w:r>
              <w:rPr/>
              <w:t>Брызговик лонжерона TOYOTA CAMRY 11 — LEXUS ES 12 — передний левый</w:t>
            </w:r>
          </w:p>
        </w:tc>
        <w:tc>
          <w:tcPr>
            <w:tcW w:w="1194" w:type="dxa"/>
            <w:tcBorders>
              <w:left w:val="single" w:sz="4" w:space="0" w:color="000000"/>
              <w:bottom w:val="single" w:sz="4" w:space="0" w:color="000000"/>
              <w:right w:val="single" w:sz="4" w:space="0" w:color="000000"/>
            </w:tcBorders>
          </w:tcPr>
          <w:p>
            <w:pPr>
              <w:pStyle w:val="Normal"/>
              <w:widowControl w:val="false"/>
              <w:jc w:val="center"/>
              <w:rPr/>
            </w:pPr>
            <w:r>
              <w:rPr/>
              <w:t>9370,00</w:t>
            </w:r>
          </w:p>
        </w:tc>
        <w:tc>
          <w:tcPr>
            <w:tcW w:w="962" w:type="dxa"/>
            <w:tcBorders>
              <w:left w:val="single" w:sz="4" w:space="0" w:color="000000"/>
              <w:bottom w:val="single" w:sz="4" w:space="0" w:color="000000"/>
            </w:tcBorders>
          </w:tcPr>
          <w:p>
            <w:pPr>
              <w:pStyle w:val="Normal"/>
              <w:widowControl w:val="false"/>
              <w:jc w:val="center"/>
              <w:rPr/>
            </w:pPr>
            <w:r>
              <w:rPr/>
              <w:t>1</w:t>
            </w:r>
          </w:p>
        </w:tc>
        <w:tc>
          <w:tcPr>
            <w:tcW w:w="1194" w:type="dxa"/>
            <w:tcBorders>
              <w:left w:val="single" w:sz="4" w:space="0" w:color="000000"/>
              <w:bottom w:val="single" w:sz="4" w:space="0" w:color="000000"/>
              <w:right w:val="single" w:sz="4" w:space="0" w:color="000000"/>
            </w:tcBorders>
          </w:tcPr>
          <w:p>
            <w:pPr>
              <w:pStyle w:val="Normal"/>
              <w:widowControl w:val="false"/>
              <w:jc w:val="center"/>
              <w:rPr/>
            </w:pPr>
            <w:r>
              <w:rPr/>
              <w:t>9370,00</w:t>
            </w:r>
          </w:p>
        </w:tc>
      </w:tr>
      <w:tr>
        <w:trPr/>
        <w:tc>
          <w:tcPr>
            <w:tcW w:w="619" w:type="dxa"/>
            <w:tcBorders>
              <w:left w:val="single" w:sz="4" w:space="0" w:color="000000"/>
              <w:bottom w:val="single" w:sz="4" w:space="0" w:color="000000"/>
              <w:right w:val="single" w:sz="4" w:space="0" w:color="000000"/>
            </w:tcBorders>
          </w:tcPr>
          <w:p>
            <w:pPr>
              <w:pStyle w:val="Normal"/>
              <w:widowControl w:val="false"/>
              <w:rPr/>
            </w:pPr>
            <w:r>
              <w:rPr/>
              <w:t>3.</w:t>
            </w:r>
          </w:p>
        </w:tc>
        <w:tc>
          <w:tcPr>
            <w:tcW w:w="5781" w:type="dxa"/>
            <w:tcBorders>
              <w:left w:val="single" w:sz="4" w:space="0" w:color="000000"/>
              <w:bottom w:val="single" w:sz="4" w:space="0" w:color="000000"/>
              <w:right w:val="single" w:sz="4" w:space="0" w:color="000000"/>
            </w:tcBorders>
          </w:tcPr>
          <w:p>
            <w:pPr>
              <w:pStyle w:val="Normal"/>
              <w:widowControl w:val="false"/>
              <w:tabs>
                <w:tab w:val="clear" w:pos="708"/>
                <w:tab w:val="left" w:pos="8085" w:leader="none"/>
              </w:tabs>
              <w:ind w:left="-45" w:right="-75" w:hanging="0"/>
              <w:rPr/>
            </w:pPr>
            <w:r>
              <w:rPr/>
              <w:t>Лакокрасочные материалы (ЛКМ)</w:t>
            </w:r>
          </w:p>
        </w:tc>
        <w:tc>
          <w:tcPr>
            <w:tcW w:w="1194" w:type="dxa"/>
            <w:tcBorders>
              <w:left w:val="single" w:sz="4" w:space="0" w:color="000000"/>
              <w:bottom w:val="single" w:sz="4" w:space="0" w:color="000000"/>
              <w:right w:val="single" w:sz="4" w:space="0" w:color="000000"/>
            </w:tcBorders>
          </w:tcPr>
          <w:p>
            <w:pPr>
              <w:pStyle w:val="Normal"/>
              <w:widowControl w:val="false"/>
              <w:jc w:val="center"/>
              <w:rPr/>
            </w:pPr>
            <w:r>
              <w:rPr/>
              <w:t>20500,00</w:t>
            </w:r>
          </w:p>
        </w:tc>
        <w:tc>
          <w:tcPr>
            <w:tcW w:w="962" w:type="dxa"/>
            <w:tcBorders>
              <w:left w:val="single" w:sz="4" w:space="0" w:color="000000"/>
              <w:bottom w:val="single" w:sz="4" w:space="0" w:color="000000"/>
            </w:tcBorders>
          </w:tcPr>
          <w:p>
            <w:pPr>
              <w:pStyle w:val="Normal"/>
              <w:widowControl w:val="false"/>
              <w:jc w:val="center"/>
              <w:rPr/>
            </w:pPr>
            <w:r>
              <w:rPr/>
              <w:t>1</w:t>
            </w:r>
          </w:p>
        </w:tc>
        <w:tc>
          <w:tcPr>
            <w:tcW w:w="1194" w:type="dxa"/>
            <w:tcBorders>
              <w:left w:val="single" w:sz="4" w:space="0" w:color="000000"/>
              <w:bottom w:val="single" w:sz="4" w:space="0" w:color="000000"/>
              <w:right w:val="single" w:sz="4" w:space="0" w:color="000000"/>
            </w:tcBorders>
          </w:tcPr>
          <w:p>
            <w:pPr>
              <w:pStyle w:val="Normal"/>
              <w:widowControl w:val="false"/>
              <w:jc w:val="center"/>
              <w:rPr/>
            </w:pPr>
            <w:r>
              <w:rPr/>
              <w:t>20500,00</w:t>
            </w:r>
          </w:p>
        </w:tc>
      </w:tr>
    </w:tbl>
    <w:p>
      <w:pPr>
        <w:pStyle w:val="Normal"/>
        <w:tabs>
          <w:tab w:val="clear" w:pos="708"/>
          <w:tab w:val="left" w:pos="1335" w:leader="none"/>
        </w:tabs>
        <w:jc w:val="center"/>
        <w:rPr>
          <w:b/>
          <w:lang w:val="ru-RU" w:eastAsia="en-US"/>
        </w:rPr>
      </w:pPr>
      <w:r>
        <w:rPr>
          <w:b/>
          <w:lang w:val="ru-RU" w:eastAsia="en-US"/>
        </w:rPr>
      </w:r>
    </w:p>
    <w:p>
      <w:pPr>
        <w:pStyle w:val="Normal"/>
        <w:ind w:left="6379" w:hanging="0"/>
        <w:jc w:val="right"/>
        <w:rPr>
          <w:lang w:val="ru-RU"/>
        </w:rPr>
      </w:pPr>
      <w:r>
        <w:rPr>
          <w:lang w:val="ru-RU"/>
        </w:rPr>
      </w:r>
    </w:p>
    <w:p>
      <w:pPr>
        <w:pStyle w:val="Normal"/>
        <w:rPr>
          <w:lang w:val="ru-RU"/>
        </w:rPr>
      </w:pPr>
      <w:r>
        <w:rPr>
          <w:lang w:val="ru-RU"/>
        </w:rPr>
      </w:r>
    </w:p>
    <w:tbl>
      <w:tblPr>
        <w:tblW w:w="19002" w:type="dxa"/>
        <w:jc w:val="left"/>
        <w:tblInd w:w="250" w:type="dxa"/>
        <w:tblLayout w:type="fixed"/>
        <w:tblCellMar>
          <w:top w:w="0" w:type="dxa"/>
          <w:left w:w="108" w:type="dxa"/>
          <w:bottom w:w="0" w:type="dxa"/>
          <w:right w:w="108" w:type="dxa"/>
        </w:tblCellMar>
        <w:tblLook w:val="01e0" w:noHBand="0" w:noVBand="0" w:firstColumn="1" w:lastRow="1" w:lastColumn="1" w:firstRow="1"/>
      </w:tblPr>
      <w:tblGrid>
        <w:gridCol w:w="4786"/>
        <w:gridCol w:w="4785"/>
        <w:gridCol w:w="4786"/>
        <w:gridCol w:w="4644"/>
      </w:tblGrid>
      <w:tr>
        <w:trPr/>
        <w:tc>
          <w:tcPr>
            <w:tcW w:w="4786" w:type="dxa"/>
            <w:tcBorders/>
          </w:tcPr>
          <w:p>
            <w:pPr>
              <w:pStyle w:val="Normal"/>
              <w:widowControl w:val="false"/>
              <w:rPr>
                <w:b/>
                <w:u w:val="single"/>
                <w:lang w:val="ru-RU"/>
              </w:rPr>
            </w:pPr>
            <w:r>
              <w:rPr>
                <w:b/>
                <w:u w:val="single"/>
                <w:lang w:val="ru-RU"/>
              </w:rPr>
              <w:t>Заказчик:</w:t>
            </w:r>
          </w:p>
          <w:p>
            <w:pPr>
              <w:pStyle w:val="Normal"/>
              <w:widowControl w:val="false"/>
              <w:rPr>
                <w:lang w:val="ru-RU"/>
              </w:rPr>
            </w:pPr>
            <w:r>
              <w:rPr>
                <w:lang w:val="ru-RU"/>
              </w:rPr>
            </w:r>
          </w:p>
          <w:p>
            <w:pPr>
              <w:pStyle w:val="Normal"/>
              <w:widowControl w:val="false"/>
              <w:rPr>
                <w:lang w:val="ru-RU"/>
              </w:rPr>
            </w:pPr>
            <w:r>
              <w:rPr>
                <w:lang w:val="ru-RU"/>
              </w:rPr>
              <w:t>Директор Жигулёвского филиала</w:t>
            </w:r>
          </w:p>
          <w:p>
            <w:pPr>
              <w:pStyle w:val="Normal"/>
              <w:widowControl w:val="false"/>
              <w:rPr>
                <w:lang w:val="ru-RU"/>
              </w:rPr>
            </w:pPr>
            <w:r>
              <w:rPr>
                <w:lang w:val="ru-RU"/>
              </w:rPr>
              <w:t>АО «Гидроремонт-ВКК» в г. Жигулёвск</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 / /</w:t>
            </w:r>
          </w:p>
          <w:p>
            <w:pPr>
              <w:pStyle w:val="Normal"/>
              <w:widowControl w:val="false"/>
              <w:rPr>
                <w:lang w:val="ru-RU"/>
              </w:rPr>
            </w:pPr>
            <w:r>
              <w:rPr>
                <w:lang w:val="ru-RU"/>
              </w:rPr>
              <w:t>м.п.</w:t>
            </w:r>
          </w:p>
        </w:tc>
        <w:tc>
          <w:tcPr>
            <w:tcW w:w="4785" w:type="dxa"/>
            <w:tcBorders/>
          </w:tcPr>
          <w:p>
            <w:pPr>
              <w:pStyle w:val="Normal"/>
              <w:widowControl w:val="false"/>
              <w:rPr>
                <w:b/>
                <w:u w:val="single"/>
                <w:lang w:val="ru-RU"/>
              </w:rPr>
            </w:pPr>
            <w:r>
              <w:rPr>
                <w:b/>
                <w:u w:val="single"/>
                <w:lang w:val="ru-RU"/>
              </w:rPr>
              <w:t>Исполнитель:</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 / /</w:t>
            </w:r>
          </w:p>
          <w:p>
            <w:pPr>
              <w:pStyle w:val="Normal"/>
              <w:widowControl w:val="false"/>
              <w:rPr>
                <w:lang w:val="ru-RU"/>
              </w:rPr>
            </w:pPr>
            <w:r>
              <w:rPr>
                <w:lang w:val="ru-RU"/>
              </w:rPr>
              <w:t>м.п.</w:t>
            </w:r>
          </w:p>
        </w:tc>
        <w:tc>
          <w:tcPr>
            <w:tcW w:w="4786" w:type="dxa"/>
            <w:tcBorders/>
          </w:tcPr>
          <w:p>
            <w:pPr>
              <w:pStyle w:val="Normal"/>
              <w:widowControl w:val="false"/>
              <w:spacing w:lineRule="auto" w:line="276"/>
              <w:ind w:left="-108" w:hanging="0"/>
              <w:rPr>
                <w:lang w:val="ru-RU" w:eastAsia="en-US"/>
              </w:rPr>
            </w:pPr>
            <w:r>
              <w:rPr>
                <w:lang w:val="ru-RU" w:eastAsia="en-US"/>
              </w:rPr>
            </w:r>
          </w:p>
        </w:tc>
        <w:tc>
          <w:tcPr>
            <w:tcW w:w="4644" w:type="dxa"/>
            <w:tcBorders/>
          </w:tcPr>
          <w:p>
            <w:pPr>
              <w:pStyle w:val="Normal"/>
              <w:widowControl w:val="false"/>
              <w:spacing w:lineRule="auto" w:line="276"/>
              <w:rPr>
                <w:lang w:val="ru-RU" w:eastAsia="en-US"/>
              </w:rPr>
            </w:pPr>
            <w:r>
              <w:rPr>
                <w:lang w:val="ru-RU" w:eastAsia="en-US"/>
              </w:rPr>
            </w:r>
          </w:p>
        </w:tc>
      </w:tr>
    </w:tbl>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r>
    </w:p>
    <w:sectPr>
      <w:footerReference w:type="default" r:id="rId3"/>
      <w:footnotePr>
        <w:numFmt w:val="decimal"/>
      </w:footnotePr>
      <w:type w:val="nextPage"/>
      <w:pgSz w:w="11906" w:h="16838"/>
      <w:pgMar w:left="1418" w:right="567" w:gutter="0" w:header="0" w:top="851"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onsolas">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95563649"/>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8"/>
        </w:rPr>
        <w:footnoteRef/>
      </w:r>
      <w:r>
        <w:rPr/>
        <w:t xml:space="preserve"> </w:t>
      </w:r>
      <w:r>
        <w:rPr/>
        <w:t>Соглашению и т.п.</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2"/>
        <w:sz w:val="22"/>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2"/>
        <w:sz w:val="22"/>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1141" w:hanging="432"/>
      </w:pPr>
      <w:rPr>
        <w:b w:val="false"/>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7">
    <w:lvl w:ilvl="0">
      <w:start w:val="1"/>
      <w:numFmt w:val="decimal"/>
      <w:lvlText w:val="%1."/>
      <w:lvlJc w:val="left"/>
      <w:pPr>
        <w:tabs>
          <w:tab w:val="num" w:pos="0"/>
        </w:tabs>
        <w:ind w:left="720" w:hanging="360"/>
      </w:pPr>
      <w:rPr/>
    </w:lvl>
    <w:lvl w:ilvl="1">
      <w:start w:val="1"/>
      <w:numFmt w:val="decimal"/>
      <w:lvlText w:val="%1.%2."/>
      <w:lvlJc w:val="left"/>
      <w:pPr>
        <w:tabs>
          <w:tab w:val="num" w:pos="0"/>
        </w:tabs>
        <w:ind w:left="1080" w:hanging="720"/>
      </w:pPr>
      <w:rPr>
        <w:color w:val="auto"/>
      </w:rPr>
    </w:lvl>
    <w:lvl w:ilvl="2">
      <w:start w:val="1"/>
      <w:numFmt w:val="decimal"/>
      <w:lvlText w:val="%1.%2.%3."/>
      <w:lvlJc w:val="left"/>
      <w:pPr>
        <w:tabs>
          <w:tab w:val="num" w:pos="0"/>
        </w:tabs>
        <w:ind w:left="1080" w:hanging="720"/>
      </w:pPr>
      <w:rPr>
        <w:color w:val="365F91" w:themeColor="accent1" w:themeShade="bf"/>
      </w:rPr>
    </w:lvl>
    <w:lvl w:ilvl="3">
      <w:start w:val="1"/>
      <w:numFmt w:val="decimal"/>
      <w:lvlText w:val="%1.%2.%3.%4."/>
      <w:lvlJc w:val="left"/>
      <w:pPr>
        <w:tabs>
          <w:tab w:val="num" w:pos="0"/>
        </w:tabs>
        <w:ind w:left="1440" w:hanging="1080"/>
      </w:pPr>
      <w:rPr>
        <w:color w:val="365F91" w:themeColor="accent1" w:themeShade="bf"/>
      </w:rPr>
    </w:lvl>
    <w:lvl w:ilvl="4">
      <w:start w:val="1"/>
      <w:numFmt w:val="decimal"/>
      <w:lvlText w:val="%1.%2.%3.%4.%5."/>
      <w:lvlJc w:val="left"/>
      <w:pPr>
        <w:tabs>
          <w:tab w:val="num" w:pos="0"/>
        </w:tabs>
        <w:ind w:left="1440" w:hanging="1080"/>
      </w:pPr>
      <w:rPr>
        <w:color w:val="365F91" w:themeColor="accent1" w:themeShade="bf"/>
      </w:rPr>
    </w:lvl>
    <w:lvl w:ilvl="5">
      <w:start w:val="1"/>
      <w:numFmt w:val="decimal"/>
      <w:lvlText w:val="%1.%2.%3.%4.%5.%6."/>
      <w:lvlJc w:val="left"/>
      <w:pPr>
        <w:tabs>
          <w:tab w:val="num" w:pos="0"/>
        </w:tabs>
        <w:ind w:left="1800" w:hanging="1440"/>
      </w:pPr>
      <w:rPr>
        <w:color w:val="365F91" w:themeColor="accent1" w:themeShade="bf"/>
      </w:rPr>
    </w:lvl>
    <w:lvl w:ilvl="6">
      <w:start w:val="1"/>
      <w:numFmt w:val="decimal"/>
      <w:lvlText w:val="%1.%2.%3.%4.%5.%6.%7."/>
      <w:lvlJc w:val="left"/>
      <w:pPr>
        <w:tabs>
          <w:tab w:val="num" w:pos="0"/>
        </w:tabs>
        <w:ind w:left="1800" w:hanging="1440"/>
      </w:pPr>
      <w:rPr>
        <w:color w:val="365F91" w:themeColor="accent1" w:themeShade="bf"/>
      </w:rPr>
    </w:lvl>
    <w:lvl w:ilvl="7">
      <w:start w:val="1"/>
      <w:numFmt w:val="decimal"/>
      <w:lvlText w:val="%1.%2.%3.%4.%5.%6.%7.%8."/>
      <w:lvlJc w:val="left"/>
      <w:pPr>
        <w:tabs>
          <w:tab w:val="num" w:pos="0"/>
        </w:tabs>
        <w:ind w:left="2160" w:hanging="1800"/>
      </w:pPr>
      <w:rPr>
        <w:color w:val="365F91" w:themeColor="accent1" w:themeShade="bf"/>
      </w:rPr>
    </w:lvl>
    <w:lvl w:ilvl="8">
      <w:start w:val="1"/>
      <w:numFmt w:val="decimal"/>
      <w:lvlText w:val="%1.%2.%3.%4.%5.%6.%7.%8.%9."/>
      <w:lvlJc w:val="left"/>
      <w:pPr>
        <w:tabs>
          <w:tab w:val="num" w:pos="0"/>
        </w:tabs>
        <w:ind w:left="2160" w:hanging="1800"/>
      </w:pPr>
      <w:rPr>
        <w:color w:val="365F91" w:themeColor="accent1" w:themeShade="bf"/>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1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0"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d497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link w:val="1"/>
    <w:qFormat/>
    <w:rsid w:val="00ad497d"/>
    <w:pPr>
      <w:keepNext w:val="true"/>
      <w:keepLines/>
      <w:pageBreakBefore/>
      <w:numPr>
        <w:ilvl w:val="0"/>
        <w:numId w:val="1"/>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link w:val="2"/>
    <w:qFormat/>
    <w:rsid w:val="00ad497d"/>
    <w:pPr>
      <w:keepNext w:val="true"/>
      <w:numPr>
        <w:ilvl w:val="1"/>
        <w:numId w:val="1"/>
      </w:numPr>
      <w:suppressAutoHyphens w:val="true"/>
      <w:spacing w:before="360" w:after="120"/>
      <w:outlineLvl w:val="1"/>
    </w:pPr>
    <w:rPr>
      <w:b/>
      <w:bCs/>
      <w:smallCaps/>
      <w:sz w:val="32"/>
      <w:szCs w:val="28"/>
      <w:lang w:val="ru-RU"/>
    </w:rPr>
  </w:style>
  <w:style w:type="paragraph" w:styleId="Heading3">
    <w:name w:val="Heading 3"/>
    <w:basedOn w:val="Normal"/>
    <w:next w:val="Normal"/>
    <w:link w:val="3"/>
    <w:qFormat/>
    <w:rsid w:val="00ad497d"/>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1"/>
    <w:uiPriority w:val="9"/>
    <w:semiHidden/>
    <w:unhideWhenUsed/>
    <w:qFormat/>
    <w:rsid w:val="006f0824"/>
    <w:pPr>
      <w:keepNext w:val="true"/>
      <w:keepLines/>
      <w:spacing w:before="40" w:after="0"/>
      <w:outlineLvl w:val="3"/>
    </w:pPr>
    <w:rPr>
      <w:rFonts w:ascii="Cambria" w:hAnsi="Cambria" w:eastAsia="" w:cs="" w:asciiTheme="majorHAnsi" w:cstheme="majorBidi" w:eastAsiaTheme="majorEastAsia" w:hAnsiTheme="majorHAnsi"/>
      <w:i/>
      <w:iCs/>
      <w:color w:val="365F91" w:themeColor="accent1" w:themeShade="bf"/>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ad497d"/>
    <w:rPr>
      <w:rFonts w:ascii="Arial" w:hAnsi="Arial" w:eastAsia="Times New Roman" w:cs="Arial"/>
      <w:b/>
      <w:bCs/>
      <w:caps/>
      <w:kern w:val="2"/>
      <w:sz w:val="36"/>
      <w:szCs w:val="36"/>
      <w:lang w:eastAsia="ru-RU"/>
    </w:rPr>
  </w:style>
  <w:style w:type="character" w:styleId="2" w:customStyle="1">
    <w:name w:val="Заголовок 2 Знак"/>
    <w:basedOn w:val="DefaultParagraphFont"/>
    <w:qFormat/>
    <w:rsid w:val="00ad497d"/>
    <w:rPr>
      <w:rFonts w:ascii="Times New Roman" w:hAnsi="Times New Roman" w:eastAsia="Times New Roman" w:cs="Times New Roman"/>
      <w:b/>
      <w:bCs/>
      <w:smallCaps/>
      <w:sz w:val="32"/>
      <w:szCs w:val="28"/>
      <w:lang w:eastAsia="ru-RU"/>
    </w:rPr>
  </w:style>
  <w:style w:type="character" w:styleId="3" w:customStyle="1">
    <w:name w:val="Заголовок 3 Знак"/>
    <w:basedOn w:val="DefaultParagraphFont"/>
    <w:qFormat/>
    <w:rsid w:val="00ad497d"/>
    <w:rPr>
      <w:rFonts w:ascii="Cambria" w:hAnsi="Cambria" w:eastAsia="Times New Roman" w:cs="Times New Roman"/>
      <w:b/>
      <w:bCs/>
      <w:color w:val="4F81BD"/>
      <w:sz w:val="24"/>
      <w:szCs w:val="24"/>
      <w:lang w:val="en-GB" w:eastAsia="x-none"/>
    </w:rPr>
  </w:style>
  <w:style w:type="character" w:styleId="Style5" w:customStyle="1">
    <w:name w:val="Текст Знак"/>
    <w:basedOn w:val="DefaultParagraphFont"/>
    <w:link w:val="PlainText"/>
    <w:qFormat/>
    <w:rsid w:val="00ad497d"/>
    <w:rPr>
      <w:rFonts w:ascii="Consolas" w:hAnsi="Consolas" w:eastAsia="Calibri" w:cs="Times New Roman"/>
      <w:sz w:val="21"/>
      <w:szCs w:val="21"/>
      <w:lang w:val="en-GB"/>
    </w:rPr>
  </w:style>
  <w:style w:type="character" w:styleId="Style6" w:customStyle="1">
    <w:name w:val="Основной текст Знак"/>
    <w:basedOn w:val="DefaultParagraphFont"/>
    <w:qFormat/>
    <w:rsid w:val="00ad497d"/>
    <w:rPr>
      <w:rFonts w:ascii="Times New Roman" w:hAnsi="Times New Roman" w:eastAsia="Times New Roman" w:cs="Times New Roman"/>
      <w:sz w:val="28"/>
      <w:szCs w:val="28"/>
      <w:lang w:val="x-none" w:eastAsia="x-none"/>
    </w:rPr>
  </w:style>
  <w:style w:type="character" w:styleId="Style7" w:customStyle="1">
    <w:name w:val="Текст сноски Знак"/>
    <w:basedOn w:val="DefaultParagraphFont"/>
    <w:uiPriority w:val="99"/>
    <w:qFormat/>
    <w:rsid w:val="00ad497d"/>
    <w:rPr>
      <w:rFonts w:ascii="Times New Roman" w:hAnsi="Times New Roman" w:eastAsia="Times New Roman" w:cs="Times New Roman"/>
      <w:sz w:val="20"/>
      <w:szCs w:val="20"/>
      <w:lang w:val="en-GB" w:eastAsia="x-none"/>
    </w:rPr>
  </w:style>
  <w:style w:type="character" w:styleId="Style8">
    <w:name w:val="Символ сноски"/>
    <w:uiPriority w:val="99"/>
    <w:qFormat/>
    <w:rsid w:val="00ad497d"/>
    <w:rPr>
      <w:vertAlign w:val="superscript"/>
    </w:rPr>
  </w:style>
  <w:style w:type="character" w:styleId="FootnoteReference">
    <w:name w:val="Footnote Reference"/>
    <w:rPr>
      <w:vertAlign w:val="superscript"/>
    </w:rPr>
  </w:style>
  <w:style w:type="character" w:styleId="Style9" w:customStyle="1">
    <w:name w:val="Текст выноски Знак"/>
    <w:basedOn w:val="DefaultParagraphFont"/>
    <w:link w:val="BalloonText"/>
    <w:semiHidden/>
    <w:qFormat/>
    <w:rsid w:val="00ad497d"/>
    <w:rPr>
      <w:rFonts w:ascii="Tahoma" w:hAnsi="Tahoma" w:eastAsia="Times New Roman" w:cs="Tahoma"/>
      <w:sz w:val="16"/>
      <w:szCs w:val="16"/>
      <w:lang w:val="en-GB" w:eastAsia="ru-RU"/>
    </w:rPr>
  </w:style>
  <w:style w:type="character" w:styleId="31" w:customStyle="1">
    <w:name w:val="Основной текст 3 Знак"/>
    <w:basedOn w:val="DefaultParagraphFont"/>
    <w:link w:val="BodyText3"/>
    <w:qFormat/>
    <w:rsid w:val="00ad497d"/>
    <w:rPr>
      <w:rFonts w:ascii="Times New Roman" w:hAnsi="Times New Roman" w:eastAsia="Times New Roman" w:cs="Times New Roman"/>
      <w:sz w:val="16"/>
      <w:szCs w:val="16"/>
      <w:lang w:val="en-GB" w:eastAsia="x-none"/>
    </w:rPr>
  </w:style>
  <w:style w:type="character" w:styleId="Annotationreference">
    <w:name w:val="annotation reference"/>
    <w:qFormat/>
    <w:rsid w:val="00ad497d"/>
    <w:rPr>
      <w:sz w:val="16"/>
      <w:szCs w:val="16"/>
    </w:rPr>
  </w:style>
  <w:style w:type="character" w:styleId="Style10" w:customStyle="1">
    <w:name w:val="Текст примечания Знак"/>
    <w:basedOn w:val="DefaultParagraphFont"/>
    <w:link w:val="Annotationtext"/>
    <w:uiPriority w:val="99"/>
    <w:qFormat/>
    <w:rsid w:val="00ad497d"/>
    <w:rPr>
      <w:rFonts w:ascii="Times New Roman" w:hAnsi="Times New Roman" w:eastAsia="Times New Roman" w:cs="Times New Roman"/>
      <w:sz w:val="20"/>
      <w:szCs w:val="20"/>
      <w:lang w:val="en-GB" w:eastAsia="x-none"/>
    </w:rPr>
  </w:style>
  <w:style w:type="character" w:styleId="Style11" w:customStyle="1">
    <w:name w:val="Тема примечания Знак"/>
    <w:basedOn w:val="Style10"/>
    <w:link w:val="Annotationsubject"/>
    <w:qFormat/>
    <w:rsid w:val="00ad497d"/>
    <w:rPr>
      <w:rFonts w:ascii="Times New Roman" w:hAnsi="Times New Roman" w:eastAsia="Times New Roman" w:cs="Times New Roman"/>
      <w:b/>
      <w:bCs/>
      <w:sz w:val="20"/>
      <w:szCs w:val="20"/>
      <w:lang w:val="en-GB" w:eastAsia="x-none"/>
    </w:rPr>
  </w:style>
  <w:style w:type="character" w:styleId="32" w:customStyle="1">
    <w:name w:val="Основной текст с отступом 3 Знак"/>
    <w:basedOn w:val="DefaultParagraphFont"/>
    <w:link w:val="BodyTextIndent3"/>
    <w:qFormat/>
    <w:rsid w:val="00ad497d"/>
    <w:rPr>
      <w:rFonts w:ascii="Times New Roman" w:hAnsi="Times New Roman" w:eastAsia="Times New Roman" w:cs="Times New Roman"/>
      <w:sz w:val="16"/>
      <w:szCs w:val="16"/>
      <w:lang w:val="x-none" w:eastAsia="x-none"/>
    </w:rPr>
  </w:style>
  <w:style w:type="character" w:styleId="Style12" w:customStyle="1">
    <w:name w:val="Заголовок Знак"/>
    <w:basedOn w:val="DefaultParagraphFont"/>
    <w:qFormat/>
    <w:rsid w:val="00ad497d"/>
    <w:rPr>
      <w:rFonts w:ascii="Times New Roman" w:hAnsi="Times New Roman" w:eastAsia="Times New Roman" w:cs="Times New Roman"/>
      <w:b/>
      <w:bCs/>
      <w:sz w:val="24"/>
      <w:szCs w:val="24"/>
      <w:lang w:val="x-none" w:eastAsia="x-none"/>
    </w:rPr>
  </w:style>
  <w:style w:type="character" w:styleId="Style13" w:customStyle="1">
    <w:name w:val="Верхний колонтитул Знак"/>
    <w:basedOn w:val="DefaultParagraphFont"/>
    <w:qFormat/>
    <w:rsid w:val="00ad497d"/>
    <w:rPr>
      <w:rFonts w:ascii="Times New Roman" w:hAnsi="Times New Roman" w:eastAsia="Times New Roman" w:cs="Times New Roman"/>
      <w:sz w:val="24"/>
      <w:szCs w:val="24"/>
      <w:lang w:val="en-GB" w:eastAsia="x-none"/>
    </w:rPr>
  </w:style>
  <w:style w:type="character" w:styleId="Style14" w:customStyle="1">
    <w:name w:val="Нижний колонтитул Знак"/>
    <w:basedOn w:val="DefaultParagraphFont"/>
    <w:uiPriority w:val="99"/>
    <w:qFormat/>
    <w:rsid w:val="00ad497d"/>
    <w:rPr>
      <w:rFonts w:ascii="Times New Roman" w:hAnsi="Times New Roman" w:eastAsia="Times New Roman" w:cs="Times New Roman"/>
      <w:sz w:val="24"/>
      <w:szCs w:val="24"/>
      <w:lang w:val="en-GB" w:eastAsia="x-none"/>
    </w:rPr>
  </w:style>
  <w:style w:type="character" w:styleId="21" w:customStyle="1">
    <w:name w:val="Основной текст 2 Знак"/>
    <w:basedOn w:val="DefaultParagraphFont"/>
    <w:link w:val="BodyText2"/>
    <w:qFormat/>
    <w:rsid w:val="00ad497d"/>
    <w:rPr>
      <w:rFonts w:ascii="Times New Roman" w:hAnsi="Times New Roman" w:eastAsia="Times New Roman" w:cs="Times New Roman"/>
      <w:sz w:val="24"/>
      <w:szCs w:val="24"/>
      <w:lang w:val="x-none" w:eastAsia="x-none"/>
    </w:rPr>
  </w:style>
  <w:style w:type="character" w:styleId="Style15" w:customStyle="1">
    <w:name w:val="Основной текст с отступом Знак"/>
    <w:basedOn w:val="DefaultParagraphFont"/>
    <w:qFormat/>
    <w:rsid w:val="00ad497d"/>
    <w:rPr>
      <w:rFonts w:ascii="Times New Roman" w:hAnsi="Times New Roman" w:eastAsia="Times New Roman" w:cs="Times New Roman"/>
      <w:sz w:val="24"/>
      <w:szCs w:val="24"/>
      <w:lang w:val="x-none" w:eastAsia="x-none"/>
    </w:rPr>
  </w:style>
  <w:style w:type="character" w:styleId="Strong">
    <w:name w:val="Strong"/>
    <w:qFormat/>
    <w:rsid w:val="00ad497d"/>
    <w:rPr>
      <w:b/>
      <w:bCs/>
    </w:rPr>
  </w:style>
  <w:style w:type="character" w:styleId="Hyperlink">
    <w:name w:val="Hyperlink"/>
    <w:unhideWhenUsed/>
    <w:rsid w:val="00ad497d"/>
    <w:rPr>
      <w:color w:val="0000FF"/>
      <w:u w:val="single"/>
    </w:rPr>
  </w:style>
  <w:style w:type="character" w:styleId="FollowedHyperlink">
    <w:name w:val="FollowedHyperlink"/>
    <w:rsid w:val="00ad497d"/>
    <w:rPr>
      <w:color w:val="800080"/>
      <w:u w:val="single"/>
    </w:rPr>
  </w:style>
  <w:style w:type="character" w:styleId="33" w:customStyle="1">
    <w:name w:val="3. Подпункт Знак"/>
    <w:link w:val="34"/>
    <w:qFormat/>
    <w:rsid w:val="00ad497d"/>
    <w:rPr>
      <w:rFonts w:ascii="Times New Roman" w:hAnsi="Times New Roman" w:eastAsia="Times New Roman" w:cs="Times New Roman"/>
      <w:b/>
      <w:bCs/>
      <w:sz w:val="24"/>
      <w:szCs w:val="24"/>
      <w:lang w:val="x-none" w:eastAsia="x-none"/>
    </w:rPr>
  </w:style>
  <w:style w:type="character" w:styleId="Style16" w:customStyle="1">
    <w:name w:val="Абзац списка Знак"/>
    <w:link w:val="ListParagraph"/>
    <w:uiPriority w:val="34"/>
    <w:qFormat/>
    <w:locked/>
    <w:rsid w:val="001e147f"/>
    <w:rPr>
      <w:rFonts w:ascii="Times New Roman" w:hAnsi="Times New Roman" w:eastAsia="Times New Roman" w:cs="Times New Roman"/>
      <w:sz w:val="24"/>
      <w:szCs w:val="24"/>
      <w:lang w:eastAsia="ru-RU"/>
    </w:rPr>
  </w:style>
  <w:style w:type="character" w:styleId="4" w:customStyle="1">
    <w:name w:val="4. Отчерк Знак"/>
    <w:link w:val="42"/>
    <w:qFormat/>
    <w:rsid w:val="003f3448"/>
    <w:rPr>
      <w:rFonts w:ascii="Times New Roman" w:hAnsi="Times New Roman" w:eastAsia="Times New Roman" w:cs="Times New Roman"/>
      <w:sz w:val="24"/>
      <w:szCs w:val="24"/>
      <w:lang w:val="x-none" w:eastAsia="x-none"/>
    </w:rPr>
  </w:style>
  <w:style w:type="character" w:styleId="41" w:customStyle="1">
    <w:name w:val="Заголовок 4 Знак"/>
    <w:basedOn w:val="DefaultParagraphFont"/>
    <w:uiPriority w:val="9"/>
    <w:semiHidden/>
    <w:qFormat/>
    <w:rsid w:val="006f0824"/>
    <w:rPr>
      <w:rFonts w:ascii="Cambria" w:hAnsi="Cambria" w:eastAsia="" w:cs="" w:asciiTheme="majorHAnsi" w:cstheme="majorBidi" w:eastAsiaTheme="majorEastAsia" w:hAnsiTheme="majorHAnsi"/>
      <w:i/>
      <w:iCs/>
      <w:color w:val="365F91" w:themeColor="accent1" w:themeShade="bf"/>
      <w:sz w:val="24"/>
      <w:szCs w:val="24"/>
      <w:lang w:val="en-GB" w:eastAsia="ru-RU"/>
    </w:rPr>
  </w:style>
  <w:style w:type="character" w:styleId="Style17" w:customStyle="1">
    <w:name w:val="комментарий"/>
    <w:qFormat/>
    <w:rsid w:val="006f0824"/>
    <w:rPr>
      <w:b/>
      <w:i/>
      <w:shd w:fill="FFFF99" w:val="clea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ad497d"/>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11" w:customStyle="1">
    <w:name w:val="Знак Знак Знак Знак Знак Знак Знак Знак Знак1"/>
    <w:basedOn w:val="Normal"/>
    <w:qFormat/>
    <w:rsid w:val="00ad497d"/>
    <w:pPr>
      <w:spacing w:lineRule="exact" w:line="240" w:before="0" w:after="160"/>
      <w:jc w:val="both"/>
    </w:pPr>
    <w:rPr>
      <w:rFonts w:ascii="Verdana" w:hAnsi="Verdana"/>
      <w:sz w:val="22"/>
      <w:szCs w:val="20"/>
      <w:lang w:val="en-US" w:eastAsia="en-US"/>
    </w:rPr>
  </w:style>
  <w:style w:type="paragraph" w:styleId="12" w:customStyle="1">
    <w:name w:val="Обычный1"/>
    <w:qFormat/>
    <w:rsid w:val="00ad497d"/>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link w:val="Style5"/>
    <w:unhideWhenUsed/>
    <w:qFormat/>
    <w:rsid w:val="00ad497d"/>
    <w:pPr/>
    <w:rPr>
      <w:rFonts w:ascii="Consolas" w:hAnsi="Consolas" w:eastAsia="Calibri"/>
      <w:sz w:val="21"/>
      <w:szCs w:val="21"/>
      <w:lang w:eastAsia="en-US"/>
    </w:rPr>
  </w:style>
  <w:style w:type="paragraph" w:styleId="Style21" w:customStyle="1">
    <w:name w:val="Подпункт договора"/>
    <w:basedOn w:val="Normal"/>
    <w:qFormat/>
    <w:rsid w:val="00ad497d"/>
    <w:pPr>
      <w:tabs>
        <w:tab w:val="clear" w:pos="708"/>
        <w:tab w:val="left" w:pos="360" w:leader="none"/>
      </w:tabs>
      <w:jc w:val="both"/>
    </w:pPr>
    <w:rPr>
      <w:rFonts w:ascii="Arial" w:hAnsi="Arial"/>
      <w:sz w:val="20"/>
      <w:szCs w:val="20"/>
      <w:lang w:val="ru-RU"/>
    </w:rPr>
  </w:style>
  <w:style w:type="paragraph" w:styleId="Style22" w:customStyle="1">
    <w:name w:val="Пункт"/>
    <w:basedOn w:val="Normal"/>
    <w:qFormat/>
    <w:rsid w:val="00ad497d"/>
    <w:pPr>
      <w:numPr>
        <w:ilvl w:val="2"/>
        <w:numId w:val="1"/>
      </w:numPr>
      <w:jc w:val="both"/>
    </w:pPr>
    <w:rPr>
      <w:sz w:val="28"/>
      <w:lang w:val="ru-RU"/>
    </w:rPr>
  </w:style>
  <w:style w:type="paragraph" w:styleId="Style23" w:customStyle="1">
    <w:name w:val="Подпункт"/>
    <w:basedOn w:val="Style22"/>
    <w:qFormat/>
    <w:rsid w:val="00ad497d"/>
    <w:pPr>
      <w:numPr>
        <w:ilvl w:val="3"/>
      </w:numPr>
    </w:pPr>
    <w:rPr/>
  </w:style>
  <w:style w:type="paragraph" w:styleId="Style24" w:customStyle="1">
    <w:name w:val="Подподпункт"/>
    <w:basedOn w:val="Style23"/>
    <w:qFormat/>
    <w:rsid w:val="00ad497d"/>
    <w:pPr>
      <w:numPr>
        <w:ilvl w:val="4"/>
      </w:numPr>
    </w:pPr>
    <w:rPr/>
  </w:style>
  <w:style w:type="paragraph" w:styleId="Style25" w:customStyle="1">
    <w:name w:val="Пункт договора"/>
    <w:basedOn w:val="Normal"/>
    <w:qFormat/>
    <w:rsid w:val="00ad497d"/>
    <w:pPr>
      <w:widowControl w:val="false"/>
      <w:jc w:val="both"/>
    </w:pPr>
    <w:rPr>
      <w:rFonts w:ascii="Arial" w:hAnsi="Arial"/>
      <w:sz w:val="20"/>
      <w:szCs w:val="20"/>
      <w:lang w:val="ru-RU"/>
    </w:rPr>
  </w:style>
  <w:style w:type="paragraph" w:styleId="Style26" w:customStyle="1">
    <w:name w:val="Знак"/>
    <w:basedOn w:val="Normal"/>
    <w:qFormat/>
    <w:rsid w:val="00ad497d"/>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7"/>
    <w:uiPriority w:val="99"/>
    <w:rsid w:val="00ad497d"/>
    <w:pPr/>
    <w:rPr>
      <w:sz w:val="20"/>
      <w:szCs w:val="20"/>
      <w:lang w:eastAsia="x-none"/>
    </w:rPr>
  </w:style>
  <w:style w:type="paragraph" w:styleId="Style27" w:customStyle="1">
    <w:name w:val="Раздел договора"/>
    <w:basedOn w:val="Normal"/>
    <w:next w:val="Style25"/>
    <w:qFormat/>
    <w:rsid w:val="00ad497d"/>
    <w:pPr>
      <w:keepNext w:val="true"/>
      <w:keepLines/>
      <w:widowControl w:val="false"/>
      <w:spacing w:before="240" w:after="200"/>
    </w:pPr>
    <w:rPr>
      <w:rFonts w:ascii="Arial" w:hAnsi="Arial"/>
      <w:b/>
      <w:caps/>
      <w:sz w:val="20"/>
      <w:szCs w:val="20"/>
      <w:lang w:val="ru-RU"/>
    </w:rPr>
  </w:style>
  <w:style w:type="paragraph" w:styleId="BalloonText">
    <w:name w:val="Balloon Text"/>
    <w:basedOn w:val="Normal"/>
    <w:link w:val="Style9"/>
    <w:semiHidden/>
    <w:qFormat/>
    <w:rsid w:val="00ad497d"/>
    <w:pPr/>
    <w:rPr>
      <w:rFonts w:ascii="Tahoma" w:hAnsi="Tahoma" w:cs="Tahoma"/>
      <w:sz w:val="16"/>
      <w:szCs w:val="16"/>
    </w:rPr>
  </w:style>
  <w:style w:type="paragraph" w:styleId="BodyText3">
    <w:name w:val="Body Text 3"/>
    <w:basedOn w:val="Normal"/>
    <w:link w:val="31"/>
    <w:qFormat/>
    <w:rsid w:val="00ad497d"/>
    <w:pPr>
      <w:spacing w:before="0" w:after="120"/>
    </w:pPr>
    <w:rPr>
      <w:sz w:val="16"/>
      <w:szCs w:val="16"/>
      <w:lang w:eastAsia="x-none"/>
    </w:rPr>
  </w:style>
  <w:style w:type="paragraph" w:styleId="ConsNormal" w:customStyle="1">
    <w:name w:val="ConsNormal"/>
    <w:qFormat/>
    <w:rsid w:val="00ad497d"/>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8" w:customStyle="1">
    <w:name w:val="Знак Знак Знак Знак Знак Знак Знак Знак Знак"/>
    <w:basedOn w:val="Normal"/>
    <w:qFormat/>
    <w:rsid w:val="00ad497d"/>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6"/>
    <w:qFormat/>
    <w:rsid w:val="00ad497d"/>
    <w:pPr>
      <w:spacing w:before="0" w:after="0"/>
      <w:ind w:left="720" w:hanging="0"/>
      <w:contextualSpacing/>
    </w:pPr>
    <w:rPr>
      <w:lang w:val="ru-RU"/>
    </w:rPr>
  </w:style>
  <w:style w:type="paragraph" w:styleId="Annotationtext">
    <w:name w:val="annotation text"/>
    <w:basedOn w:val="Normal"/>
    <w:link w:val="Style10"/>
    <w:uiPriority w:val="99"/>
    <w:qFormat/>
    <w:rsid w:val="00ad497d"/>
    <w:pPr/>
    <w:rPr>
      <w:sz w:val="20"/>
      <w:szCs w:val="20"/>
      <w:lang w:eastAsia="x-none"/>
    </w:rPr>
  </w:style>
  <w:style w:type="paragraph" w:styleId="Annotationsubject">
    <w:name w:val="annotation subject"/>
    <w:basedOn w:val="Annotationtext"/>
    <w:next w:val="Annotationtext"/>
    <w:link w:val="Style11"/>
    <w:qFormat/>
    <w:rsid w:val="00ad497d"/>
    <w:pPr/>
    <w:rPr>
      <w:b/>
      <w:bCs/>
    </w:rPr>
  </w:style>
  <w:style w:type="paragraph" w:styleId="BodyTextIndent3">
    <w:name w:val="Body Text Indent 3"/>
    <w:basedOn w:val="Normal"/>
    <w:link w:val="32"/>
    <w:qFormat/>
    <w:rsid w:val="00ad497d"/>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ad497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d497d"/>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2"/>
    <w:qFormat/>
    <w:rsid w:val="00ad497d"/>
    <w:pPr>
      <w:widowControl w:val="false"/>
      <w:overflowPunct w:val="true"/>
      <w:spacing w:before="0" w:after="120"/>
      <w:jc w:val="center"/>
      <w:textAlignment w:val="baseline"/>
    </w:pPr>
    <w:rPr>
      <w:b/>
      <w:bCs/>
      <w:sz w:val="32"/>
      <w:szCs w:val="20"/>
      <w:lang w:val="ru-RU"/>
    </w:rPr>
  </w:style>
  <w:style w:type="paragraph" w:styleId="Style29">
    <w:name w:val="Колонтитул"/>
    <w:basedOn w:val="Normal"/>
    <w:qFormat/>
    <w:pPr/>
    <w:rPr/>
  </w:style>
  <w:style w:type="paragraph" w:styleId="Header">
    <w:name w:val="Header"/>
    <w:basedOn w:val="Normal"/>
    <w:link w:val="Style13"/>
    <w:rsid w:val="00ad497d"/>
    <w:pPr>
      <w:tabs>
        <w:tab w:val="clear" w:pos="708"/>
        <w:tab w:val="center" w:pos="4677" w:leader="none"/>
        <w:tab w:val="right" w:pos="9355" w:leader="none"/>
      </w:tabs>
    </w:pPr>
    <w:rPr>
      <w:lang w:eastAsia="x-none"/>
    </w:rPr>
  </w:style>
  <w:style w:type="paragraph" w:styleId="Footer">
    <w:name w:val="Footer"/>
    <w:basedOn w:val="Normal"/>
    <w:link w:val="Style14"/>
    <w:uiPriority w:val="99"/>
    <w:rsid w:val="00ad497d"/>
    <w:pPr>
      <w:tabs>
        <w:tab w:val="clear" w:pos="708"/>
        <w:tab w:val="center" w:pos="4677" w:leader="none"/>
        <w:tab w:val="right" w:pos="9355" w:leader="none"/>
      </w:tabs>
    </w:pPr>
    <w:rPr>
      <w:lang w:eastAsia="x-none"/>
    </w:rPr>
  </w:style>
  <w:style w:type="paragraph" w:styleId="BodyText2">
    <w:name w:val="Body Text 2"/>
    <w:basedOn w:val="Normal"/>
    <w:link w:val="21"/>
    <w:qFormat/>
    <w:rsid w:val="00ad497d"/>
    <w:pPr>
      <w:spacing w:lineRule="auto" w:line="480" w:before="0" w:after="120"/>
    </w:pPr>
    <w:rPr>
      <w:lang w:val="x-none" w:eastAsia="x-none"/>
    </w:rPr>
  </w:style>
  <w:style w:type="paragraph" w:styleId="BodyTextIndent">
    <w:name w:val="Body Text Indent"/>
    <w:basedOn w:val="Normal"/>
    <w:link w:val="Style15"/>
    <w:rsid w:val="00ad497d"/>
    <w:pPr>
      <w:spacing w:before="0" w:after="120"/>
      <w:ind w:left="283" w:hanging="0"/>
    </w:pPr>
    <w:rPr>
      <w:lang w:val="x-none" w:eastAsia="x-none"/>
    </w:rPr>
  </w:style>
  <w:style w:type="paragraph" w:styleId="333" w:customStyle="1">
    <w:name w:val="Пункт 3.3.3"/>
    <w:basedOn w:val="Normal"/>
    <w:qFormat/>
    <w:rsid w:val="00ad497d"/>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ad497d"/>
    <w:pPr>
      <w:widowControl w:val="false"/>
      <w:overflowPunct w:val="true"/>
      <w:spacing w:before="120" w:after="120"/>
      <w:jc w:val="both"/>
      <w:textAlignment w:val="baseline"/>
    </w:pPr>
    <w:rPr>
      <w:b/>
      <w:bCs/>
      <w:lang w:val="ru-RU"/>
    </w:rPr>
  </w:style>
  <w:style w:type="paragraph" w:styleId="13" w:customStyle="1">
    <w:name w:val="1. Статья"/>
    <w:basedOn w:val="Heading3"/>
    <w:qFormat/>
    <w:rsid w:val="00ad497d"/>
    <w:pPr>
      <w:keepNext w:val="false"/>
      <w:keepLines w:val="false"/>
      <w:widowControl w:val="false"/>
      <w:numPr>
        <w:ilvl w:val="0"/>
        <w:numId w:val="4"/>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2" w:customStyle="1">
    <w:name w:val="2. Пункт"/>
    <w:basedOn w:val="Heading3"/>
    <w:qFormat/>
    <w:rsid w:val="00ad497d"/>
    <w:pPr>
      <w:keepNext w:val="false"/>
      <w:keepLines w:val="false"/>
      <w:widowControl w:val="false"/>
      <w:numPr>
        <w:ilvl w:val="1"/>
        <w:numId w:val="4"/>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ad497d"/>
    <w:pPr>
      <w:keepNext w:val="false"/>
      <w:keepLines w:val="false"/>
      <w:widowControl w:val="false"/>
      <w:numPr>
        <w:ilvl w:val="2"/>
        <w:numId w:val="4"/>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paragraph" w:styleId="42" w:customStyle="1">
    <w:name w:val="4. Отчерк"/>
    <w:basedOn w:val="Normal"/>
    <w:link w:val="4"/>
    <w:qFormat/>
    <w:rsid w:val="003f3448"/>
    <w:pPr>
      <w:widowControl w:val="false"/>
      <w:numPr>
        <w:ilvl w:val="0"/>
        <w:numId w:val="5"/>
      </w:numPr>
      <w:jc w:val="both"/>
    </w:pPr>
    <w:rPr>
      <w:lang w:val="x-none" w:eastAsia="x-none"/>
    </w:rPr>
  </w:style>
  <w:style w:type="paragraph" w:styleId="NoSpacing">
    <w:name w:val="No Spacing"/>
    <w:qFormat/>
    <w:rsid w:val="00481be8"/>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TableParagraph" w:customStyle="1">
    <w:name w:val="Table Paragraph"/>
    <w:basedOn w:val="Normal"/>
    <w:uiPriority w:val="1"/>
    <w:qFormat/>
    <w:rsid w:val="00dc65ef"/>
    <w:pPr>
      <w:spacing w:lineRule="exact" w:line="256"/>
      <w:ind w:left="107" w:hanging="0"/>
      <w:jc w:val="center"/>
    </w:pPr>
    <w:rPr>
      <w:rFonts w:eastAsia="Calibri" w:eastAsiaTheme="minorHAnsi"/>
      <w:lang w:val="ru-RU" w:eastAsia="en-US"/>
    </w:rPr>
  </w:style>
  <w:style w:type="paragraph" w:styleId="Style30" w:customStyle="1">
    <w:name w:val="Раздел положения"/>
    <w:basedOn w:val="Normal"/>
    <w:autoRedefine/>
    <w:qFormat/>
    <w:rsid w:val="006f0824"/>
    <w:pPr>
      <w:numPr>
        <w:ilvl w:val="0"/>
        <w:numId w:val="6"/>
      </w:numPr>
      <w:spacing w:before="80" w:after="80"/>
      <w:jc w:val="center"/>
    </w:pPr>
    <w:rPr>
      <w:b/>
      <w:sz w:val="32"/>
      <w:szCs w:val="32"/>
      <w:lang w:val="ru-RU"/>
    </w:rPr>
  </w:style>
  <w:style w:type="paragraph" w:styleId="Style31" w:customStyle="1">
    <w:name w:val="Подраздел раздела положения"/>
    <w:basedOn w:val="Normal"/>
    <w:autoRedefine/>
    <w:qFormat/>
    <w:rsid w:val="006f0824"/>
    <w:pPr>
      <w:numPr>
        <w:ilvl w:val="1"/>
        <w:numId w:val="6"/>
      </w:numPr>
      <w:spacing w:before="80" w:after="80"/>
      <w:jc w:val="both"/>
    </w:pPr>
    <w:rPr>
      <w:sz w:val="28"/>
      <w:szCs w:val="28"/>
      <w:lang w:val="ru-RU"/>
    </w:rPr>
  </w:style>
  <w:style w:type="paragraph" w:styleId="Style32" w:customStyle="1">
    <w:name w:val="Таблица"/>
    <w:basedOn w:val="Normal"/>
    <w:qFormat/>
    <w:rsid w:val="006f0824"/>
    <w:pPr>
      <w:keepNext w:val="true"/>
      <w:spacing w:before="60" w:after="60"/>
      <w:jc w:val="center"/>
    </w:pPr>
    <w:rPr>
      <w:rFonts w:eastAsia="Calibri"/>
      <w:b/>
      <w:lang w:val="x-none" w:eastAsia="x-none"/>
    </w:rPr>
  </w:style>
  <w:style w:type="paragraph" w:styleId="Default" w:customStyle="1">
    <w:name w:val="Default"/>
    <w:qFormat/>
    <w:rsid w:val="006f0824"/>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ru-RU" w:bidi="ar-SA"/>
    </w:rPr>
  </w:style>
  <w:style w:type="paragraph" w:styleId="Style33">
    <w:name w:val="Содержимое врезки"/>
    <w:basedOn w:val="Normal"/>
    <w:qFormat/>
    <w:pPr/>
    <w:rPr/>
  </w:style>
  <w:style w:type="paragraph" w:styleId="Style34">
    <w:name w:val="Содержимое таблицы"/>
    <w:basedOn w:val="Normal"/>
    <w:qFormat/>
    <w:pPr>
      <w:widowControl w:val="false"/>
      <w:suppressLineNumbers/>
    </w:pPr>
    <w:rPr/>
  </w:style>
  <w:style w:type="paragraph" w:styleId="Style35">
    <w:name w:val="Заголовок таблицы"/>
    <w:basedOn w:val="Style34"/>
    <w:qFormat/>
    <w:pPr>
      <w:suppressLineNumbers/>
      <w:jc w:val="center"/>
    </w:pPr>
    <w:rPr>
      <w:b/>
      <w:bCs/>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styleId="aa">
    <w:name w:val="Table Grid"/>
    <w:basedOn w:val="a6"/>
    <w:uiPriority w:val="39"/>
    <w:rsid w:val="00ad497d"/>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higulevsk@rushydro.ru" TargetMode="Externa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3C15F-D6CF-4839-A983-CB0C650C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Application>AlterOffice/3.4.0.9$Linux_X86_64 LibreOffice_project/b8daf9e823b1a5463a2f48435ddc2e8696e7d4fc</Application>
  <AppVersion>15.0000</AppVersion>
  <Pages>15</Pages>
  <Words>4757</Words>
  <Characters>33258</Characters>
  <CharactersWithSpaces>37688</CharactersWithSpaces>
  <Paragraphs>321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2022-03-24T05:41:00Z</dcterms:created>
  <dc:creator>Жеденко</dc:creator>
  <dc:description/>
  <dc:language>ru-RU</dc:language>
  <cp:lastModifiedBy>vlasovdg@corp.gidroogk.com</cp:lastModifiedBy>
  <cp:lastPrinted>2022-03-24T05:39:00Z</cp:lastPrinted>
  <dcterms:modified xsi:type="dcterms:W3CDTF">2026-05-19T15:41:24Z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