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200" w:leader="none"/>
        </w:tabs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УТВЕРЖДАЮ: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Заместитель главного  инженера по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технической части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филиала ПАО «РусГидро»–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«Кабардино-Балкарский филиал»</w:t>
      </w:r>
    </w:p>
    <w:p>
      <w:pPr>
        <w:pStyle w:val="Normal"/>
        <w:spacing w:before="120" w:after="0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_________________ Р.А.Ашев</w:t>
      </w:r>
    </w:p>
    <w:p>
      <w:pPr>
        <w:pStyle w:val="Normal"/>
        <w:spacing w:before="120" w:after="0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«_____»______________2025 г.</w:t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righ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rFonts w:eastAsia="Calibri"/>
          <w:b/>
          <w:szCs w:val="32"/>
        </w:rPr>
      </w:pPr>
      <w:bookmarkStart w:id="2" w:name="_Toc137554584"/>
      <w:bookmarkStart w:id="3" w:name="_Toc139856287"/>
      <w:bookmarkStart w:id="4" w:name="_Toc141696704"/>
      <w:bookmarkEnd w:id="2"/>
      <w:bookmarkEnd w:id="3"/>
      <w:bookmarkEnd w:id="4"/>
      <w:r>
        <w:rPr>
          <w:rFonts w:eastAsia="Calibri"/>
          <w:b/>
          <w:szCs w:val="32"/>
        </w:rPr>
        <w:t>ТЕХНИЧЕСКИЕ ТРЕБОВАНИЯ</w:t>
      </w:r>
    </w:p>
    <w:p>
      <w:pPr>
        <w:pStyle w:val="Normal"/>
        <w:jc w:val="center"/>
        <w:rPr/>
      </w:pPr>
      <w:r>
        <w:rPr/>
        <w:t xml:space="preserve">На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тех</w:t>
      </w:r>
      <w:r>
        <w:rPr/>
        <w:t xml:space="preserve">ническое диагностирование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оборудования работающего под давлением Кашхатау ГЭС(Воздухосборники), Аушигерской ГЭС (МНУ) и Зарагижской ГЭС (МНУГА и МНУДЗ)</w:t>
      </w:r>
    </w:p>
    <w:p>
      <w:pPr>
        <w:pStyle w:val="Normal"/>
        <w:jc w:val="center"/>
        <w:rPr/>
      </w:pPr>
      <w:r>
        <w:rPr/>
        <w:t>Филиала ПАО «РусГидро» - «Кабардино-Балкарский филиал»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  <w:bookmarkStart w:id="5" w:name="_Toc1375545841"/>
      <w:bookmarkStart w:id="6" w:name="_Toc1398562871"/>
      <w:bookmarkStart w:id="7" w:name="_Toc1416967041"/>
      <w:bookmarkStart w:id="8" w:name="_Toc1375545841"/>
      <w:bookmarkStart w:id="9" w:name="_Toc1398562871"/>
      <w:bookmarkStart w:id="10" w:name="_Toc1416967041"/>
      <w:bookmarkEnd w:id="8"/>
      <w:bookmarkEnd w:id="9"/>
      <w:bookmarkEnd w:id="10"/>
    </w:p>
    <w:p>
      <w:pPr>
        <w:pStyle w:val="Normal"/>
        <w:spacing w:before="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СОДЕРЖАНИЕ</w:t>
      </w:r>
    </w:p>
    <w:tbl>
      <w:tblPr>
        <w:tblStyle w:val="15"/>
        <w:tblW w:w="92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6"/>
        <w:gridCol w:w="7470"/>
        <w:gridCol w:w="843"/>
      </w:tblGrid>
      <w:tr>
        <w:trPr>
          <w:trHeight w:val="170" w:hRule="atLeast"/>
        </w:trPr>
        <w:tc>
          <w:tcPr>
            <w:tcW w:w="896" w:type="dxa"/>
            <w:tcBorders>
              <w:left w:val="nil"/>
              <w:bottom w:val="dotDash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kern w:val="0"/>
                <w:szCs w:val="24"/>
                <w:lang w:val="ru-RU" w:eastAsia="ru-RU" w:bidi="ar-SA"/>
              </w:rPr>
              <w:t>№</w:t>
            </w:r>
            <w:r>
              <w:rPr>
                <w:rFonts w:cs="Times New Roman"/>
                <w:b/>
                <w:bCs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470" w:type="dxa"/>
            <w:tcBorders>
              <w:left w:val="nil"/>
              <w:bottom w:val="dotDash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843" w:type="dxa"/>
            <w:tcBorders>
              <w:left w:val="nil"/>
              <w:bottom w:val="dotDash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kern w:val="0"/>
                <w:szCs w:val="24"/>
                <w:lang w:val="ru-RU" w:eastAsia="ru-RU" w:bidi="ar-SA"/>
              </w:rPr>
              <w:t>Стр.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1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закупаемых услуг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2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Заказчик (подразделение Заказчика)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293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3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Цели и задачи. Существующее положение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3.1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" w:leader="none"/>
              </w:tabs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Цель Услуг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3.2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04" w:leader="none"/>
              </w:tabs>
              <w:suppressAutoHyphens w:val="true"/>
              <w:spacing w:lineRule="auto" w:line="360"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Краткое описание существующего положения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4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Основание на оказание услуг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закупаемым работам (технические и иные характеристики).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6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Сроки оказания услуг.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7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участнику закупки.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kern w:val="0"/>
                <w:szCs w:val="24"/>
                <w:lang w:val="ru-RU" w:eastAsia="ru-RU" w:bidi="ar-SA"/>
              </w:rPr>
              <w:t>8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spacing w:lineRule="auto" w:line="252" w:before="60" w:after="160"/>
              <w:ind w:left="720" w:hanging="0"/>
              <w:contextualSpacing/>
              <w:jc w:val="both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x-none" w:eastAsia="x-none" w:bidi="ar-SA"/>
              </w:rPr>
              <w:t>Иные условия выполнения работ.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8</w:t>
            </w:r>
          </w:p>
        </w:tc>
      </w:tr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 xml:space="preserve">   </w:t>
            </w:r>
            <w:r>
              <w:rPr>
                <w:rFonts w:cs="Times New Roman"/>
                <w:bCs/>
                <w:szCs w:val="24"/>
                <w:lang w:eastAsia="ru-RU"/>
              </w:rPr>
              <w:t>8.1.</w:t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</w:numPr>
              <w:spacing w:lineRule="auto" w:line="252" w:before="60" w:after="160"/>
              <w:ind w:left="720" w:hanging="0"/>
              <w:contextualSpacing/>
              <w:jc w:val="both"/>
              <w:rPr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x-none" w:eastAsia="x-none" w:bidi="ar-SA"/>
              </w:rPr>
              <w:t>Выполнение комплекса работ «под ключ».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8</w:t>
            </w:r>
          </w:p>
        </w:tc>
      </w:tr>
    </w:tbl>
    <w:p>
      <w:pPr>
        <w:pStyle w:val="Normal"/>
        <w:spacing w:before="0" w:after="120"/>
        <w:ind w:hanging="0"/>
        <w:jc w:val="both"/>
        <w:rPr/>
      </w:pPr>
      <w:r>
        <w:rPr>
          <w:b/>
          <w:bCs/>
          <w:color w:val="FF0000"/>
          <w:sz w:val="24"/>
        </w:rPr>
        <w:t xml:space="preserve">      </w:t>
      </w:r>
      <w:r>
        <w:rPr>
          <w:rFonts w:eastAsia="Times New Roman" w:cs="Times New Roman"/>
          <w:bCs/>
          <w:color w:val="auto"/>
          <w:kern w:val="0"/>
          <w:sz w:val="28"/>
          <w:szCs w:val="24"/>
          <w:lang w:val="ru-RU" w:eastAsia="ru-RU" w:bidi="ar-SA"/>
        </w:rPr>
        <w:t xml:space="preserve">9.  </w:t>
      </w:r>
      <w:r>
        <w:rPr>
          <w:b/>
          <w:bCs/>
          <w:color w:val="FF0000"/>
          <w:sz w:val="24"/>
        </w:rPr>
        <w:t xml:space="preserve">     </w:t>
      </w:r>
      <w:r>
        <w:rPr>
          <w:b w:val="false"/>
          <w:bCs w:val="false"/>
          <w:color w:val="000000"/>
          <w:sz w:val="24"/>
          <w:lang w:val="x-none" w:eastAsia="x-none"/>
        </w:rPr>
        <w:t xml:space="preserve">Требования к документации по ценообразованию.                                           </w:t>
      </w:r>
      <w:r>
        <w:rPr>
          <w:rFonts w:eastAsia="Times New Roman" w:cs="Times New Roman"/>
          <w:bCs/>
          <w:color w:val="000000"/>
          <w:kern w:val="0"/>
          <w:sz w:val="28"/>
          <w:szCs w:val="24"/>
          <w:lang w:val="ru-RU" w:eastAsia="ru-RU" w:bidi="ar-SA"/>
        </w:rPr>
        <w:t>8</w:t>
      </w:r>
    </w:p>
    <w:tbl>
      <w:tblPr>
        <w:tblStyle w:val="15"/>
        <w:tblW w:w="92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6"/>
        <w:gridCol w:w="7470"/>
        <w:gridCol w:w="843"/>
      </w:tblGrid>
      <w:tr>
        <w:trPr>
          <w:trHeight w:val="170" w:hRule="atLeast"/>
        </w:trPr>
        <w:tc>
          <w:tcPr>
            <w:tcW w:w="896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</w:r>
          </w:p>
        </w:tc>
        <w:tc>
          <w:tcPr>
            <w:tcW w:w="7470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 w:val="24"/>
                <w:szCs w:val="24"/>
                <w:lang w:val="x-none" w:eastAsia="x-none" w:bidi="ar-SA"/>
              </w:rPr>
              <w:t>Приложения</w:t>
            </w:r>
          </w:p>
        </w:tc>
        <w:tc>
          <w:tcPr>
            <w:tcW w:w="843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Cs/>
                <w:color w:val="000000"/>
                <w:kern w:val="0"/>
                <w:szCs w:val="24"/>
                <w:lang w:val="ru-RU" w:eastAsia="ru-RU" w:bidi="ar-SA"/>
              </w:rPr>
              <w:t>8</w:t>
            </w:r>
          </w:p>
        </w:tc>
      </w:tr>
    </w:tbl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  <w:r>
        <w:br w:type="page"/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ОБОЗНАЧЕНИЯ И СОКРАЩЕНИЯ</w:t>
      </w:r>
    </w:p>
    <w:p>
      <w:pPr>
        <w:pStyle w:val="Normal"/>
        <w:spacing w:before="0" w:after="120"/>
        <w:ind w:left="720" w:hanging="0"/>
        <w:jc w:val="both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before="0" w:after="120"/>
        <w:ind w:left="720" w:hanging="0"/>
        <w:jc w:val="both"/>
        <w:rPr>
          <w:bCs/>
          <w:sz w:val="24"/>
        </w:rPr>
      </w:pPr>
      <w:r>
        <w:rPr>
          <w:bCs/>
          <w:sz w:val="24"/>
        </w:rPr>
        <w:t>ПАО – Публичное Акционерная Общество;</w:t>
      </w:r>
    </w:p>
    <w:p>
      <w:pPr>
        <w:pStyle w:val="Normal"/>
        <w:spacing w:before="0" w:after="120"/>
        <w:ind w:left="720" w:hanging="0"/>
        <w:jc w:val="both"/>
        <w:rPr>
          <w:bCs/>
          <w:sz w:val="24"/>
        </w:rPr>
      </w:pPr>
      <w:r>
        <w:rPr>
          <w:bCs/>
          <w:sz w:val="24"/>
        </w:rPr>
        <w:t>МНУ – Маслонапорная установка;</w:t>
      </w:r>
    </w:p>
    <w:p>
      <w:pPr>
        <w:pStyle w:val="Normal"/>
        <w:spacing w:lineRule="auto" w:line="360"/>
        <w:ind w:firstLine="709"/>
        <w:jc w:val="both"/>
        <w:rPr>
          <w:sz w:val="24"/>
        </w:rPr>
      </w:pPr>
      <w:r>
        <w:rPr>
          <w:sz w:val="24"/>
        </w:rPr>
        <w:t>НИР – Научно исследовательские работы;</w:t>
      </w:r>
    </w:p>
    <w:p>
      <w:pPr>
        <w:pStyle w:val="Normal"/>
        <w:spacing w:lineRule="auto" w:line="360"/>
        <w:ind w:firstLine="709"/>
        <w:jc w:val="both"/>
        <w:rPr>
          <w:sz w:val="24"/>
        </w:rPr>
      </w:pPr>
      <w:r>
        <w:rPr>
          <w:sz w:val="24"/>
        </w:rPr>
        <w:t>НТД – Нормативно - техническая документация;</w:t>
      </w:r>
    </w:p>
    <w:p>
      <w:pPr>
        <w:pStyle w:val="Normal"/>
        <w:spacing w:lineRule="auto" w:line="360"/>
        <w:ind w:firstLine="709"/>
        <w:jc w:val="both"/>
        <w:rPr>
          <w:sz w:val="24"/>
        </w:rPr>
      </w:pPr>
      <w:r>
        <w:rPr>
          <w:sz w:val="24"/>
        </w:rPr>
        <w:t>ГЭС – Гидравлическая электрическая станция;</w:t>
      </w:r>
    </w:p>
    <w:p>
      <w:pPr>
        <w:pStyle w:val="Normal"/>
        <w:spacing w:lineRule="auto" w:line="360"/>
        <w:ind w:firstLine="709"/>
        <w:jc w:val="both"/>
        <w:rPr>
          <w:sz w:val="24"/>
        </w:rPr>
      </w:pPr>
      <w:r>
        <w:rPr>
          <w:sz w:val="24"/>
        </w:rPr>
        <w:t>ППР – Проект производство работ;</w:t>
      </w:r>
    </w:p>
    <w:p>
      <w:pPr>
        <w:pStyle w:val="Normal"/>
        <w:spacing w:lineRule="auto" w:line="360"/>
        <w:ind w:firstLine="709"/>
        <w:jc w:val="both"/>
        <w:rPr>
          <w:sz w:val="24"/>
        </w:rPr>
      </w:pPr>
      <w:r>
        <w:rPr>
          <w:sz w:val="24"/>
        </w:rPr>
        <w:t>СРО – Саморегулируемая организация;</w:t>
      </w:r>
    </w:p>
    <w:p>
      <w:pPr>
        <w:pStyle w:val="Normal"/>
        <w:tabs>
          <w:tab w:val="clear" w:pos="708"/>
          <w:tab w:val="left" w:pos="1803" w:leader="none"/>
        </w:tabs>
        <w:spacing w:lineRule="auto" w:line="360" w:before="0" w:after="120"/>
        <w:ind w:left="720" w:hanging="0"/>
        <w:jc w:val="both"/>
        <w:rPr>
          <w:sz w:val="24"/>
        </w:rPr>
      </w:pPr>
      <w:r>
        <w:rPr>
          <w:sz w:val="24"/>
        </w:rPr>
        <w:t>ТТ – Технические требования.</w:t>
      </w:r>
    </w:p>
    <w:p>
      <w:pPr>
        <w:pStyle w:val="Normal"/>
        <w:suppressAutoHyphens w:val="true"/>
        <w:jc w:val="right"/>
        <w:rPr>
          <w:bCs/>
          <w:color w:val="FF0000"/>
          <w:sz w:val="24"/>
          <w:szCs w:val="24"/>
          <w:lang w:eastAsia="zh-CN"/>
        </w:rPr>
      </w:pPr>
      <w:r>
        <w:rPr>
          <w:bCs/>
          <w:color w:val="FF0000"/>
          <w:sz w:val="24"/>
          <w:szCs w:val="24"/>
          <w:lang w:eastAsia="zh-CN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Title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Heading1"/>
        <w:keepLines w:val="false"/>
        <w:tabs>
          <w:tab w:val="clear" w:pos="708"/>
          <w:tab w:val="left" w:pos="432" w:leader="none"/>
        </w:tabs>
        <w:suppressAutoHyphens w:val="true"/>
        <w:spacing w:before="0" w:after="0"/>
        <w:ind w:left="432" w:hanging="432"/>
        <w:jc w:val="center"/>
        <w:rPr>
          <w:color w:val="FF0000"/>
          <w:sz w:val="24"/>
          <w:szCs w:val="24"/>
          <w:lang w:eastAsia="zh-CN"/>
        </w:rPr>
      </w:pPr>
      <w:r>
        <w:rPr>
          <w:color w:val="FF0000"/>
          <w:szCs w:val="24"/>
        </w:rPr>
        <w:t xml:space="preserve">    </w:t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4"/>
        </w:numPr>
        <w:suppressAutoHyphens w:val="true"/>
        <w:ind w:left="703" w:hanging="703"/>
        <w:jc w:val="both"/>
        <w:rPr>
          <w:color w:val="000000"/>
        </w:rPr>
      </w:pPr>
      <w:r>
        <w:rPr>
          <w:b/>
          <w:bCs/>
          <w:color w:val="000000"/>
        </w:rPr>
        <w:t xml:space="preserve">Наименование закупаемых услуг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34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1.1. </w:t>
      </w:r>
      <w:r>
        <w:rPr>
          <w:b w:val="false"/>
          <w:bCs w:val="false"/>
          <w:color w:val="000000"/>
          <w:sz w:val="24"/>
          <w:szCs w:val="24"/>
          <w:lang w:eastAsia="zh-CN"/>
        </w:rPr>
        <w:t>Т</w:t>
      </w:r>
      <w:r>
        <w:rPr>
          <w:color w:val="000000"/>
          <w:sz w:val="24"/>
          <w:szCs w:val="24"/>
          <w:lang w:eastAsia="zh-CN"/>
        </w:rPr>
        <w:t>ехническое диагностирование  оборудования работающего под давлением Кашхатау ГЭС (Воздухосборники), Аушигерской ГЭС (МНУ) и Зарагижской ГЭС (МНУГА и МНУДЗ)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40"/>
        <w:jc w:val="both"/>
        <w:rPr/>
      </w:pPr>
      <w:r>
        <w:rPr>
          <w:b/>
          <w:bCs/>
          <w:color w:val="000000"/>
          <w:sz w:val="24"/>
          <w:szCs w:val="24"/>
          <w:lang w:eastAsia="zh-CN"/>
        </w:rPr>
        <w:t>1.2.</w:t>
      </w:r>
      <w:r>
        <w:rPr>
          <w:color w:val="000000"/>
          <w:sz w:val="24"/>
          <w:szCs w:val="24"/>
          <w:lang w:eastAsia="zh-CN"/>
        </w:rPr>
        <w:t xml:space="preserve"> Наименование объекта основных средств, в отношении которых проводится воздействие: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color w:val="000000"/>
          <w:sz w:val="24"/>
          <w:szCs w:val="24"/>
          <w:lang w:eastAsia="zh-CN"/>
        </w:rPr>
        <w:t xml:space="preserve">Площадка воздухосборников Кашхатау ГЭС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 xml:space="preserve">(КБ00010340, КБ00010342, КБ00010343, КБ00010344, КБ00010350, КБ00010351), площадка сосудов системы регулирования ГА 1,2,3 Аушигерской ГЭС (КБ00003238, КБ00003237, КБ00003236), Площадка сосудов системы регулирования ГА1,2,3 Зарагижской ГЭС, площадка сосудов системы регулирования ДЗ 1,2,3.Зарагижской ГЭС. </w:t>
      </w:r>
    </w:p>
    <w:p>
      <w:pPr>
        <w:pStyle w:val="ListParagraph"/>
        <w:numPr>
          <w:ilvl w:val="0"/>
          <w:numId w:val="3"/>
        </w:numPr>
        <w:spacing w:before="120" w:after="0"/>
        <w:ind w:left="450" w:hanging="45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Заказчик (подразделение Заказчика).</w:t>
      </w:r>
    </w:p>
    <w:p>
      <w:pPr>
        <w:pStyle w:val="Normal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Публичное акционерное общество «Федеральная гидрогенерирующая компания-РусГидро» (ПАО «РусГидро»). </w:t>
      </w:r>
      <w:r>
        <w:rPr>
          <w:i/>
          <w:sz w:val="24"/>
          <w:szCs w:val="24"/>
        </w:rPr>
        <w:t>Местонахождение:</w:t>
      </w:r>
      <w:r>
        <w:rPr>
          <w:sz w:val="24"/>
          <w:szCs w:val="24"/>
        </w:rPr>
        <w:t xml:space="preserve"> 660049, Красноярский край, г. Красноярск, ул.//перенсона, зд. 2А, помещ. 1. </w:t>
      </w:r>
    </w:p>
    <w:p>
      <w:pPr>
        <w:pStyle w:val="Normal"/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Подразделение Заказчика:</w:t>
      </w:r>
      <w:r>
        <w:rPr>
          <w:sz w:val="24"/>
          <w:szCs w:val="24"/>
        </w:rPr>
        <w:t xml:space="preserve"> Филиал ПАО «РусГидро» – «Кабардино-Балкарский филиал» (далее – Филиал). </w:t>
      </w:r>
      <w:r>
        <w:rPr>
          <w:i/>
          <w:sz w:val="24"/>
          <w:szCs w:val="24"/>
        </w:rPr>
        <w:t>Местонахождение:</w:t>
      </w:r>
      <w:r>
        <w:rPr>
          <w:sz w:val="24"/>
          <w:szCs w:val="24"/>
        </w:rPr>
        <w:t xml:space="preserve"> 361800, Кабардино-Балкарская Республика, Черекский район, пгт.Кашхатау. </w:t>
      </w:r>
      <w:r>
        <w:rPr>
          <w:i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360024, Кабардино-Балкарская Республика,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г. Нальчик, а/я 9.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  <w:u w:val="single"/>
          <w:lang w:eastAsia="zh-CN"/>
        </w:rPr>
      </w:pPr>
      <w:r>
        <w:rPr>
          <w:sz w:val="24"/>
          <w:szCs w:val="24"/>
          <w:u w:val="single"/>
          <w:lang w:eastAsia="zh-CN"/>
        </w:rPr>
        <w:t>Место оказания услуг:</w:t>
      </w:r>
    </w:p>
    <w:p>
      <w:pPr>
        <w:pStyle w:val="ListParagraph"/>
        <w:numPr>
          <w:ilvl w:val="0"/>
          <w:numId w:val="11"/>
        </w:numPr>
        <w:suppressAutoHyphens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Турбинное помещение Аушигерской ГЭС,</w:t>
      </w:r>
    </w:p>
    <w:p>
      <w:pPr>
        <w:pStyle w:val="ListParagraph"/>
        <w:numPr>
          <w:ilvl w:val="0"/>
          <w:numId w:val="11"/>
        </w:numPr>
        <w:suppressAutoHyphens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Машинный зал Зарагижской ГЭС. </w:t>
      </w:r>
    </w:p>
    <w:p>
      <w:pPr>
        <w:pStyle w:val="ListParagraph"/>
        <w:numPr>
          <w:ilvl w:val="0"/>
          <w:numId w:val="11"/>
        </w:numPr>
        <w:suppressAutoHyphens w:val="tru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Площадка воздухосборников Кашхатау ГЭС</w:t>
      </w:r>
    </w:p>
    <w:p>
      <w:pPr>
        <w:pStyle w:val="Normal"/>
        <w:ind w:left="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Тип работ по воздействию: экспертиза промышленной безопасности, техническое диагностирование, наружный и внутренний осмотр и гидравлические испытания.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Наименование объектов основных средств, в отношении которых проводятся воздействия:</w:t>
      </w:r>
    </w:p>
    <w:p>
      <w:pPr>
        <w:pStyle w:val="Normal"/>
        <w:numPr>
          <w:ilvl w:val="0"/>
          <w:numId w:val="10"/>
        </w:numPr>
        <w:suppressAutoHyphens w:val="true"/>
        <w:ind w:left="1429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Воздушные ресиверы</w:t>
      </w:r>
      <w:r>
        <w:rPr>
          <w:bCs/>
          <w:sz w:val="24"/>
          <w:szCs w:val="24"/>
        </w:rPr>
        <w:t>;</w:t>
      </w:r>
    </w:p>
    <w:p>
      <w:pPr>
        <w:pStyle w:val="Normal"/>
        <w:numPr>
          <w:ilvl w:val="0"/>
          <w:numId w:val="10"/>
        </w:numPr>
        <w:suppressAutoHyphens w:val="true"/>
        <w:ind w:left="1429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МНУ, гидроаккумуляторы</w:t>
      </w:r>
      <w:r>
        <w:rPr>
          <w:bCs/>
          <w:sz w:val="24"/>
          <w:szCs w:val="24"/>
        </w:rPr>
        <w:t>;</w:t>
      </w:r>
    </w:p>
    <w:p>
      <w:pPr>
        <w:pStyle w:val="Normal"/>
        <w:numPr>
          <w:ilvl w:val="0"/>
          <w:numId w:val="0"/>
        </w:numPr>
        <w:suppressAutoHyphens w:val="true"/>
        <w:ind w:left="1429" w:hanging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b/>
          <w:bCs/>
          <w:color w:val="000000"/>
        </w:rPr>
        <w:t>Цели и задачи. Существующее положение.</w:t>
      </w:r>
    </w:p>
    <w:p>
      <w:pPr>
        <w:pStyle w:val="ListParagraph"/>
        <w:numPr>
          <w:ilvl w:val="1"/>
          <w:numId w:val="3"/>
        </w:numPr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zh-CN"/>
        </w:rPr>
        <w:t xml:space="preserve">Цели оказания услуг. </w:t>
      </w:r>
    </w:p>
    <w:p>
      <w:pPr>
        <w:pStyle w:val="Normal"/>
        <w:ind w:left="426" w:hanging="0"/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zh-CN"/>
        </w:rPr>
        <w:t xml:space="preserve">          </w:t>
      </w:r>
      <w:r>
        <w:rPr>
          <w:b/>
          <w:color w:val="000000"/>
          <w:sz w:val="24"/>
          <w:szCs w:val="24"/>
          <w:lang w:eastAsia="zh-CN"/>
        </w:rPr>
        <w:t xml:space="preserve">Целью </w:t>
      </w:r>
      <w:r>
        <w:rPr>
          <w:color w:val="000000"/>
          <w:sz w:val="24"/>
          <w:szCs w:val="24"/>
          <w:lang w:eastAsia="zh-CN"/>
        </w:rPr>
        <w:t>оказания Услуг является проведение экспертизы промышленной безопасности, техническое диагностирование и техническое освидетельствование с выдачей заключения о годности к дальнейшей эксплуатации и сроком следующего обследования.</w:t>
      </w:r>
      <w:r>
        <w:rPr>
          <w:b/>
          <w:color w:val="000000"/>
        </w:rPr>
        <w:t xml:space="preserve"> </w:t>
      </w:r>
    </w:p>
    <w:p>
      <w:pPr>
        <w:pStyle w:val="Normal"/>
        <w:ind w:left="426" w:hanging="0"/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zh-CN"/>
        </w:rPr>
        <w:t xml:space="preserve">         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  <w:sz w:val="24"/>
          <w:szCs w:val="24"/>
          <w:lang w:eastAsia="zh-CN"/>
        </w:rPr>
        <w:t xml:space="preserve">Задачей </w:t>
      </w:r>
      <w:r>
        <w:rPr>
          <w:color w:val="000000"/>
          <w:sz w:val="24"/>
          <w:szCs w:val="24"/>
          <w:lang w:eastAsia="zh-CN"/>
        </w:rPr>
        <w:t>оказания услуг является своевременное и качественное проведение экспертизы промышленной безопасности, техническое диагностирование и техническое освидетельствование с выдачей заключения о годности к дальнейшей эксплуатации и сроком следующего обследования, с получением положительного заключения и утвержденной в Федеральной службе по экологическому, технологическому и атомному надзору.</w:t>
      </w:r>
    </w:p>
    <w:p>
      <w:pPr>
        <w:pStyle w:val="ListParagraph"/>
        <w:ind w:left="284" w:hanging="0"/>
        <w:rPr>
          <w:color w:val="C9211E"/>
        </w:rPr>
      </w:pPr>
      <w:r>
        <w:rPr>
          <w:b/>
          <w:color w:val="C9211E"/>
          <w:sz w:val="24"/>
          <w:szCs w:val="24"/>
          <w:lang w:eastAsia="zh-CN"/>
        </w:rPr>
        <w:t xml:space="preserve">   </w:t>
      </w:r>
      <w:r>
        <w:rPr>
          <w:b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 xml:space="preserve"> </w:t>
      </w:r>
    </w:p>
    <w:p>
      <w:pPr>
        <w:pStyle w:val="ListParagraph"/>
        <w:numPr>
          <w:ilvl w:val="1"/>
          <w:numId w:val="3"/>
        </w:numPr>
        <w:jc w:val="both"/>
        <w:rPr>
          <w:color w:val="000000"/>
        </w:rPr>
      </w:pPr>
      <w:r>
        <w:rPr>
          <w:b/>
          <w:color w:val="000000"/>
          <w:sz w:val="24"/>
          <w:szCs w:val="24"/>
          <w:lang w:eastAsia="zh-CN"/>
        </w:rPr>
        <w:t>Краткое описание существующего положения.</w:t>
      </w:r>
    </w:p>
    <w:p>
      <w:pPr>
        <w:pStyle w:val="Normal"/>
        <w:suppressAutoHyphens w:val="true"/>
        <w:ind w:left="284" w:hanging="284"/>
        <w:jc w:val="both"/>
        <w:rPr>
          <w:color w:val="000000"/>
        </w:rPr>
      </w:pPr>
      <w:r>
        <w:rPr>
          <w:color w:val="000000"/>
          <w:sz w:val="24"/>
          <w:szCs w:val="24"/>
          <w:lang w:eastAsia="zh-CN"/>
        </w:rPr>
        <w:t xml:space="preserve">     </w:t>
      </w:r>
      <w:r>
        <w:rPr>
          <w:color w:val="000000"/>
          <w:sz w:val="24"/>
          <w:szCs w:val="24"/>
          <w:lang w:eastAsia="zh-CN"/>
        </w:rPr>
        <w:t>Завершается срок действия заключения экспертной организации воздухосборников Кашхатау ГЭС, наружного и внутреннего  осмотров МНУ Аушигерской ГЭС и Зарагижской ГЭС.</w:t>
      </w:r>
    </w:p>
    <w:p>
      <w:pPr>
        <w:pStyle w:val="Normal"/>
        <w:suppressAutoHyphens w:val="true"/>
        <w:ind w:left="1425" w:hanging="720"/>
        <w:jc w:val="both"/>
        <w:rPr>
          <w:color w:val="C9211E"/>
        </w:rPr>
      </w:pPr>
      <w:r>
        <w:rPr>
          <w:color w:val="C9211E"/>
          <w:sz w:val="24"/>
          <w:szCs w:val="24"/>
          <w:lang w:eastAsia="zh-CN"/>
        </w:rPr>
        <w:t xml:space="preserve">                                </w:t>
      </w:r>
    </w:p>
    <w:p>
      <w:pPr>
        <w:pStyle w:val="Normal"/>
        <w:suppressAutoHyphens w:val="true"/>
        <w:ind w:left="1425" w:hanging="720"/>
        <w:jc w:val="both"/>
        <w:rPr>
          <w:color w:val="C9211E"/>
        </w:rPr>
      </w:pPr>
      <w:r>
        <w:rPr>
          <w:color w:val="C9211E"/>
          <w:sz w:val="24"/>
          <w:szCs w:val="24"/>
          <w:lang w:eastAsia="zh-CN"/>
        </w:rPr>
        <w:t xml:space="preserve">            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 xml:space="preserve">Воздухосборники и МНУ Аушигерской ГЭС, Кашхатау ГЭС и Зарагижской ГЭС </w:t>
      </w:r>
    </w:p>
    <w:tbl>
      <w:tblPr>
        <w:tblW w:w="9596" w:type="dxa"/>
        <w:jc w:val="left"/>
        <w:tblInd w:w="5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90"/>
        <w:gridCol w:w="2730"/>
        <w:gridCol w:w="2160"/>
        <w:gridCol w:w="1973"/>
        <w:gridCol w:w="2043"/>
      </w:tblGrid>
      <w:tr>
        <w:trPr>
          <w:trHeight w:val="833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Регистрационный (заводской) номер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Срок с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Срок по</w:t>
            </w:r>
          </w:p>
        </w:tc>
      </w:tr>
      <w:tr>
        <w:trPr>
          <w:trHeight w:val="359" w:hRule="atLeast"/>
          <w:cantSplit w:val="true"/>
        </w:trPr>
        <w:tc>
          <w:tcPr>
            <w:tcW w:w="9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Кашхатау ГЭС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Воздухосборник В 3.2-45-2-С9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22213/308-124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Воздухосборник В2-15-2-С9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22214/308-141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Воздухосборник В5-8-2-С9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22210/308-144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Воздухосборник В5-8-2-С9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22211/318-126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Воздухосборник В5-8-2-С9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22209/308-143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Воздухосборник В5-8-2-С9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22212/318-127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95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Аушигерская ГЭС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-1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21933/44966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-2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21938/44042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-3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21939/44041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95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Зарагижская ГЭС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ГА №1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ГА №2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ГА №3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ДЗ №1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ДЗ №2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  <w:tr>
        <w:trPr>
          <w:trHeight w:val="510" w:hRule="atLeast"/>
          <w:cantSplit w:val="true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МНУ ДЗ №3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</w:rPr>
              <w:t>б/н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16.08.2026</w:t>
            </w:r>
          </w:p>
        </w:tc>
      </w:tr>
    </w:tbl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numPr>
          <w:ilvl w:val="0"/>
          <w:numId w:val="3"/>
        </w:numPr>
        <w:suppressAutoHyphens w:val="true"/>
        <w:ind w:left="720" w:right="-2" w:hanging="36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Основание для оказания услуг</w:t>
      </w:r>
    </w:p>
    <w:p>
      <w:pPr>
        <w:pStyle w:val="Normal"/>
        <w:numPr>
          <w:ilvl w:val="0"/>
          <w:numId w:val="5"/>
        </w:numPr>
        <w:suppressAutoHyphens w:val="true"/>
        <w:ind w:left="0"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>Среднесрочная Производственная программа НИР Филиала на 2025-2030 гг.</w:t>
      </w:r>
    </w:p>
    <w:p>
      <w:pPr>
        <w:pStyle w:val="Normal"/>
        <w:numPr>
          <w:ilvl w:val="0"/>
          <w:numId w:val="5"/>
        </w:numPr>
        <w:suppressAutoHyphens w:val="true"/>
        <w:ind w:left="0"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>Федеральные нормы и правила в области промышленной безопасности при использовании оборудования работающего под давлением утвержденные приказом Федеральной службы по экологическому, технологическому и атомному надзору (далее – Ростехнадзор) от 15 декабря 2020 г. №536 (далее – ФНП СРД).</w:t>
      </w:r>
    </w:p>
    <w:p>
      <w:pPr>
        <w:pStyle w:val="Normal"/>
        <w:ind w:left="81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numPr>
          <w:ilvl w:val="0"/>
          <w:numId w:val="3"/>
        </w:numPr>
        <w:suppressAutoHyphens w:val="true"/>
        <w:jc w:val="both"/>
        <w:rPr>
          <w:color w:val="000000"/>
        </w:rPr>
      </w:pPr>
      <w:r>
        <w:rPr>
          <w:b/>
          <w:bCs/>
          <w:color w:val="000000"/>
          <w:spacing w:val="-4"/>
          <w:sz w:val="24"/>
          <w:szCs w:val="24"/>
        </w:rPr>
        <w:t>Требования к закупаемой продукции (технические и иные характеристики)</w:t>
      </w:r>
    </w:p>
    <w:tbl>
      <w:tblPr>
        <w:tblW w:w="9540" w:type="dxa"/>
        <w:jc w:val="left"/>
        <w:tblInd w:w="5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20"/>
        <w:gridCol w:w="1665"/>
        <w:gridCol w:w="7155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892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Объем услуг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522" w:leader="none"/>
              </w:tabs>
              <w:spacing w:before="0" w:after="0"/>
              <w:ind w:left="323" w:hanging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обработка исходных паспортных данных и фактически полученных результатов обследования (диагностики) оборудования с выдачей заключения годности к дальнейшей эксплуатации и сроком следующего обследования (диагностики);</w:t>
            </w:r>
          </w:p>
          <w:p>
            <w:pPr>
              <w:pStyle w:val="BodyTextIndent3"/>
              <w:widowControl w:val="false"/>
              <w:numPr>
                <w:ilvl w:val="1"/>
                <w:numId w:val="2"/>
              </w:numPr>
              <w:tabs>
                <w:tab w:val="clear" w:pos="708"/>
              </w:tabs>
              <w:spacing w:before="0" w:after="0"/>
              <w:ind w:left="323" w:hanging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сдача оборудования Заказчику, оформление результатов технического диагностирования.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4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 оказании Услуг необходимо руководствоваться следующими НТД: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323" w:hanging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оборудование, работающее под избыточным давлением»;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323" w:hanging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 охране труда при эксплуатации электроустановок (утв. Приказом Министерства труда и социальной защиты РФ от 15.12.2020 №903н);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323" w:hanging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 охране труда при работе на высоте (утв. Приказом Министерства труда и социальной защиты РФ от 16.11.2020 №780н;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ind w:left="323" w:hanging="283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 охране труда при работе с инструментом и приспособлениями» (утв. Приказом Министерства труда и социальной защиты РФ от 27.11.2020 №835н).</w:t>
            </w:r>
          </w:p>
          <w:p>
            <w:pPr>
              <w:pStyle w:val="Normal"/>
              <w:widowControl w:val="false"/>
              <w:ind w:firstLine="44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Организационно-технические мероприятия по допуску персонала Исполнителя к оказанию услуг;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suppressAutoHyphens w:val="true"/>
              <w:ind w:left="0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оформление ППР, наряда-допуска или распоряжения;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suppressAutoHyphens w:val="true"/>
              <w:ind w:left="0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уточнение и согласование с Производственно-технической службой и Оперативной службой Заказчика мест подключения временных коммуникаций (технические условия на подключения выдаются после получения от Исполнителя официального запроса с указанием потребных ресурсов в количественных и качественных показателях);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suppressAutoHyphens w:val="true"/>
              <w:ind w:left="0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оформление отчетной документации о выполненных работах;</w:t>
            </w:r>
          </w:p>
          <w:p>
            <w:pPr>
              <w:pStyle w:val="BodyText"/>
              <w:widowControl w:val="false"/>
              <w:spacing w:before="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Все работы производятся с выводом из эксплуатации сосудов работающих под давлением.</w:t>
            </w:r>
          </w:p>
        </w:tc>
      </w:tr>
    </w:tbl>
    <w:p>
      <w:pPr>
        <w:pStyle w:val="ListParagraph"/>
        <w:suppressAutoHyphens w:val="true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uppressAutoHyphens w:val="true"/>
        <w:jc w:val="both"/>
        <w:rPr>
          <w:color w:val="000000"/>
        </w:rPr>
      </w:pP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Срок оказания услуг</w:t>
      </w:r>
    </w:p>
    <w:p>
      <w:pPr>
        <w:pStyle w:val="Normal"/>
        <w:ind w:left="709" w:firstLine="3"/>
        <w:jc w:val="both"/>
        <w:rPr>
          <w:color w:val="000000"/>
        </w:rPr>
      </w:pPr>
      <w:r>
        <w:rPr>
          <w:color w:val="000000"/>
          <w:sz w:val="24"/>
          <w:szCs w:val="24"/>
        </w:rPr>
        <w:t>С даты подписания договора по 16  августа 2026 года.</w:t>
      </w:r>
    </w:p>
    <w:p>
      <w:pPr>
        <w:pStyle w:val="Normal"/>
        <w:ind w:left="709" w:firstLin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shd w:val="clear" w:color="auto" w:fill="FFFFFF"/>
        <w:rPr>
          <w:color w:val="000000"/>
        </w:rPr>
      </w:pPr>
      <w:r>
        <w:rPr>
          <w:b/>
          <w:color w:val="000000"/>
          <w:sz w:val="24"/>
          <w:szCs w:val="24"/>
        </w:rPr>
        <w:t>Требования к участнику Закупки</w:t>
      </w:r>
    </w:p>
    <w:tbl>
      <w:tblPr>
        <w:tblW w:w="10379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1593"/>
        <w:gridCol w:w="6864"/>
        <w:gridCol w:w="1359"/>
      </w:tblGrid>
      <w:tr>
        <w:trPr/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7" w:right="-109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Предложение Исполнителя</w:t>
            </w:r>
          </w:p>
        </w:tc>
      </w:tr>
      <w:tr>
        <w:trPr>
          <w:trHeight w:val="385" w:hRule="atLeast"/>
        </w:trPr>
        <w:tc>
          <w:tcPr>
            <w:tcW w:w="103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Обязательные требования</w:t>
            </w:r>
          </w:p>
        </w:tc>
      </w:tr>
      <w:tr>
        <w:trPr>
          <w:trHeight w:val="851" w:hRule="atLeas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left="42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6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Предоставить справку о наличии материально-технических ресурсов для выполнения работ:</w:t>
            </w:r>
          </w:p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Набор слесарный (гаечные ключи, отвертки, плоскогубцы) – не менее 1 шт., автотранспорт для доставки персонала к месту производства работ. Оснастка для выполнения работ на высоте, системы канатного доступа или стационарные леса и подмости для подъема на рабочее место и выполнения.</w:t>
            </w:r>
          </w:p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Соответствие установленным требованиям подтверждается путем представления Участником закупки в составе заявки справки о материально-технических ресурсах по форме, приведенной в Документации о закупке. При этом Заказчик вправе запросить подтверждающие документы (паспорта, руководства по эксплуатации).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персоналу</w:t>
            </w:r>
          </w:p>
        </w:tc>
        <w:tc>
          <w:tcPr>
            <w:tcW w:w="6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 Наличие квалифицированного персонала для оказания всего объема услуг (предоставить список с указанием квалификации, стажа работы по профессии и копии действующих квалификационных документов, подтверждающих право проведения данных работ (предоставить список персонала в количестве минимум 2-х человек и копии удостоверений (третьей и выше) групп безопасности.</w:t>
            </w:r>
          </w:p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 Наличие персонала, имеющего право быть ответственными лицами за безопасное ведение работ (выдающий наряд, отдающий распоряжение, ответственный руководитель работ, производитель работ, члены бригады) по наряду-допуску и распоряжению (предоставить список персонала в количестве минимум 2-х человек с группой безопасности от трех и выше.</w:t>
            </w:r>
          </w:p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 В случае оказания услуг способом генподряда – наличие необходимых инженерно-технических специалистов, прошедших проверку знаний в соответствии с требованиями регламентирующих документов (предоставить список персонала в количестве 2-х человек и копии удостоверений проверки знаний) и обеспечивающих в процессе оказания услуг: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ind w:left="32"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проверку соответствия оказываемых субисполнителем услуг, соблюдения технологии, качества оказания услуг, соблюдения правил пожаро- и взрывобезопасности,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ind w:left="32"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своевременное решение возникающих в процессе оказания услуг вопросов между Заказчиком и субисполнителем;</w:t>
            </w:r>
          </w:p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 Наличие персонала, осуществляющего необходимые виды и объёмы контроля оказываемых услуг (предоставить список персонала в количестве минимум 2-х человек и копии удостоверений проверки знаний и групп безопасности от трех и выше, подтверждающих квалификацию данного персонала) Соответствие установленному требованию подтверждается путем представления участником закупки в составе заявки сведений по форме «Справка о кадровых ресурсах», приведенной в Документации о закупке.</w:t>
            </w:r>
          </w:p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 этом Заказчик вправе запросить подтверждающие документы (копий аттестационных, квалификационных удостоверений).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Опыт оказания аналогичных услуг</w:t>
            </w:r>
          </w:p>
        </w:tc>
        <w:tc>
          <w:tcPr>
            <w:tcW w:w="6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firstLine="478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Подтвердить справкой опыт оказания аналогичных услуг на объектах электроэнергетики по сумме не менее 30% от начальной максимальной цены лота за последние пять лет. 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 перечне и годовых объемах выполнения аналогичных договоров», приведенной в Документации о закупке. При этом Заказчик вправе запросить подтверждающие документы (копии договоров и актов выполненных работ, подписанных с обеих сторон).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3"/>
        </w:numPr>
        <w:spacing w:lineRule="auto" w:line="252" w:before="60" w:after="160"/>
        <w:contextualSpacing/>
        <w:jc w:val="both"/>
        <w:rPr>
          <w:color w:val="000000"/>
        </w:rPr>
      </w:pPr>
      <w:r>
        <w:rPr>
          <w:b/>
          <w:bCs/>
          <w:color w:val="000000"/>
          <w:lang w:eastAsia="x-none"/>
        </w:rPr>
        <w:t xml:space="preserve"> </w:t>
      </w:r>
      <w:r>
        <w:rPr>
          <w:b/>
          <w:bCs/>
          <w:color w:val="000000"/>
          <w:sz w:val="24"/>
          <w:szCs w:val="24"/>
          <w:lang w:val="x-none"/>
        </w:rPr>
        <w:t>Иные условия выполнения работ</w:t>
      </w:r>
      <w:r>
        <w:rPr>
          <w:b/>
          <w:bCs/>
          <w:color w:val="000000"/>
          <w:sz w:val="24"/>
          <w:szCs w:val="24"/>
        </w:rPr>
        <w:t>.</w:t>
      </w:r>
    </w:p>
    <w:p>
      <w:pPr>
        <w:pStyle w:val="ListParagraph"/>
        <w:spacing w:lineRule="auto" w:line="252" w:before="60" w:after="160"/>
        <w:contextualSpacing/>
        <w:jc w:val="both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spacing w:lineRule="auto" w:line="252" w:before="60" w:after="160"/>
        <w:contextualSpacing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Выполнение комплекса работ «под ключ».</w:t>
      </w:r>
    </w:p>
    <w:p>
      <w:pPr>
        <w:pStyle w:val="Normal"/>
        <w:ind w:firstLine="360"/>
        <w:jc w:val="both"/>
        <w:rPr>
          <w:color w:val="000000"/>
        </w:rPr>
      </w:pPr>
      <w:r>
        <w:rPr>
          <w:color w:val="000000"/>
          <w:sz w:val="24"/>
          <w:szCs w:val="24"/>
          <w:lang w:val="x-none" w:eastAsia="x-none"/>
        </w:rPr>
        <w:t xml:space="preserve">Работы производится под ключ – т.е. в таком объеме, который позволяет начать эксплуатацию </w:t>
      </w:r>
      <w:r>
        <w:rPr>
          <w:color w:val="000000"/>
          <w:sz w:val="24"/>
          <w:szCs w:val="24"/>
          <w:lang w:eastAsia="x-none"/>
        </w:rPr>
        <w:t xml:space="preserve">сооружений </w:t>
      </w:r>
      <w:r>
        <w:rPr>
          <w:color w:val="000000"/>
          <w:sz w:val="24"/>
          <w:szCs w:val="24"/>
          <w:lang w:val="x-none" w:eastAsia="x-none"/>
        </w:rPr>
        <w:t>без выполнения дополнительных работ.</w:t>
      </w:r>
      <w:r>
        <w:rPr>
          <w:i/>
          <w:iCs/>
          <w:color w:val="000000"/>
          <w:sz w:val="24"/>
          <w:szCs w:val="24"/>
          <w:lang w:val="x-none" w:eastAsia="x-none"/>
        </w:rPr>
        <w:t xml:space="preserve"> </w:t>
      </w:r>
      <w:r>
        <w:rPr>
          <w:color w:val="000000"/>
          <w:sz w:val="24"/>
          <w:szCs w:val="24"/>
          <w:lang w:val="x-none" w:eastAsia="x-none"/>
        </w:rPr>
        <w:t>Заказчик исключает при исполнении договора заключение дополнительных соглашений на увеличение объёмов работ.</w:t>
      </w:r>
    </w:p>
    <w:p>
      <w:pPr>
        <w:pStyle w:val="Normal"/>
        <w:ind w:firstLine="36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firstLine="360"/>
        <w:jc w:val="both"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jc w:val="both"/>
        <w:rPr>
          <w:color w:val="000000"/>
        </w:rPr>
      </w:pPr>
      <w:r>
        <w:rPr>
          <w:b/>
          <w:bCs/>
          <w:color w:val="000000"/>
          <w:sz w:val="24"/>
          <w:lang w:val="x-none" w:eastAsia="x-none"/>
        </w:rPr>
        <w:t>Требования к документации по ценообразованию</w:t>
      </w:r>
      <w:r>
        <w:rPr>
          <w:b/>
          <w:bCs/>
          <w:color w:val="000000"/>
          <w:lang w:val="x-none" w:eastAsia="x-none"/>
        </w:rPr>
        <w:t>.</w:t>
      </w:r>
    </w:p>
    <w:p>
      <w:pPr>
        <w:pStyle w:val="Normal"/>
        <w:spacing w:before="0" w:after="120"/>
        <w:ind w:left="720" w:hanging="0"/>
        <w:jc w:val="both"/>
        <w:rPr>
          <w:color w:val="000000"/>
        </w:rPr>
      </w:pPr>
      <w:r>
        <w:rPr>
          <w:bCs/>
          <w:color w:val="000000"/>
          <w:sz w:val="24"/>
          <w:szCs w:val="24"/>
        </w:rPr>
        <w:t>9.1. В соответствии с Приложением 1 и к настоящим Техническим требованиям.</w:t>
      </w:r>
    </w:p>
    <w:p>
      <w:pPr>
        <w:pStyle w:val="Normal"/>
        <w:spacing w:before="120" w:after="120"/>
        <w:ind w:left="709" w:hanging="259"/>
        <w:rPr>
          <w:color w:val="000000"/>
        </w:rPr>
      </w:pPr>
      <w:r>
        <w:rPr>
          <w:b/>
          <w:bCs/>
          <w:color w:val="000000"/>
          <w:sz w:val="24"/>
          <w:szCs w:val="24"/>
          <w:lang w:val="x-none" w:eastAsia="x-none"/>
        </w:rPr>
        <w:t>Приложения:</w:t>
      </w:r>
    </w:p>
    <w:p>
      <w:pPr>
        <w:pStyle w:val="Normal"/>
        <w:numPr>
          <w:ilvl w:val="0"/>
          <w:numId w:val="9"/>
        </w:numPr>
        <w:spacing w:before="0" w:after="120"/>
        <w:ind w:left="709" w:hanging="259"/>
        <w:jc w:val="both"/>
        <w:rPr>
          <w:color w:val="000000"/>
        </w:rPr>
      </w:pPr>
      <w:r>
        <w:rPr>
          <w:bCs/>
          <w:color w:val="000000"/>
          <w:sz w:val="24"/>
          <w:szCs w:val="24"/>
          <w:lang w:val="x-none" w:eastAsia="x-none"/>
        </w:rPr>
        <w:t>Требования к оформлению и составлению сметной документации;</w:t>
      </w:r>
      <w:r>
        <w:rPr>
          <w:b/>
          <w:bCs/>
          <w:color w:val="000000"/>
          <w:szCs w:val="24"/>
          <w:lang w:eastAsia="x-none"/>
        </w:rPr>
        <w:t xml:space="preserve">       </w:t>
      </w:r>
      <w:r>
        <w:rPr>
          <w:b/>
          <w:bCs/>
          <w:color w:val="000000"/>
          <w:szCs w:val="24"/>
          <w:lang w:val="x-none" w:eastAsia="x-none"/>
        </w:rPr>
        <w:t xml:space="preserve"> </w:t>
      </w:r>
    </w:p>
    <w:p>
      <w:pPr>
        <w:pStyle w:val="Normal"/>
        <w:spacing w:before="0" w:after="120"/>
        <w:jc w:val="both"/>
        <w:rPr>
          <w:b/>
          <w:bCs/>
          <w:color w:val="000000"/>
          <w:szCs w:val="24"/>
          <w:lang w:val="x-none" w:eastAsia="x-none"/>
        </w:rPr>
      </w:pPr>
      <w:r>
        <w:rPr>
          <w:b/>
          <w:bCs/>
          <w:color w:val="000000"/>
          <w:szCs w:val="24"/>
          <w:lang w:val="x-none" w:eastAsia="x-none"/>
        </w:rPr>
      </w:r>
    </w:p>
    <w:p>
      <w:pPr>
        <w:pStyle w:val="Normal"/>
        <w:tabs>
          <w:tab w:val="clear" w:pos="708"/>
          <w:tab w:val="left" w:pos="5923" w:leader="none"/>
        </w:tabs>
        <w:rPr>
          <w:color w:val="000000"/>
        </w:rPr>
      </w:pPr>
      <w:r>
        <w:rPr>
          <w:color w:val="000000"/>
          <w:sz w:val="24"/>
          <w:szCs w:val="24"/>
        </w:rPr>
        <w:t>Технический куратор</w:t>
        <w:tab/>
        <w:t xml:space="preserve">   Аушев А.А.</w:t>
      </w:r>
    </w:p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24"/>
          <w:szCs w:val="24"/>
        </w:rPr>
        <w:t>Согласовано:</w:t>
      </w:r>
    </w:p>
    <w:p>
      <w:pPr>
        <w:pStyle w:val="Normal"/>
        <w:tabs>
          <w:tab w:val="clear" w:pos="708"/>
          <w:tab w:val="left" w:pos="6198" w:leader="none"/>
        </w:tabs>
        <w:spacing w:before="120" w:after="0"/>
        <w:rPr>
          <w:color w:val="000000"/>
        </w:rPr>
      </w:pPr>
      <w:r>
        <w:rPr>
          <w:color w:val="000000"/>
          <w:sz w:val="24"/>
          <w:szCs w:val="24"/>
        </w:rPr>
        <w:t>Начальник ПТС</w:t>
      </w:r>
      <w:r>
        <w:rPr>
          <w:b/>
          <w:color w:val="000000"/>
          <w:sz w:val="24"/>
          <w:szCs w:val="24"/>
        </w:rPr>
        <w:tab/>
      </w:r>
      <w:r>
        <w:rPr>
          <w:b w:val="false"/>
          <w:bCs w:val="false"/>
          <w:color w:val="000000"/>
          <w:sz w:val="24"/>
          <w:szCs w:val="24"/>
        </w:rPr>
        <w:t>Виндижев Б.М.</w:t>
      </w:r>
    </w:p>
    <w:p>
      <w:pPr>
        <w:pStyle w:val="Normal"/>
        <w:spacing w:before="120" w:after="0"/>
        <w:rPr>
          <w:color w:val="000000"/>
        </w:rPr>
      </w:pPr>
      <w:r>
        <w:rPr>
          <w:color w:val="000000"/>
          <w:sz w:val="24"/>
          <w:szCs w:val="24"/>
        </w:rPr>
        <w:t>«____»___________2025 г.</w:t>
      </w:r>
    </w:p>
    <w:p>
      <w:pPr>
        <w:pStyle w:val="Normal"/>
        <w:tabs>
          <w:tab w:val="clear" w:pos="708"/>
          <w:tab w:val="left" w:pos="8055" w:leader="none"/>
        </w:tabs>
        <w:rPr>
          <w:color w:val="000000"/>
        </w:rPr>
      </w:pPr>
      <w:r>
        <w:rPr/>
      </w:r>
    </w:p>
    <w:sectPr>
      <w:type w:val="nextPage"/>
      <w:pgSz w:w="11906" w:h="16838"/>
      <w:pgMar w:left="1134" w:right="424" w:gutter="0" w:header="0" w:top="63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8"/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60" w:hanging="144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95" w:hanging="21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spacing w:val="-5"/>
        <w:b/>
        <w:bCs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25" w:hanging="720"/>
      </w:pPr>
      <w:rPr>
        <w:rFonts w:ascii="Symbol" w:hAnsi="Symbol" w:cs="Symbol" w:hint="default"/>
        <w:spacing w:val="-1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spacing w:val="-1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spacing w:val="-1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60" w:hanging="1440"/>
      </w:pPr>
      <w:rPr>
        <w:spacing w:val="-1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spacing w:val="-1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spacing w:val="-1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95" w:hanging="2160"/>
      </w:pPr>
      <w:rPr>
        <w:spacing w:val="-1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spacing w:val="-1"/>
        <w:bCs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543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5b117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6"/>
    <w:qFormat/>
    <w:locked/>
    <w:rsid w:val="00457a48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bc6823"/>
    <w:rPr>
      <w:rFonts w:ascii="Times New Roman" w:hAnsi="Times New Roman"/>
      <w:sz w:val="2"/>
    </w:rPr>
  </w:style>
  <w:style w:type="character" w:styleId="Style8" w:customStyle="1">
    <w:name w:val="Заголовок Знак"/>
    <w:basedOn w:val="DefaultParagraphFont"/>
    <w:uiPriority w:val="99"/>
    <w:qFormat/>
    <w:locked/>
    <w:rsid w:val="00825435"/>
    <w:rPr>
      <w:rFonts w:ascii="Times New Roman" w:hAnsi="Times New Roman"/>
      <w:sz w:val="20"/>
      <w:lang w:eastAsia="ru-RU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sid w:val="00825435"/>
    <w:rPr>
      <w:rFonts w:ascii="Times New Roman" w:hAnsi="Times New Roman"/>
      <w:sz w:val="28"/>
      <w:lang w:eastAsia="ru-RU"/>
    </w:rPr>
  </w:style>
  <w:style w:type="character" w:styleId="Style10" w:customStyle="1">
    <w:name w:val="Красная строка Знак"/>
    <w:basedOn w:val="Style9"/>
    <w:uiPriority w:val="99"/>
    <w:semiHidden/>
    <w:qFormat/>
    <w:locked/>
    <w:rsid w:val="00825435"/>
    <w:rPr>
      <w:rFonts w:ascii="Times New Roman" w:hAnsi="Times New Roman" w:cs="Times New Roman"/>
      <w:sz w:val="28"/>
      <w:szCs w:val="28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locked/>
    <w:rsid w:val="00825435"/>
    <w:rPr>
      <w:rFonts w:ascii="Times New Roman" w:hAnsi="Times New Roman"/>
      <w:sz w:val="16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locked/>
    <w:rsid w:val="00b7528d"/>
    <w:rPr>
      <w:rFonts w:ascii="Times New Roman" w:hAnsi="Times New Roman"/>
      <w:sz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sid w:val="00d532bb"/>
    <w:rPr>
      <w:rFonts w:ascii="Times New Roman" w:hAnsi="Times New Roman" w:eastAsia="Times New Roman"/>
      <w:sz w:val="28"/>
      <w:szCs w:val="28"/>
    </w:rPr>
  </w:style>
  <w:style w:type="character" w:styleId="Hyperlink">
    <w:name w:val="Hyperlink"/>
    <w:rsid w:val="00046d45"/>
    <w:rPr>
      <w:color w:val="0000FF"/>
      <w:u w:val="single"/>
    </w:rPr>
  </w:style>
  <w:style w:type="character" w:styleId="6" w:customStyle="1">
    <w:name w:val="Заголовок 6 Знак"/>
    <w:basedOn w:val="DefaultParagraphFont"/>
    <w:qFormat/>
    <w:rsid w:val="00457a48"/>
    <w:rPr>
      <w:rFonts w:ascii="Times New Roman" w:hAnsi="Times New Roman" w:eastAsia="Times New Roman"/>
      <w:b/>
      <w:bCs/>
    </w:rPr>
  </w:style>
  <w:style w:type="character" w:styleId="1" w:customStyle="1">
    <w:name w:val="Заголовок 1 Знак"/>
    <w:basedOn w:val="DefaultParagraphFont"/>
    <w:qFormat/>
    <w:rsid w:val="005b117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yle11" w:customStyle="1">
    <w:name w:val="Текст сноски Знак"/>
    <w:basedOn w:val="DefaultParagraphFont"/>
    <w:qFormat/>
    <w:rsid w:val="00641248"/>
    <w:rPr>
      <w:rFonts w:ascii="Times New Roman" w:hAnsi="Times New Roman" w:eastAsia="Times New Roman"/>
      <w:sz w:val="20"/>
      <w:szCs w:val="20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bc072f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rsid w:val="00825435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7"/>
    <w:uiPriority w:val="99"/>
    <w:semiHidden/>
    <w:qFormat/>
    <w:rsid w:val="00c22d5a"/>
    <w:pPr/>
    <w:rPr>
      <w:rFonts w:eastAsia="Calibri"/>
      <w:sz w:val="2"/>
      <w:szCs w:val="20"/>
    </w:rPr>
  </w:style>
  <w:style w:type="paragraph" w:styleId="Title">
    <w:name w:val="Title"/>
    <w:basedOn w:val="Normal"/>
    <w:link w:val="Style8"/>
    <w:uiPriority w:val="99"/>
    <w:qFormat/>
    <w:rsid w:val="00825435"/>
    <w:pPr>
      <w:jc w:val="center"/>
    </w:pPr>
    <w:rPr>
      <w:rFonts w:eastAsia="Calibri"/>
      <w:sz w:val="20"/>
      <w:szCs w:val="20"/>
    </w:rPr>
  </w:style>
  <w:style w:type="paragraph" w:styleId="BodyTextIndent">
    <w:name w:val="Body Text Indent"/>
    <w:basedOn w:val="BodyText"/>
    <w:link w:val="Style10"/>
    <w:uiPriority w:val="99"/>
    <w:semiHidden/>
    <w:qFormat/>
    <w:rsid w:val="00825435"/>
    <w:pPr>
      <w:ind w:firstLine="210"/>
    </w:pPr>
    <w:rPr/>
  </w:style>
  <w:style w:type="paragraph" w:styleId="BodyTextIndent3">
    <w:name w:val="Body Text Indent 3"/>
    <w:basedOn w:val="Normal"/>
    <w:link w:val="3"/>
    <w:uiPriority w:val="99"/>
    <w:qFormat/>
    <w:rsid w:val="00825435"/>
    <w:pPr>
      <w:spacing w:before="0" w:after="120"/>
      <w:ind w:left="283" w:hanging="0"/>
    </w:pPr>
    <w:rPr>
      <w:rFonts w:eastAsia="Calibri"/>
      <w:sz w:val="16"/>
      <w:szCs w:val="16"/>
    </w:rPr>
  </w:style>
  <w:style w:type="paragraph" w:styleId="BodyText2">
    <w:name w:val="Body Text 2"/>
    <w:basedOn w:val="Normal"/>
    <w:link w:val="2"/>
    <w:uiPriority w:val="99"/>
    <w:qFormat/>
    <w:rsid w:val="00b7528d"/>
    <w:pPr>
      <w:spacing w:lineRule="auto" w:line="480" w:before="0" w:after="120"/>
    </w:pPr>
    <w:rPr>
      <w:rFonts w:eastAsia="Calibri"/>
    </w:rPr>
  </w:style>
  <w:style w:type="paragraph" w:styleId="NormalWeb">
    <w:name w:val="Normal (Web)"/>
    <w:basedOn w:val="Normal"/>
    <w:qFormat/>
    <w:rsid w:val="009a1b3e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11" w:customStyle="1">
    <w:name w:val="Знак Знак1"/>
    <w:basedOn w:val="Normal"/>
    <w:qFormat/>
    <w:rsid w:val="00732e00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d532bb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046d45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Style11"/>
    <w:rsid w:val="00641248"/>
    <w:pPr/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82543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Сетка таблицы1"/>
    <w:basedOn w:val="a1"/>
    <w:uiPriority w:val="39"/>
    <w:rsid w:val="00641248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Application>AlterOffice/3.4.0.9$Linux_X86_64 LibreOffice_project/b8daf9e823b1a5463a2f48435ddc2e8696e7d4fc</Application>
  <AppVersion>15.0000</AppVersion>
  <Pages>10</Pages>
  <Words>1347</Words>
  <Characters>9698</Characters>
  <CharactersWithSpaces>10977</CharactersWithSpaces>
  <Paragraphs>228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2021-02-12T10:50:00Z</dcterms:created>
  <dc:creator>Аушев Александр Анатольевич</dc:creator>
  <dc:description/>
  <dc:language>ru-RU</dc:language>
  <cp:lastModifiedBy>Александр Анатольевич Аушев</cp:lastModifiedBy>
  <cp:lastPrinted>2025-10-21T14:02:40Z</cp:lastPrinted>
  <dcterms:modified xsi:type="dcterms:W3CDTF">2025-10-21T14:03:16Z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