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media/image1.jpeg" ContentType="image/jpe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header7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keepNext w:val="true"/>
        <w:keepLines/>
        <w:jc w:val="right"/>
        <w:rPr>
          <w:b/>
          <w:bCs/>
        </w:rPr>
      </w:pPr>
      <w:r>
        <w:rPr>
          <w:b/>
          <w:bCs/>
        </w:rPr>
        <w:t>«УТВЕРЖДАЮ»</w:t>
      </w:r>
    </w:p>
    <w:p>
      <w:pPr>
        <w:pStyle w:val="Normal"/>
        <w:keepNext w:val="true"/>
        <w:keepLines/>
        <w:jc w:val="right"/>
        <w:rPr>
          <w:b/>
          <w:bCs/>
        </w:rPr>
      </w:pPr>
      <w:r>
        <w:rPr>
          <w:b/>
          <w:bCs/>
        </w:rPr>
        <w:t>Главный инженер ЯГРЭС</w:t>
      </w:r>
    </w:p>
    <w:p>
      <w:pPr>
        <w:pStyle w:val="Normal"/>
        <w:keepNext w:val="true"/>
        <w:keepLines/>
        <w:jc w:val="right"/>
        <w:rPr>
          <w:b/>
          <w:bCs/>
        </w:rPr>
      </w:pPr>
      <w:r>
        <w:rPr>
          <w:b/>
          <w:bCs/>
        </w:rPr>
        <w:t>ПАО «Якутскэнерго»</w:t>
      </w:r>
    </w:p>
    <w:p>
      <w:pPr>
        <w:pStyle w:val="Normal"/>
        <w:keepNext w:val="true"/>
        <w:keepLines/>
        <w:jc w:val="right"/>
        <w:rPr>
          <w:b/>
          <w:bCs/>
        </w:rPr>
      </w:pPr>
      <w:r>
        <w:rPr>
          <w:b/>
          <w:bCs/>
        </w:rPr>
        <w:t>______________ Н.Н. Аммосов</w:t>
      </w:r>
    </w:p>
    <w:p>
      <w:pPr>
        <w:pStyle w:val="Normal"/>
        <w:keepNext w:val="true"/>
        <w:keepLines/>
        <w:jc w:val="right"/>
        <w:rPr>
          <w:b/>
          <w:bCs/>
        </w:rPr>
      </w:pPr>
      <w:r>
        <w:rPr>
          <w:b/>
          <w:bCs/>
        </w:rPr>
        <w:t>«___» ________________2026г.</w:t>
      </w:r>
    </w:p>
    <w:p>
      <w:pPr>
        <w:pStyle w:val="Normal"/>
        <w:keepNext w:val="true"/>
        <w:keepLines/>
        <w:rPr/>
      </w:pPr>
      <w:r>
        <w:rPr/>
      </w:r>
    </w:p>
    <w:p>
      <w:pPr>
        <w:pStyle w:val="Normal"/>
        <w:keepNext w:val="true"/>
        <w:keepLines/>
        <w:rPr/>
      </w:pPr>
      <w:r>
        <w:rPr/>
      </w:r>
    </w:p>
    <w:p>
      <w:pPr>
        <w:pStyle w:val="Normal"/>
        <w:keepNext w:val="true"/>
        <w:keepLines/>
        <w:rPr/>
      </w:pPr>
      <w:r>
        <w:rPr/>
      </w:r>
    </w:p>
    <w:p>
      <w:pPr>
        <w:pStyle w:val="Normal"/>
        <w:keepNext w:val="true"/>
        <w:keepLines/>
        <w:rPr/>
      </w:pPr>
      <w:r>
        <w:rPr/>
      </w:r>
    </w:p>
    <w:p>
      <w:pPr>
        <w:pStyle w:val="Normal"/>
        <w:keepNext w:val="true"/>
        <w:keepLines/>
        <w:rPr/>
      </w:pPr>
      <w:r>
        <w:rPr/>
      </w:r>
    </w:p>
    <w:p>
      <w:pPr>
        <w:pStyle w:val="Normal"/>
        <w:keepNext w:val="true"/>
        <w:keepLines/>
        <w:rPr/>
      </w:pPr>
      <w:r>
        <w:rPr/>
      </w:r>
    </w:p>
    <w:p>
      <w:pPr>
        <w:pStyle w:val="Normal"/>
        <w:keepNext w:val="true"/>
        <w:keepLines/>
        <w:rPr/>
      </w:pPr>
      <w:r>
        <w:rPr/>
      </w:r>
    </w:p>
    <w:p>
      <w:pPr>
        <w:pStyle w:val="Normal"/>
        <w:keepNext w:val="true"/>
        <w:keepLines/>
        <w:rPr/>
      </w:pPr>
      <w:r>
        <w:rPr/>
      </w:r>
    </w:p>
    <w:p>
      <w:pPr>
        <w:pStyle w:val="Normal"/>
        <w:keepNext w:val="true"/>
        <w:keepLines/>
        <w:spacing w:lineRule="auto" w:line="360"/>
        <w:jc w:val="center"/>
        <w:rPr/>
      </w:pPr>
      <w:r>
        <w:rPr>
          <w:rFonts w:eastAsia="Calibri"/>
          <w:b/>
        </w:rPr>
        <w:t>Технические требования на поставку МТР</w:t>
      </w:r>
    </w:p>
    <w:p>
      <w:pPr>
        <w:pStyle w:val="Normal"/>
        <w:spacing w:lineRule="auto" w:line="360"/>
        <w:jc w:val="center"/>
        <w:rPr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лот №</w:t>
      </w:r>
      <w:r>
        <w:rPr>
          <w:rFonts w:eastAsia="Calibri"/>
          <w:b/>
          <w:bCs/>
          <w:i w:val="false"/>
          <w:strike w:val="false"/>
          <w:dstrike w:val="false"/>
          <w:outline w:val="false"/>
          <w:shadow w:val="false"/>
          <w:sz w:val="28"/>
          <w:szCs w:val="28"/>
          <w:u w:val="none"/>
          <w:em w:val="none"/>
        </w:rPr>
        <w:t>___________________</w:t>
      </w:r>
    </w:p>
    <w:p>
      <w:pPr>
        <w:pStyle w:val="Normal"/>
        <w:bidi w:val="0"/>
        <w:jc w:val="center"/>
        <w:rPr>
          <w:b/>
          <w:bCs/>
        </w:rPr>
      </w:pPr>
      <w:r>
        <w:rPr>
          <w:b/>
          <w:bCs/>
          <w:i w:val="false"/>
          <w:strike w:val="false"/>
          <w:dstrike w:val="false"/>
          <w:outline w:val="false"/>
          <w:shadow w:val="false"/>
          <w:sz w:val="28"/>
          <w:szCs w:val="28"/>
          <w:u w:val="none"/>
          <w:shd w:fill="auto" w:val="clear"/>
          <w:em w:val="none"/>
        </w:rPr>
        <w:t>ОКПД2 27.51.26.110 По</w:t>
      </w:r>
      <w:r>
        <w:rPr>
          <w:b/>
          <w:bCs/>
          <w:i w:val="false"/>
          <w:strike w:val="false"/>
          <w:dstrike w:val="false"/>
          <w:outline w:val="false"/>
          <w:shadow w:val="false"/>
          <w:sz w:val="28"/>
          <w:szCs w:val="28"/>
          <w:u w:val="none"/>
          <w:em w:val="none"/>
        </w:rPr>
        <w:t xml:space="preserve">ставка  обогревателя вентиляторного взрывозащищенного </w:t>
      </w:r>
      <w:r>
        <w:rPr>
          <w:rFonts w:eastAsia="Calibri"/>
          <w:b/>
          <w:bCs/>
          <w:i w:val="false"/>
          <w:strike w:val="false"/>
          <w:dstrike w:val="false"/>
          <w:outline w:val="false"/>
          <w:shadow w:val="false"/>
          <w:sz w:val="28"/>
          <w:szCs w:val="28"/>
          <w:u w:val="none"/>
          <w:em w:val="none"/>
        </w:rPr>
        <w:t>для нужд Якутской ГРЭС-2 в рамках энергоремонтного производства</w:t>
      </w:r>
    </w:p>
    <w:p>
      <w:pPr>
        <w:pStyle w:val="Normal"/>
        <w:spacing w:lineRule="auto" w:line="360"/>
        <w:jc w:val="center"/>
        <w:rPr>
          <w:rFonts w:eastAsia="Calibri"/>
          <w:b/>
        </w:rPr>
      </w:pPr>
      <w:r>
        <w:rPr>
          <w:rFonts w:eastAsia="Calibri"/>
          <w:b/>
        </w:rPr>
      </w:r>
    </w:p>
    <w:p>
      <w:pPr>
        <w:pStyle w:val="Normal"/>
        <w:keepNext w:val="true"/>
        <w:keepLines/>
        <w:jc w:val="center"/>
        <w:rPr>
          <w:rFonts w:eastAsia="Calibri"/>
          <w:b/>
          <w:i/>
          <w:i/>
        </w:rPr>
      </w:pPr>
      <w:r>
        <w:rPr>
          <w:rFonts w:eastAsia="Calibri"/>
          <w:b/>
          <w:i/>
        </w:rPr>
      </w:r>
    </w:p>
    <w:p>
      <w:pPr>
        <w:pStyle w:val="Normal"/>
        <w:keepNext w:val="true"/>
        <w:keepLines/>
        <w:jc w:val="both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jc w:val="center"/>
        <w:rPr/>
      </w:pPr>
      <w:r>
        <w:rPr>
          <w:b/>
          <w:sz w:val="22"/>
          <w:szCs w:val="22"/>
        </w:rPr>
        <w:t>СОДЕРЖАНИЕ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1"/>
            <w:tabs>
              <w:tab w:val="clear" w:pos="708"/>
              <w:tab w:val="left" w:pos="560" w:leader="none"/>
              <w:tab w:val="right" w:pos="9911" w:leader="dot"/>
            </w:tabs>
            <w:rPr/>
          </w:pPr>
          <w:r>
            <w:fldChar w:fldCharType="begin"/>
          </w:r>
          <w:r>
            <w:rPr>
              <w:webHidden/>
              <w:rStyle w:val="Style14"/>
              <w:sz w:val="22"/>
              <w:szCs w:val="22"/>
              <w:vanish w:val="false"/>
              <w:rFonts w:cs="Times New Roman"/>
            </w:rPr>
            <w:instrText xml:space="preserve"> TOC \z \o "1-4" \u \h</w:instrText>
          </w:r>
          <w:r>
            <w:rPr>
              <w:webHidden/>
              <w:rStyle w:val="Style14"/>
              <w:sz w:val="22"/>
              <w:szCs w:val="22"/>
              <w:vanish w:val="false"/>
              <w:rFonts w:cs="Times New Roman"/>
            </w:rPr>
            <w:fldChar w:fldCharType="separate"/>
          </w:r>
          <w:hyperlink w:anchor="_Toc75446566">
            <w:r>
              <w:rPr>
                <w:webHidden/>
                <w:rStyle w:val="Style14"/>
                <w:rFonts w:cs="Times New Roman"/>
                <w:vanish w:val="false"/>
                <w:sz w:val="22"/>
                <w:szCs w:val="22"/>
              </w:rPr>
              <w:t>1.</w:t>
            </w:r>
            <w:r>
              <w:rPr>
                <w:rStyle w:val="Style14"/>
                <w:rFonts w:eastAsia="" w:cs="Times New Roman" w:eastAsiaTheme="minorEastAsia"/>
                <w:b w:val="false"/>
                <w:bCs w:val="false"/>
                <w:sz w:val="22"/>
                <w:szCs w:val="22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_Toc75446566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sz w:val="22"/>
                <w:szCs w:val="22"/>
              </w:rPr>
              <w:t>Общие сведения</w:t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4"/>
            <w:tabs>
              <w:tab w:val="clear" w:pos="708"/>
              <w:tab w:val="left" w:pos="1120" w:leader="none"/>
              <w:tab w:val="right" w:pos="9911" w:leader="dot"/>
            </w:tabs>
            <w:rPr/>
          </w:pPr>
          <w:hyperlink w:anchor="_Toc75446568">
            <w:r>
              <w:rPr>
                <w:webHidden/>
                <w:rStyle w:val="Style14"/>
                <w:rFonts w:cs="Times New Roman"/>
                <w:iCs/>
                <w:vanish w:val="false"/>
                <w:sz w:val="22"/>
                <w:szCs w:val="22"/>
              </w:rPr>
              <w:t>1.1.</w:t>
            </w:r>
            <w:r>
              <w:rPr>
                <w:rStyle w:val="Style14"/>
                <w:rFonts w:eastAsia="" w:cs="Times New Roman" w:eastAsiaTheme="minorEastAsia"/>
                <w:sz w:val="22"/>
                <w:szCs w:val="22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_Toc75446568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sz w:val="22"/>
                <w:szCs w:val="22"/>
              </w:rPr>
              <w:t>Наименование закупаемой продукции</w:t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4"/>
            <w:tabs>
              <w:tab w:val="clear" w:pos="708"/>
              <w:tab w:val="left" w:pos="1120" w:leader="none"/>
              <w:tab w:val="right" w:pos="9911" w:leader="dot"/>
            </w:tabs>
            <w:rPr/>
          </w:pPr>
          <w:hyperlink w:anchor="_Toc75446569">
            <w:r>
              <w:rPr>
                <w:webHidden/>
                <w:rStyle w:val="Style14"/>
                <w:rFonts w:cs="Times New Roman"/>
                <w:iCs/>
                <w:vanish w:val="false"/>
                <w:sz w:val="22"/>
                <w:szCs w:val="22"/>
              </w:rPr>
              <w:t>1.2.</w:t>
            </w:r>
            <w:r>
              <w:rPr>
                <w:rStyle w:val="Style14"/>
                <w:rFonts w:eastAsia="" w:cs="Times New Roman" w:eastAsiaTheme="minorEastAsia"/>
                <w:sz w:val="22"/>
                <w:szCs w:val="22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_Toc75446569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sz w:val="22"/>
                <w:szCs w:val="22"/>
              </w:rPr>
              <w:t xml:space="preserve">Цель использования закупаемой продукции </w:t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left" w:pos="560" w:leader="none"/>
              <w:tab w:val="right" w:pos="9911" w:leader="dot"/>
            </w:tabs>
            <w:rPr/>
          </w:pPr>
          <w:hyperlink w:anchor="_Toc75446573">
            <w:r>
              <w:rPr>
                <w:webHidden/>
                <w:rStyle w:val="Style14"/>
                <w:rFonts w:cs="Times New Roman"/>
                <w:vanish w:val="false"/>
                <w:sz w:val="22"/>
                <w:szCs w:val="22"/>
              </w:rPr>
              <w:t>2.</w:t>
            </w:r>
            <w:r>
              <w:rPr>
                <w:rStyle w:val="Style14"/>
                <w:rFonts w:eastAsia="" w:cs="Times New Roman" w:eastAsiaTheme="minorEastAsia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14"/>
                <w:rFonts w:cs="Times New Roman"/>
                <w:iCs/>
                <w:sz w:val="22"/>
                <w:szCs w:val="22"/>
              </w:rPr>
              <w:t>Требования к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_Toc75446573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sz w:val="22"/>
                <w:szCs w:val="22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4"/>
            <w:tabs>
              <w:tab w:val="clear" w:pos="708"/>
              <w:tab w:val="left" w:pos="1120" w:leader="none"/>
              <w:tab w:val="right" w:pos="9911" w:leader="dot"/>
            </w:tabs>
            <w:rPr/>
          </w:pPr>
          <w:hyperlink w:anchor="_Toc75446574">
            <w:r>
              <w:rPr>
                <w:webHidden/>
                <w:rStyle w:val="Style14"/>
                <w:rFonts w:cs="Times New Roman"/>
                <w:iCs/>
                <w:vanish w:val="false"/>
                <w:sz w:val="22"/>
                <w:szCs w:val="22"/>
              </w:rPr>
              <w:t>2.1.</w:t>
            </w:r>
            <w:r>
              <w:rPr>
                <w:rStyle w:val="Style14"/>
                <w:rFonts w:eastAsia="" w:cs="Times New Roman" w:eastAsiaTheme="minorEastAsia"/>
                <w:sz w:val="22"/>
                <w:szCs w:val="22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_Toc75446574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sz w:val="22"/>
                <w:szCs w:val="22"/>
              </w:rPr>
              <w:t>Требования к объемам и срокам поставки</w:t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tabs>
              <w:tab w:val="clear" w:pos="708"/>
              <w:tab w:val="left" w:pos="1120" w:leader="none"/>
              <w:tab w:val="right" w:pos="9911" w:leader="dot"/>
            </w:tabs>
            <w:rPr/>
          </w:pPr>
          <w:hyperlink w:anchor="_Toc75446575">
            <w:r>
              <w:rPr>
                <w:webHidden/>
                <w:rStyle w:val="Style14"/>
                <w:rFonts w:cs="Times New Roman"/>
                <w:vanish w:val="false"/>
                <w:sz w:val="22"/>
                <w:szCs w:val="22"/>
              </w:rPr>
              <w:t>2.1.1.</w:t>
            </w:r>
            <w:r>
              <w:rPr>
                <w:rStyle w:val="Style14"/>
                <w:rFonts w:eastAsia="" w:cs="Times New Roman" w:eastAsiaTheme="minorEastAsia"/>
                <w:sz w:val="22"/>
                <w:szCs w:val="22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_Toc75446575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sz w:val="22"/>
                <w:szCs w:val="22"/>
              </w:rPr>
              <w:t>Перечень и объем закупаемой продукции</w:t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right" w:pos="9911" w:leader="dot"/>
            </w:tabs>
            <w:rPr/>
          </w:pPr>
          <w:hyperlink w:anchor="_Toc75446576">
            <w:r>
              <w:rPr>
                <w:webHidden/>
                <w:rStyle w:val="Style14"/>
                <w:rFonts w:cs="Times New Roman"/>
                <w:vanish w:val="false"/>
                <w:sz w:val="22"/>
                <w:szCs w:val="22"/>
              </w:rPr>
              <w:t>Таблица 1.1 Перечень и объем закупаемой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_Toc75446576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sz w:val="22"/>
                <w:szCs w:val="22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right" w:pos="9911" w:leader="dot"/>
            </w:tabs>
            <w:rPr/>
          </w:pPr>
          <w:hyperlink w:anchor="_Toc75446579">
            <w:r>
              <w:rPr>
                <w:webHidden/>
                <w:rStyle w:val="Style14"/>
                <w:rFonts w:cs="Times New Roman"/>
                <w:vanish w:val="false"/>
                <w:sz w:val="22"/>
                <w:szCs w:val="22"/>
              </w:rPr>
              <w:t>Таблица 2.1 Требования по срокам поставки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_Toc75446579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sz w:val="22"/>
                <w:szCs w:val="22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right" w:pos="9911" w:leader="dot"/>
            </w:tabs>
            <w:rPr/>
          </w:pPr>
          <w:hyperlink w:anchor="_Toc75446582">
            <w:r>
              <w:rPr>
                <w:webHidden/>
                <w:rStyle w:val="Style14"/>
                <w:rFonts w:cs="Times New Roman"/>
                <w:vanish w:val="false"/>
                <w:sz w:val="22"/>
                <w:szCs w:val="22"/>
              </w:rPr>
              <w:t>Таблица 3. Требования к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_Toc75446582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sz w:val="22"/>
                <w:szCs w:val="22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left" w:pos="560" w:leader="none"/>
              <w:tab w:val="right" w:pos="9911" w:leader="dot"/>
            </w:tabs>
            <w:rPr/>
          </w:pPr>
          <w:hyperlink w:anchor="_Toc75446585">
            <w:r>
              <w:rPr>
                <w:webHidden/>
                <w:rStyle w:val="Style14"/>
                <w:rFonts w:cs="Times New Roman"/>
                <w:vanish w:val="false"/>
                <w:sz w:val="22"/>
                <w:szCs w:val="22"/>
              </w:rPr>
              <w:t>4.</w:t>
            </w:r>
            <w:r>
              <w:rPr>
                <w:rStyle w:val="Style14"/>
                <w:rFonts w:eastAsia="" w:cs="Times New Roman" w:eastAsiaTheme="minorEastAsia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14"/>
                <w:rFonts w:cs="Times New Roman"/>
                <w:iCs/>
                <w:sz w:val="22"/>
                <w:szCs w:val="22"/>
              </w:rPr>
              <w:t>Приложения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_Toc75446585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sz w:val="22"/>
                <w:szCs w:val="22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  <w:r>
            <w:rPr>
              <w:rStyle w:val="Style14"/>
              <w:sz w:val="22"/>
              <w:szCs w:val="22"/>
              <w:rFonts w:cs="Times New Roman"/>
            </w:rPr>
            <w:fldChar w:fldCharType="end"/>
          </w:r>
        </w:p>
      </w:sdtContent>
    </w:sdt>
    <w:p>
      <w:pPr>
        <w:pStyle w:val="Heading2"/>
        <w:tabs>
          <w:tab w:val="clear" w:pos="0"/>
        </w:tabs>
        <w:ind w:left="0" w:hanging="0"/>
        <w:rPr>
          <w:b w:val="false"/>
          <w:sz w:val="22"/>
          <w:szCs w:val="22"/>
        </w:rPr>
      </w:pPr>
      <w:r>
        <w:rPr>
          <w:b w:val="false"/>
          <w:sz w:val="22"/>
          <w:szCs w:val="22"/>
        </w:rPr>
      </w:r>
    </w:p>
    <w:p>
      <w:pPr>
        <w:pStyle w:val="Normal"/>
        <w:keepNext w:val="true"/>
        <w:keepLines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</w:r>
      <w:r>
        <w:br w:type="page"/>
      </w:r>
    </w:p>
    <w:p>
      <w:pPr>
        <w:pStyle w:val="Heading1"/>
        <w:keepLines/>
        <w:numPr>
          <w:ilvl w:val="0"/>
          <w:numId w:val="3"/>
        </w:numPr>
        <w:ind w:left="357" w:hanging="357"/>
        <w:jc w:val="center"/>
        <w:rPr/>
      </w:pPr>
      <w:bookmarkStart w:id="0" w:name="_Toc75446566"/>
      <w:bookmarkStart w:id="1" w:name="_Toc51339692"/>
      <w:r>
        <w:rPr>
          <w:sz w:val="22"/>
          <w:szCs w:val="22"/>
          <w:lang w:val="ru-RU"/>
        </w:rPr>
        <w:t>Общие сведения</w:t>
      </w:r>
      <w:bookmarkEnd w:id="0"/>
      <w:bookmarkEnd w:id="1"/>
    </w:p>
    <w:p>
      <w:pPr>
        <w:pStyle w:val="Heading4"/>
        <w:numPr>
          <w:ilvl w:val="1"/>
          <w:numId w:val="3"/>
        </w:numPr>
        <w:rPr/>
      </w:pPr>
      <w:bookmarkStart w:id="2" w:name="_Toc46743506"/>
      <w:bookmarkStart w:id="3" w:name="_Toc75446568"/>
      <w:r>
        <w:rPr>
          <w:sz w:val="22"/>
          <w:szCs w:val="22"/>
        </w:rPr>
        <w:t>Наименование закупаемой продукции</w:t>
      </w:r>
      <w:bookmarkEnd w:id="2"/>
      <w:bookmarkEnd w:id="3"/>
    </w:p>
    <w:p>
      <w:pPr>
        <w:pStyle w:val="Normal"/>
        <w:bidi w:val="0"/>
        <w:jc w:val="left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shd w:fill="auto" w:val="clear"/>
          <w:em w:val="none"/>
        </w:rPr>
        <w:t>Обогреватель вентиляторный взрывозащищенный</w:t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120" w:after="120"/>
        <w:jc w:val="both"/>
        <w:rPr>
          <w:rStyle w:val="Style8"/>
          <w:rFonts w:eastAsia="Calibri"/>
          <w:b w:val="false"/>
          <w:bCs w:val="false"/>
          <w:i w:val="false"/>
          <w:i w:val="false"/>
          <w:strike w:val="false"/>
          <w:dstrike w:val="false"/>
          <w:outline w:val="false"/>
          <w:shadow w:val="false"/>
          <w:sz w:val="22"/>
          <w:szCs w:val="22"/>
          <w:u w:val="none"/>
          <w:shd w:fill="auto" w:val="clear"/>
          <w:em w:val="none"/>
          <w:lang w:eastAsia="x-none"/>
        </w:rPr>
      </w:pPr>
      <w:r>
        <w:rPr>
          <w:rFonts w:eastAsia="Calibri"/>
          <w:b w:val="false"/>
          <w:bCs w:val="false"/>
          <w:i w:val="false"/>
          <w:strike w:val="false"/>
          <w:dstrike w:val="false"/>
          <w:outline w:val="false"/>
          <w:shadow w:val="false"/>
          <w:sz w:val="22"/>
          <w:szCs w:val="22"/>
          <w:u w:val="none"/>
          <w:shd w:fill="auto" w:val="clear"/>
          <w:em w:val="none"/>
          <w:lang w:eastAsia="x-none"/>
        </w:rPr>
      </w:r>
    </w:p>
    <w:p>
      <w:pPr>
        <w:pStyle w:val="Heading4"/>
        <w:numPr>
          <w:ilvl w:val="1"/>
          <w:numId w:val="3"/>
        </w:numPr>
        <w:spacing w:before="240" w:after="60"/>
        <w:ind w:left="431" w:hanging="431"/>
        <w:rPr/>
      </w:pPr>
      <w:bookmarkStart w:id="4" w:name="_Toc75446569"/>
      <w:bookmarkStart w:id="5" w:name="_Toc46743507"/>
      <w:r>
        <w:rPr>
          <w:sz w:val="22"/>
          <w:szCs w:val="22"/>
        </w:rPr>
        <w:t xml:space="preserve">Цель </w:t>
      </w:r>
      <w:bookmarkEnd w:id="5"/>
      <w:r>
        <w:rPr>
          <w:sz w:val="22"/>
          <w:szCs w:val="22"/>
          <w:lang w:val="ru-RU"/>
        </w:rPr>
        <w:t xml:space="preserve">использования закупаемой продукции </w:t>
      </w:r>
      <w:bookmarkEnd w:id="4"/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120" w:after="120"/>
        <w:rPr/>
      </w:pPr>
      <w:r>
        <w:rPr>
          <w:rFonts w:eastAsia="Calibri"/>
          <w:sz w:val="22"/>
          <w:szCs w:val="22"/>
          <w:lang w:eastAsia="x-none"/>
        </w:rPr>
        <w:t xml:space="preserve">Выполнение ремонтной программы Якутской ГРЭС-2 </w:t>
      </w:r>
    </w:p>
    <w:p>
      <w:pPr>
        <w:pStyle w:val="Heading1"/>
        <w:keepLines/>
        <w:numPr>
          <w:ilvl w:val="0"/>
          <w:numId w:val="3"/>
        </w:numPr>
        <w:ind w:left="357" w:hanging="357"/>
        <w:jc w:val="center"/>
        <w:rPr/>
      </w:pPr>
      <w:bookmarkStart w:id="6" w:name="_Toc51339693"/>
      <w:bookmarkStart w:id="7" w:name="_Toc75446573"/>
      <w:r>
        <w:rPr>
          <w:iCs/>
          <w:sz w:val="22"/>
          <w:szCs w:val="22"/>
        </w:rPr>
        <w:t xml:space="preserve">Требования к </w:t>
      </w:r>
      <w:r>
        <w:rPr>
          <w:sz w:val="22"/>
          <w:szCs w:val="22"/>
          <w:lang w:val="ru-RU"/>
        </w:rPr>
        <w:t>продукции</w:t>
      </w:r>
      <w:bookmarkEnd w:id="6"/>
      <w:bookmarkEnd w:id="7"/>
    </w:p>
    <w:p>
      <w:pPr>
        <w:pStyle w:val="Heading4"/>
        <w:numPr>
          <w:ilvl w:val="1"/>
          <w:numId w:val="3"/>
        </w:numPr>
        <w:rPr/>
      </w:pPr>
      <w:bookmarkStart w:id="8" w:name="_Toc75446574"/>
      <w:r>
        <w:rPr>
          <w:sz w:val="22"/>
          <w:szCs w:val="22"/>
        </w:rPr>
        <w:t xml:space="preserve">Требования к объемам и срокам </w:t>
      </w:r>
      <w:r>
        <w:rPr>
          <w:sz w:val="22"/>
          <w:szCs w:val="22"/>
          <w:lang w:val="ru-RU"/>
        </w:rPr>
        <w:t>поставки</w:t>
      </w:r>
      <w:bookmarkEnd w:id="8"/>
    </w:p>
    <w:p>
      <w:pPr>
        <w:pStyle w:val="Heading3"/>
        <w:numPr>
          <w:ilvl w:val="2"/>
          <w:numId w:val="3"/>
        </w:numPr>
        <w:rPr/>
      </w:pPr>
      <w:bookmarkStart w:id="9" w:name="_Toc75446575"/>
      <w:r>
        <w:rPr>
          <w:sz w:val="22"/>
          <w:szCs w:val="22"/>
          <w:lang w:val="ru-RU"/>
        </w:rPr>
        <w:t>Перечень и объем закупаемой продукции</w:t>
      </w:r>
      <w:bookmarkEnd w:id="9"/>
    </w:p>
    <w:p>
      <w:pPr>
        <w:pStyle w:val="Heading1"/>
        <w:keepLines/>
        <w:tabs>
          <w:tab w:val="clear" w:pos="0"/>
        </w:tabs>
        <w:spacing w:before="240" w:after="60"/>
        <w:ind w:left="0" w:hanging="0"/>
        <w:rPr>
          <w:sz w:val="22"/>
          <w:szCs w:val="22"/>
          <w:lang w:val="ru-RU"/>
        </w:rPr>
      </w:pPr>
      <w:bookmarkStart w:id="10" w:name="_Toc75446576"/>
      <w:bookmarkStart w:id="11" w:name="_Toc51339695"/>
      <w:r>
        <w:rPr>
          <w:sz w:val="22"/>
          <w:szCs w:val="22"/>
        </w:rPr>
        <w:t xml:space="preserve">Таблица </w:t>
      </w:r>
      <w:r>
        <w:rPr>
          <w:sz w:val="22"/>
          <w:szCs w:val="22"/>
          <w:lang w:val="ru-RU"/>
        </w:rPr>
        <w:t>1.1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ru-RU"/>
        </w:rPr>
        <w:t xml:space="preserve">Перечень </w:t>
      </w:r>
      <w:bookmarkEnd w:id="11"/>
      <w:r>
        <w:rPr>
          <w:sz w:val="22"/>
          <w:szCs w:val="22"/>
          <w:lang w:val="ru-RU"/>
        </w:rPr>
        <w:t>и объем закупаемой продукции</w:t>
      </w:r>
      <w:bookmarkEnd w:id="10"/>
    </w:p>
    <w:tbl>
      <w:tblPr>
        <w:tblW w:w="10074" w:type="dxa"/>
        <w:jc w:val="left"/>
        <w:tblInd w:w="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600"/>
        <w:gridCol w:w="4323"/>
        <w:gridCol w:w="1091"/>
        <w:gridCol w:w="790"/>
        <w:gridCol w:w="1568"/>
        <w:gridCol w:w="1701"/>
      </w:tblGrid>
      <w:tr>
        <w:trPr/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keepNext w:val="true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  <w:p>
            <w:pPr>
              <w:pStyle w:val="Normal"/>
              <w:keepNext w:val="true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4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keepNext w:val="true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продукции</w:t>
            </w:r>
          </w:p>
        </w:tc>
        <w:tc>
          <w:tcPr>
            <w:tcW w:w="1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keepNext w:val="true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keepNext w:val="true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</w:p>
        </w:tc>
        <w:tc>
          <w:tcPr>
            <w:tcW w:w="3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Применение законодательства о национальном режиме</w:t>
            </w:r>
          </w:p>
        </w:tc>
      </w:tr>
      <w:tr>
        <w:trPr/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32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7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suppressAutoHyphens w:val="tru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 ОКПД 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suppressAutoHyphens w:val="tru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Меры по предоставлению национального режима</w:t>
            </w:r>
          </w:p>
        </w:tc>
      </w:tr>
      <w:tr>
        <w:trPr/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</w:tr>
      <w:tr>
        <w:trPr>
          <w:trHeight w:val="346" w:hRule="exact"/>
        </w:trPr>
        <w:tc>
          <w:tcPr>
            <w:tcW w:w="6804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ЯГРЭС-2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7"/>
              </w:numPr>
              <w:jc w:val="right"/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4323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Обогреватель вентиляторный взрывозащищенный 25кВт CXH-A-25L-4035-32-40-20-CE Chromalox</w:t>
            </w:r>
          </w:p>
        </w:tc>
        <w:tc>
          <w:tcPr>
            <w:tcW w:w="109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Style35"/>
              <w:widowControl w:val="false"/>
              <w:jc w:val="center"/>
              <w:rPr/>
            </w:pPr>
            <w:r>
              <w:rPr>
                <w:b w:val="false"/>
                <w:bCs w:val="false"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>
            <w:pPr>
              <w:pStyle w:val="Style35"/>
              <w:widowControl w:val="false"/>
              <w:jc w:val="center"/>
              <w:rPr/>
            </w:pPr>
            <w:r>
              <w:rPr>
                <w:b w:val="false"/>
                <w:bCs w:val="false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8" w:type="dxa"/>
            <w:tcBorders>
              <w:left w:val="single" w:sz="8" w:space="0" w:color="000000"/>
              <w:bottom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bidi w:val="0"/>
              <w:jc w:val="center"/>
              <w:rPr/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</w:rPr>
              <w:t>27.51.26.110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000000" w:fill="FFFFFF" w:val="clear"/>
            <w:vAlign w:val="center"/>
          </w:tcPr>
          <w:p>
            <w:pPr>
              <w:pStyle w:val="BodyText"/>
              <w:widowControl w:val="false"/>
              <w:shd w:val="clear" w:fill="FFFFFF"/>
              <w:spacing w:before="0" w:after="0"/>
              <w:ind w:left="0" w:right="0" w:hanging="0"/>
              <w:jc w:val="center"/>
              <w:rPr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Установлен режим преимущества российской продукции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323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Style35"/>
              <w:widowControl w:val="false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10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790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ind w:left="0" w:hanging="0"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68" w:type="dxa"/>
            <w:tcBorders>
              <w:left w:val="single" w:sz="8" w:space="0" w:color="000000"/>
              <w:bottom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ind w:left="0" w:hanging="0"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ind w:left="0" w:hanging="0"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shd w:val="clear" w:fill="FFFFFF"/>
        <w:spacing w:before="0" w:after="120"/>
        <w:jc w:val="both"/>
        <w:rPr>
          <w:color w:val="000000"/>
          <w:sz w:val="24"/>
          <w:szCs w:val="24"/>
          <w:highlight w:val="none"/>
          <w:shd w:fill="FFFFFF" w:val="clear"/>
        </w:rPr>
      </w:pPr>
      <w:r>
        <w:rPr>
          <w:color w:val="000000"/>
          <w:sz w:val="24"/>
          <w:szCs w:val="24"/>
          <w:shd w:fill="FFFFFF" w:val="clear"/>
        </w:rPr>
      </w:r>
    </w:p>
    <w:p>
      <w:pPr>
        <w:pStyle w:val="Normal"/>
        <w:shd w:val="clear" w:fill="FFFFFF"/>
        <w:spacing w:before="0" w:after="120"/>
        <w:jc w:val="both"/>
        <w:rPr>
          <w:color w:val="000000"/>
          <w:sz w:val="24"/>
          <w:szCs w:val="24"/>
          <w:highlight w:val="none"/>
          <w:shd w:fill="FFFFFF" w:val="clear"/>
        </w:rPr>
      </w:pPr>
      <w:r>
        <w:rPr>
          <w:color w:val="000000"/>
          <w:sz w:val="24"/>
          <w:szCs w:val="24"/>
          <w:shd w:fill="FFFFFF" w:val="clear"/>
        </w:rPr>
      </w:r>
      <w:r>
        <w:br w:type="page"/>
      </w:r>
    </w:p>
    <w:p>
      <w:pPr>
        <w:pStyle w:val="Heading3"/>
        <w:numPr>
          <w:ilvl w:val="2"/>
          <w:numId w:val="3"/>
        </w:numPr>
        <w:rPr/>
      </w:pPr>
      <w:bookmarkStart w:id="12" w:name="_Toc75446578"/>
      <w:bookmarkStart w:id="13" w:name="_Toc51339696"/>
      <w:r>
        <w:rPr>
          <w:sz w:val="22"/>
          <w:szCs w:val="22"/>
          <w:lang w:val="ru-RU"/>
        </w:rPr>
        <w:t xml:space="preserve">Требования </w:t>
      </w:r>
      <w:bookmarkEnd w:id="13"/>
      <w:r>
        <w:rPr>
          <w:sz w:val="22"/>
          <w:szCs w:val="22"/>
          <w:lang w:val="ru-RU"/>
        </w:rPr>
        <w:t>к срокам поставки продукции и оказания сопутствующих услуг</w:t>
      </w:r>
      <w:bookmarkEnd w:id="12"/>
    </w:p>
    <w:p>
      <w:pPr>
        <w:pStyle w:val="Heading1"/>
        <w:keepLines/>
        <w:tabs>
          <w:tab w:val="clear" w:pos="0"/>
        </w:tabs>
        <w:spacing w:before="240" w:after="60"/>
        <w:ind w:left="0" w:hanging="0"/>
        <w:rPr/>
      </w:pPr>
      <w:bookmarkStart w:id="14" w:name="_Toc75446579"/>
      <w:bookmarkStart w:id="15" w:name="_Toc51339697"/>
      <w:bookmarkStart w:id="16" w:name="_Toc50125127"/>
      <w:bookmarkStart w:id="17" w:name="_Toc50125126"/>
      <w:bookmarkEnd w:id="17"/>
      <w:r>
        <w:rPr>
          <w:sz w:val="22"/>
          <w:szCs w:val="22"/>
        </w:rPr>
        <w:t xml:space="preserve">Таблица </w:t>
      </w:r>
      <w:r>
        <w:rPr>
          <w:sz w:val="22"/>
          <w:szCs w:val="22"/>
          <w:lang w:val="ru-RU"/>
        </w:rPr>
        <w:t>2</w:t>
      </w:r>
      <w:r>
        <w:rPr>
          <w:sz w:val="22"/>
          <w:szCs w:val="22"/>
        </w:rPr>
        <w:t>.</w:t>
      </w:r>
      <w:r>
        <w:rPr>
          <w:sz w:val="22"/>
          <w:szCs w:val="22"/>
          <w:lang w:val="ru-RU"/>
        </w:rPr>
        <w:t>1</w:t>
      </w:r>
      <w:r>
        <w:rPr>
          <w:sz w:val="22"/>
          <w:szCs w:val="22"/>
        </w:rPr>
        <w:t xml:space="preserve"> </w:t>
      </w:r>
      <w:bookmarkStart w:id="18" w:name="_Hlk50465284"/>
      <w:r>
        <w:rPr>
          <w:sz w:val="22"/>
          <w:szCs w:val="22"/>
        </w:rPr>
        <w:t xml:space="preserve">Требования по срокам </w:t>
      </w:r>
      <w:bookmarkEnd w:id="15"/>
      <w:bookmarkEnd w:id="16"/>
      <w:bookmarkEnd w:id="18"/>
      <w:r>
        <w:rPr>
          <w:sz w:val="22"/>
          <w:szCs w:val="22"/>
          <w:lang w:val="ru-RU"/>
        </w:rPr>
        <w:t>поставки продукции</w:t>
      </w:r>
      <w:bookmarkEnd w:id="14"/>
      <w:r>
        <w:rPr>
          <w:sz w:val="22"/>
          <w:szCs w:val="22"/>
          <w:lang w:val="ru-RU"/>
        </w:rPr>
        <w:t xml:space="preserve"> </w:t>
      </w:r>
    </w:p>
    <w:p>
      <w:pPr>
        <w:pStyle w:val="Normal"/>
        <w:tabs>
          <w:tab w:val="clear" w:pos="708"/>
        </w:tabs>
        <w:spacing w:before="240" w:after="60"/>
        <w:ind w:left="0" w:hanging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</w:r>
    </w:p>
    <w:p>
      <w:pPr>
        <w:pStyle w:val="Normal"/>
        <w:tabs>
          <w:tab w:val="clear" w:pos="708"/>
        </w:tabs>
        <w:spacing w:before="240" w:after="60"/>
        <w:ind w:left="0" w:hanging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</w:r>
    </w:p>
    <w:tbl>
      <w:tblPr>
        <w:tblW w:w="10575" w:type="dxa"/>
        <w:jc w:val="left"/>
        <w:tblInd w:w="-25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782"/>
        <w:gridCol w:w="4542"/>
        <w:gridCol w:w="2423"/>
        <w:gridCol w:w="2827"/>
      </w:tblGrid>
      <w:tr>
        <w:trPr/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п/п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продукции / партии продукции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к началу срока поставки продукции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к окончанию срока поставки продукции</w:t>
            </w:r>
          </w:p>
        </w:tc>
      </w:tr>
      <w:tr>
        <w:trPr/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9"/>
              <w:keepNext w:val="false"/>
              <w:widowControl w:val="false"/>
              <w:spacing w:before="40" w:after="40"/>
              <w:jc w:val="center"/>
              <w:rPr>
                <w:szCs w:val="22"/>
              </w:rPr>
            </w:pPr>
            <w:r>
              <w:rPr>
                <w:b/>
                <w:szCs w:val="22"/>
              </w:rPr>
              <w:t>3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9"/>
              <w:keepNext w:val="false"/>
              <w:widowControl w:val="false"/>
              <w:spacing w:before="40" w:after="40"/>
              <w:jc w:val="center"/>
              <w:rPr>
                <w:szCs w:val="22"/>
              </w:rPr>
            </w:pPr>
            <w:r>
              <w:rPr>
                <w:b/>
                <w:szCs w:val="22"/>
              </w:rPr>
              <w:t>4</w:t>
            </w:r>
          </w:p>
        </w:tc>
      </w:tr>
      <w:tr>
        <w:trPr/>
        <w:tc>
          <w:tcPr>
            <w:tcW w:w="10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ЯГРЭС-2</w:t>
            </w:r>
          </w:p>
        </w:tc>
      </w:tr>
      <w:tr>
        <w:trPr/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542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Обогреватель вентиляторный взрывозащищенный 25кВт CXH-A-25L-4035-32-40-20-CE Chromalox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  <w:szCs w:val="24"/>
              </w:rPr>
              <w:t>С даты подписания договора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течение 180 календарных дней с даты подписания договора</w:t>
            </w:r>
          </w:p>
        </w:tc>
      </w:tr>
    </w:tbl>
    <w:p>
      <w:pPr>
        <w:sectPr>
          <w:headerReference w:type="even" r:id="rId2"/>
          <w:headerReference w:type="default" r:id="rId3"/>
          <w:headerReference w:type="first" r:id="rId4"/>
          <w:type w:val="nextPage"/>
          <w:pgSz w:w="11906" w:h="16838"/>
          <w:pgMar w:left="1134" w:right="851" w:gutter="0" w:header="680" w:top="1134" w:footer="0" w:bottom="992"/>
          <w:pgNumType w:fmt="decimal"/>
          <w:formProt w:val="false"/>
          <w:titlePg/>
          <w:textDirection w:val="lrTb"/>
          <w:docGrid w:type="default" w:linePitch="360" w:charSpace="0"/>
        </w:sectPr>
      </w:pPr>
    </w:p>
    <w:p>
      <w:pPr>
        <w:pStyle w:val="Heading4"/>
        <w:numPr>
          <w:ilvl w:val="1"/>
          <w:numId w:val="3"/>
        </w:numPr>
        <w:rPr/>
      </w:pPr>
      <w:bookmarkStart w:id="19" w:name="_Toc51339698"/>
      <w:bookmarkStart w:id="20" w:name="_Toc75446581"/>
      <w:bookmarkStart w:id="21" w:name="_Toc46743511"/>
      <w:bookmarkStart w:id="22" w:name="_Toc54785622"/>
      <w:bookmarkEnd w:id="22"/>
      <w:r>
        <w:rPr>
          <w:sz w:val="22"/>
          <w:szCs w:val="22"/>
        </w:rPr>
        <w:t xml:space="preserve">Требования к </w:t>
      </w:r>
      <w:bookmarkEnd w:id="21"/>
      <w:r>
        <w:rPr>
          <w:sz w:val="22"/>
          <w:szCs w:val="22"/>
          <w:lang w:val="ru-RU"/>
        </w:rPr>
        <w:t>качеству продукции</w:t>
      </w:r>
      <w:bookmarkEnd w:id="20"/>
    </w:p>
    <w:p>
      <w:pPr>
        <w:pStyle w:val="Heading1"/>
        <w:keepLines/>
        <w:tabs>
          <w:tab w:val="clear" w:pos="0"/>
        </w:tabs>
        <w:spacing w:before="240" w:after="60"/>
        <w:ind w:left="0" w:hanging="0"/>
        <w:rPr/>
      </w:pPr>
      <w:r>
        <w:rPr>
          <w:sz w:val="22"/>
          <w:szCs w:val="22"/>
        </w:rPr>
        <w:t xml:space="preserve"> </w:t>
      </w:r>
      <w:bookmarkStart w:id="23" w:name="_Toc75446582"/>
      <w:r>
        <w:rPr>
          <w:sz w:val="22"/>
          <w:szCs w:val="22"/>
        </w:rPr>
        <w:t>Таблица </w:t>
      </w:r>
      <w:r>
        <w:rPr>
          <w:sz w:val="22"/>
          <w:szCs w:val="22"/>
          <w:lang w:val="ru-RU"/>
        </w:rPr>
        <w:t>3</w:t>
      </w:r>
      <w:r>
        <w:rPr>
          <w:sz w:val="22"/>
          <w:szCs w:val="22"/>
        </w:rPr>
        <w:t xml:space="preserve">. Требования к </w:t>
      </w:r>
      <w:r>
        <w:rPr>
          <w:sz w:val="22"/>
          <w:szCs w:val="22"/>
          <w:lang w:val="ru-RU"/>
        </w:rPr>
        <w:t>продукции</w:t>
      </w:r>
      <w:bookmarkEnd w:id="23"/>
      <w:r>
        <w:rPr>
          <w:sz w:val="22"/>
          <w:szCs w:val="22"/>
        </w:rPr>
        <w:t xml:space="preserve"> </w:t>
      </w:r>
      <w:bookmarkEnd w:id="19"/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/>
      </w:pPr>
      <w:r>
        <w:rPr>
          <w:b/>
          <w:bCs/>
          <w:iCs/>
          <w:sz w:val="22"/>
          <w:szCs w:val="22"/>
        </w:rPr>
        <w:t xml:space="preserve">Наименование продукции (позиция №1-3 Таблицы 3.1): </w:t>
      </w:r>
      <w:r>
        <w:rPr>
          <w:rFonts w:eastAsia="Calibri"/>
          <w:b/>
          <w:bCs/>
          <w:sz w:val="22"/>
          <w:szCs w:val="22"/>
        </w:rPr>
        <w:t>«</w:t>
      </w:r>
      <w:r>
        <w:rPr>
          <w:rStyle w:val="Style8"/>
          <w:rFonts w:eastAsia="Calibri"/>
          <w:b/>
          <w:bCs/>
          <w:i w:val="false"/>
          <w:iCs w:val="false"/>
          <w:strike w:val="false"/>
          <w:dstrike w:val="false"/>
          <w:outline w:val="false"/>
          <w:shadow w:val="false"/>
          <w:color w:val="000000"/>
          <w:sz w:val="22"/>
          <w:szCs w:val="22"/>
          <w:u w:val="none"/>
          <w:shd w:fill="auto" w:val="clear"/>
          <w:em w:val="none"/>
          <w:lang w:eastAsia="x-none"/>
        </w:rPr>
        <w:t>Обогреватель вентиляторный взрывозащищенный</w:t>
      </w:r>
      <w:r>
        <w:rPr>
          <w:rFonts w:eastAsia="Calibri"/>
          <w:b/>
          <w:bCs/>
          <w:sz w:val="22"/>
          <w:szCs w:val="22"/>
        </w:rPr>
        <w:t>»</w:t>
      </w:r>
    </w:p>
    <w:p>
      <w:pPr>
        <w:pStyle w:val="Normal"/>
        <w:jc w:val="both"/>
        <w:rPr>
          <w:rFonts w:eastAsia="Calibri"/>
          <w:b/>
          <w:bCs/>
          <w:sz w:val="22"/>
          <w:szCs w:val="22"/>
        </w:rPr>
      </w:pPr>
      <w:r>
        <w:rPr>
          <w:rFonts w:eastAsia="Calibri"/>
          <w:b/>
          <w:bCs/>
          <w:sz w:val="22"/>
          <w:szCs w:val="22"/>
        </w:rPr>
      </w:r>
    </w:p>
    <w:tbl>
      <w:tblPr>
        <w:tblStyle w:val="affff7"/>
        <w:tblW w:w="15309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852"/>
        <w:gridCol w:w="1811"/>
        <w:gridCol w:w="31"/>
        <w:gridCol w:w="2956"/>
        <w:gridCol w:w="2990"/>
        <w:gridCol w:w="3262"/>
        <w:gridCol w:w="3406"/>
      </w:tblGrid>
      <w:tr>
        <w:trPr/>
        <w:tc>
          <w:tcPr>
            <w:tcW w:w="852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ru-RU" w:eastAsia="ru-RU" w:bidi="ar-SA"/>
              </w:rPr>
              <w:t xml:space="preserve">№ </w:t>
            </w: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ru-RU" w:eastAsia="ru-RU" w:bidi="ar-SA"/>
              </w:rPr>
              <w:t>п/п</w:t>
            </w:r>
          </w:p>
        </w:tc>
        <w:tc>
          <w:tcPr>
            <w:tcW w:w="1811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ru-RU" w:eastAsia="ru-RU" w:bidi="ar-SA"/>
              </w:rPr>
              <w:t>Наименование параметра</w:t>
            </w:r>
          </w:p>
        </w:tc>
        <w:tc>
          <w:tcPr>
            <w:tcW w:w="2987" w:type="dxa"/>
            <w:gridSpan w:val="2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ru-RU" w:eastAsia="ru-RU" w:bidi="ar-SA"/>
              </w:rPr>
              <w:t>Требование заказчика</w:t>
            </w:r>
          </w:p>
        </w:tc>
        <w:tc>
          <w:tcPr>
            <w:tcW w:w="6252" w:type="dxa"/>
            <w:gridSpan w:val="2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ru-RU" w:eastAsia="ru-RU" w:bidi="ar-SA"/>
              </w:rPr>
              <w:t>Способ подтверждения участником соответствия требованиям</w:t>
            </w:r>
          </w:p>
        </w:tc>
        <w:tc>
          <w:tcPr>
            <w:tcW w:w="3406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ru-RU" w:eastAsia="ru-RU" w:bidi="ar-SA"/>
              </w:rPr>
              <w:t>Предложение участника по характеристикам и параметрам</w:t>
            </w:r>
          </w:p>
        </w:tc>
      </w:tr>
      <w:tr>
        <w:trPr/>
        <w:tc>
          <w:tcPr>
            <w:tcW w:w="852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181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2987" w:type="dxa"/>
            <w:gridSpan w:val="2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299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ru-RU" w:eastAsia="ru-RU" w:bidi="ar-SA"/>
              </w:rPr>
              <w:t>Согласие с требованием/ указание характеристик</w:t>
            </w:r>
          </w:p>
        </w:tc>
        <w:tc>
          <w:tcPr>
            <w:tcW w:w="326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ru-RU" w:eastAsia="ru-RU" w:bidi="ar-SA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3406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</w:tr>
      <w:tr>
        <w:trPr/>
        <w:tc>
          <w:tcPr>
            <w:tcW w:w="85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81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2987" w:type="dxa"/>
            <w:gridSpan w:val="2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299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326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340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6</w:t>
            </w:r>
          </w:p>
        </w:tc>
      </w:tr>
      <w:tr>
        <w:trPr/>
        <w:tc>
          <w:tcPr>
            <w:tcW w:w="852" w:type="dxa"/>
            <w:tcBorders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before="60" w:after="6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798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299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  <w:tc>
          <w:tcPr>
            <w:tcW w:w="326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  <w:tc>
          <w:tcPr>
            <w:tcW w:w="340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52" w:type="dxa"/>
            <w:tcBorders/>
            <w:vAlign w:val="center"/>
          </w:tcPr>
          <w:p>
            <w:pPr>
              <w:pStyle w:val="ListParagraph"/>
              <w:widowControl w:val="false"/>
              <w:numPr>
                <w:ilvl w:val="1"/>
                <w:numId w:val="6"/>
              </w:numPr>
              <w:suppressAutoHyphens w:val="true"/>
              <w:spacing w:before="60" w:after="60"/>
              <w:ind w:left="-117" w:firstLine="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798" w:type="dxa"/>
            <w:gridSpan w:val="3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851" w:leader="none"/>
              </w:tabs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Требования к техническим и функциональным характеристикам в отношении каждой позиции продукции представлены в Приложении № 1 к настоящим Техническим требованиям</w:t>
            </w:r>
          </w:p>
        </w:tc>
        <w:tc>
          <w:tcPr>
            <w:tcW w:w="299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Указание характеристик</w:t>
            </w:r>
          </w:p>
        </w:tc>
        <w:tc>
          <w:tcPr>
            <w:tcW w:w="3262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340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852" w:type="dxa"/>
            <w:tcBorders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before="60" w:after="6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798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ru-RU" w:eastAsia="ru-RU" w:bidi="ar-SA"/>
              </w:rPr>
              <w:t>Требования к доставке,  маркировке, упаковке, транспортировке, перемещению, условиям хранения, приемке и испытаниям</w:t>
            </w:r>
          </w:p>
        </w:tc>
        <w:tc>
          <w:tcPr>
            <w:tcW w:w="299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  <w:tc>
          <w:tcPr>
            <w:tcW w:w="326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  <w:tc>
          <w:tcPr>
            <w:tcW w:w="340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52" w:type="dxa"/>
            <w:tcBorders/>
            <w:vAlign w:val="center"/>
          </w:tcPr>
          <w:p>
            <w:pPr>
              <w:pStyle w:val="ListParagraph"/>
              <w:widowControl w:val="false"/>
              <w:numPr>
                <w:ilvl w:val="1"/>
                <w:numId w:val="6"/>
              </w:numPr>
              <w:suppressAutoHyphens w:val="true"/>
              <w:spacing w:before="60" w:after="60"/>
              <w:ind w:left="-117" w:firstLine="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42" w:type="dxa"/>
            <w:gridSpan w:val="2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851" w:leader="none"/>
              </w:tabs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Место поставки</w:t>
            </w:r>
          </w:p>
        </w:tc>
        <w:tc>
          <w:tcPr>
            <w:tcW w:w="2956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851" w:leader="none"/>
              </w:tabs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677004, Республика Саха (Якутия), г.Якутск, ул. Кржижановского, д. 2</w:t>
            </w:r>
          </w:p>
        </w:tc>
        <w:tc>
          <w:tcPr>
            <w:tcW w:w="299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iCs/>
                <w:kern w:val="0"/>
                <w:sz w:val="22"/>
                <w:szCs w:val="22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262" w:type="dxa"/>
            <w:tcBorders/>
            <w:vAlign w:val="center"/>
          </w:tcPr>
          <w:p>
            <w:pPr>
              <w:pStyle w:val="Style28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hanging="0"/>
              <w:jc w:val="left"/>
              <w:outlineLvl w:val="2"/>
              <w:rPr>
                <w:rFonts w:eastAsia="Times New Roman"/>
                <w:b w:val="false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r>
          </w:p>
        </w:tc>
        <w:tc>
          <w:tcPr>
            <w:tcW w:w="340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852" w:type="dxa"/>
            <w:tcBorders/>
            <w:vAlign w:val="center"/>
          </w:tcPr>
          <w:p>
            <w:pPr>
              <w:pStyle w:val="ListParagraph"/>
              <w:widowControl w:val="false"/>
              <w:numPr>
                <w:ilvl w:val="1"/>
                <w:numId w:val="6"/>
              </w:numPr>
              <w:suppressAutoHyphens w:val="true"/>
              <w:spacing w:before="60" w:after="60"/>
              <w:ind w:left="-117" w:firstLine="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798" w:type="dxa"/>
            <w:gridSpan w:val="3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851" w:leader="none"/>
              </w:tabs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Транспортные расходы на продукцию, подлежащий замене по гарантии, несет поставщик</w:t>
            </w:r>
          </w:p>
        </w:tc>
        <w:tc>
          <w:tcPr>
            <w:tcW w:w="299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iCs/>
                <w:kern w:val="0"/>
                <w:sz w:val="22"/>
                <w:szCs w:val="22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262" w:type="dxa"/>
            <w:tcBorders/>
            <w:vAlign w:val="center"/>
          </w:tcPr>
          <w:p>
            <w:pPr>
              <w:pStyle w:val="Style28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hanging="0"/>
              <w:jc w:val="left"/>
              <w:outlineLvl w:val="2"/>
              <w:rPr>
                <w:rFonts w:eastAsia="Times New Roman"/>
                <w:b w:val="false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r>
          </w:p>
        </w:tc>
        <w:tc>
          <w:tcPr>
            <w:tcW w:w="340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852" w:type="dxa"/>
            <w:tcBorders/>
            <w:vAlign w:val="center"/>
          </w:tcPr>
          <w:p>
            <w:pPr>
              <w:pStyle w:val="ListParagraph"/>
              <w:widowControl w:val="false"/>
              <w:numPr>
                <w:ilvl w:val="1"/>
                <w:numId w:val="6"/>
              </w:numPr>
              <w:suppressAutoHyphens w:val="true"/>
              <w:spacing w:before="60" w:after="60"/>
              <w:ind w:left="-117" w:firstLine="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798" w:type="dxa"/>
            <w:gridSpan w:val="3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241" w:leader="none"/>
                <w:tab w:val="left" w:pos="851" w:leader="none"/>
              </w:tabs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Соответствие тары и упаковки согласно ГОСТ 15846-2002. На каждое место составляется подробный упаковочный лист, с указанием упакованных товаров.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241" w:leader="none"/>
                <w:tab w:val="left" w:pos="851" w:leader="none"/>
              </w:tabs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Продукция передается Заказчику комплектно с техническими паспортами, сертификатами соответствия продукции, сертификатами качества и другими подтверждающими документами по действующему законодательству РФ</w:t>
            </w:r>
          </w:p>
        </w:tc>
        <w:tc>
          <w:tcPr>
            <w:tcW w:w="299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iCs/>
                <w:kern w:val="0"/>
                <w:sz w:val="22"/>
                <w:szCs w:val="22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262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uppressAutoHyphens w:val="true"/>
              <w:spacing w:before="60" w:after="6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406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uppressAutoHyphens w:val="true"/>
              <w:spacing w:before="60" w:after="6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852" w:type="dxa"/>
            <w:tcBorders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before="60" w:after="6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798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Требования к гарантиям, гарантийному и послегарантийному обслуживанию</w:t>
            </w:r>
          </w:p>
        </w:tc>
        <w:tc>
          <w:tcPr>
            <w:tcW w:w="299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2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  <w:tc>
          <w:tcPr>
            <w:tcW w:w="326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2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  <w:tc>
          <w:tcPr>
            <w:tcW w:w="340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2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52" w:type="dxa"/>
            <w:tcBorders/>
            <w:vAlign w:val="center"/>
          </w:tcPr>
          <w:p>
            <w:pPr>
              <w:pStyle w:val="ListParagraph"/>
              <w:widowControl w:val="false"/>
              <w:numPr>
                <w:ilvl w:val="1"/>
                <w:numId w:val="6"/>
              </w:numPr>
              <w:suppressAutoHyphens w:val="true"/>
              <w:spacing w:before="60" w:after="60"/>
              <w:ind w:left="-117" w:firstLine="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798" w:type="dxa"/>
            <w:gridSpan w:val="3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851" w:leader="none"/>
              </w:tabs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Гарантийный срок: в течение 12 месяцев с даты поставки на склад Покупателя</w:t>
            </w:r>
          </w:p>
        </w:tc>
        <w:tc>
          <w:tcPr>
            <w:tcW w:w="299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iCs/>
                <w:kern w:val="0"/>
                <w:sz w:val="22"/>
                <w:szCs w:val="22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262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uppressAutoHyphens w:val="true"/>
              <w:spacing w:before="40" w:after="6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406" w:type="dxa"/>
            <w:tcBorders/>
            <w:vAlign w:val="center"/>
          </w:tcPr>
          <w:p>
            <w:pPr>
              <w:pStyle w:val="Style28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hanging="0"/>
              <w:jc w:val="left"/>
              <w:outlineLvl w:val="2"/>
              <w:rPr>
                <w:rFonts w:eastAsia="Times New Roman"/>
                <w:b w:val="false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r>
          </w:p>
        </w:tc>
      </w:tr>
      <w:tr>
        <w:trPr/>
        <w:tc>
          <w:tcPr>
            <w:tcW w:w="852" w:type="dxa"/>
            <w:tcBorders/>
            <w:vAlign w:val="center"/>
          </w:tcPr>
          <w:p>
            <w:pPr>
              <w:pStyle w:val="ListParagraph"/>
              <w:widowControl w:val="false"/>
              <w:numPr>
                <w:ilvl w:val="1"/>
                <w:numId w:val="6"/>
              </w:numPr>
              <w:suppressAutoHyphens w:val="true"/>
              <w:spacing w:before="60" w:after="60"/>
              <w:ind w:left="-117" w:firstLine="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798" w:type="dxa"/>
            <w:gridSpan w:val="3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851" w:leader="none"/>
              </w:tabs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Гарантия распространяется в полном объеме на поставляемую продукцию.</w:t>
            </w:r>
          </w:p>
        </w:tc>
        <w:tc>
          <w:tcPr>
            <w:tcW w:w="299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iCs/>
                <w:kern w:val="0"/>
                <w:sz w:val="22"/>
                <w:szCs w:val="22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26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406" w:type="dxa"/>
            <w:tcBorders/>
            <w:vAlign w:val="center"/>
          </w:tcPr>
          <w:p>
            <w:pPr>
              <w:pStyle w:val="Style28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hanging="0"/>
              <w:jc w:val="left"/>
              <w:outlineLvl w:val="2"/>
              <w:rPr>
                <w:rFonts w:eastAsia="Times New Roman"/>
                <w:b w:val="false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r>
          </w:p>
        </w:tc>
      </w:tr>
      <w:tr>
        <w:trPr/>
        <w:tc>
          <w:tcPr>
            <w:tcW w:w="852" w:type="dxa"/>
            <w:tcBorders/>
            <w:vAlign w:val="center"/>
          </w:tcPr>
          <w:p>
            <w:pPr>
              <w:pStyle w:val="ListParagraph"/>
              <w:widowControl w:val="false"/>
              <w:numPr>
                <w:ilvl w:val="1"/>
                <w:numId w:val="6"/>
              </w:numPr>
              <w:suppressAutoHyphens w:val="true"/>
              <w:spacing w:before="60" w:after="60"/>
              <w:ind w:left="-117" w:firstLine="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798" w:type="dxa"/>
            <w:gridSpan w:val="3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241" w:leader="none"/>
                <w:tab w:val="left" w:pos="851" w:leader="none"/>
              </w:tabs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В течение гарантийного срока поставщик обязуется заменить продукцию в случае его несоответствия заявленному качеству.</w:t>
            </w:r>
          </w:p>
        </w:tc>
        <w:tc>
          <w:tcPr>
            <w:tcW w:w="299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iCs/>
                <w:kern w:val="0"/>
                <w:sz w:val="22"/>
                <w:szCs w:val="22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26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406" w:type="dxa"/>
            <w:tcBorders/>
            <w:vAlign w:val="center"/>
          </w:tcPr>
          <w:p>
            <w:pPr>
              <w:pStyle w:val="Style28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hanging="0"/>
              <w:jc w:val="left"/>
              <w:outlineLvl w:val="2"/>
              <w:rPr>
                <w:rFonts w:eastAsia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r>
          </w:p>
        </w:tc>
      </w:tr>
      <w:tr>
        <w:trPr/>
        <w:tc>
          <w:tcPr>
            <w:tcW w:w="852" w:type="dxa"/>
            <w:tcBorders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before="60" w:after="6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798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Требования к комплектации и документам, поставляемым вместе с продукцией</w:t>
            </w:r>
          </w:p>
        </w:tc>
        <w:tc>
          <w:tcPr>
            <w:tcW w:w="299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  <w:tc>
          <w:tcPr>
            <w:tcW w:w="326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  <w:tc>
          <w:tcPr>
            <w:tcW w:w="340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52" w:type="dxa"/>
            <w:tcBorders>
              <w:top w:val="nil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before="60" w:after="60"/>
              <w:ind w:left="0" w:hanging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4.1.</w:t>
            </w:r>
          </w:p>
        </w:tc>
        <w:tc>
          <w:tcPr>
            <w:tcW w:w="4798" w:type="dxa"/>
            <w:gridSpan w:val="3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b w:val="false"/>
                <w:bCs w:val="false"/>
                <w:color w:val="auto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b w:val="false"/>
                <w:bCs w:val="false"/>
                <w:color w:val="auto"/>
                <w:kern w:val="0"/>
                <w:sz w:val="22"/>
                <w:szCs w:val="22"/>
                <w:lang w:val="ru-RU" w:eastAsia="ru-RU" w:bidi="ar-SA"/>
              </w:rPr>
              <w:t>Поставщик гарантирует обязательное предоставление паспорта качества на каждую поставляемую партию.</w:t>
            </w:r>
          </w:p>
        </w:tc>
        <w:tc>
          <w:tcPr>
            <w:tcW w:w="299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b w:val="false"/>
                <w:bCs w:val="false"/>
                <w:color w:val="auto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b w:val="false"/>
                <w:bCs w:val="false"/>
                <w:color w:val="auto"/>
                <w:kern w:val="0"/>
                <w:sz w:val="22"/>
                <w:szCs w:val="22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262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</w:r>
          </w:p>
        </w:tc>
        <w:tc>
          <w:tcPr>
            <w:tcW w:w="3406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</w:r>
          </w:p>
        </w:tc>
      </w:tr>
      <w:tr>
        <w:trPr/>
        <w:tc>
          <w:tcPr>
            <w:tcW w:w="852" w:type="dxa"/>
            <w:tcBorders>
              <w:top w:val="nil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before="60" w:after="60"/>
              <w:ind w:left="0" w:hanging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4.2.</w:t>
            </w:r>
          </w:p>
        </w:tc>
        <w:tc>
          <w:tcPr>
            <w:tcW w:w="4798" w:type="dxa"/>
            <w:gridSpan w:val="3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b w:val="false"/>
                <w:bCs w:val="false"/>
                <w:color w:val="auto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2"/>
                <w:szCs w:val="22"/>
                <w:lang w:val="ru-RU" w:eastAsia="ru-RU" w:bidi="ar-SA"/>
              </w:rPr>
              <w:t>Продукция при поставке должна сопровождаться действующими сертификатами, удостоверениями, техническими паспортами и другими документами, подтверждающими качество товара предприятия-изготовителя продукции, его происхождение и указывающие условия, а также сроки гарантии</w:t>
            </w:r>
          </w:p>
        </w:tc>
        <w:tc>
          <w:tcPr>
            <w:tcW w:w="299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color w:val="auto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2"/>
                <w:szCs w:val="22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262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</w:r>
          </w:p>
        </w:tc>
        <w:tc>
          <w:tcPr>
            <w:tcW w:w="3406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</w:r>
          </w:p>
        </w:tc>
      </w:tr>
      <w:tr>
        <w:trPr/>
        <w:tc>
          <w:tcPr>
            <w:tcW w:w="852" w:type="dxa"/>
            <w:tcBorders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before="60" w:after="6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798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left"/>
              <w:rPr>
                <w:rFonts w:ascii="Times New Roman" w:hAnsi="Times New Roman" w:eastAsia="Times New Roman" w:cs="Times New Roman"/>
                <w:b/>
                <w:bCs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ru-RU" w:eastAsia="ru-RU" w:bidi="ar-SA"/>
              </w:rPr>
              <w:t>Предоставление информации и документов, подтверждающими страну происхождения товара для целей исполнения Постановления Правительства РФ от 23.12.2024 №1875</w:t>
            </w:r>
          </w:p>
        </w:tc>
        <w:tc>
          <w:tcPr>
            <w:tcW w:w="299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  <w:tc>
          <w:tcPr>
            <w:tcW w:w="326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  <w:tc>
          <w:tcPr>
            <w:tcW w:w="340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52" w:type="dxa"/>
            <w:tcBorders/>
            <w:vAlign w:val="center"/>
          </w:tcPr>
          <w:p>
            <w:pPr>
              <w:pStyle w:val="ListParagraph"/>
              <w:widowControl w:val="false"/>
              <w:numPr>
                <w:ilvl w:val="1"/>
                <w:numId w:val="6"/>
              </w:numPr>
              <w:suppressAutoHyphens w:val="true"/>
              <w:spacing w:before="60" w:after="60"/>
              <w:ind w:left="-117" w:firstLine="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798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left"/>
              <w:rPr>
                <w:rFonts w:ascii="Times New Roman" w:hAnsi="Times New Roman" w:eastAsia="Times New Roman" w:cs="Times New Roman"/>
                <w:b w:val="false"/>
                <w:bCs w:val="false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kern w:val="0"/>
                <w:sz w:val="22"/>
                <w:szCs w:val="22"/>
                <w:lang w:val="ru-RU" w:eastAsia="ru-RU" w:bidi="ar-SA"/>
              </w:rPr>
              <w:t>- Номер реестровой записи из реестра российской промышленной продукции, содержащей в том числе: - информацию о совокупном количестве баллов за выполнение (освоение) на территории Российской Федерации соответствующих операций (условий) (если в отношении такого товара постановлением Правительства №719 за выполнение (освоение) на территории Российской Федерации соответствующих операций (условий) установлены требования о совокупном количестве баллов), которое составляет или превышает значение, определенное постановлением Правительства №719 для целей осуществления закупок</w:t>
            </w:r>
          </w:p>
          <w:p>
            <w:pPr>
              <w:pStyle w:val="Normal"/>
              <w:widowControl w:val="false"/>
              <w:suppressAutoHyphens w:val="true"/>
              <w:spacing w:before="60" w:after="60"/>
              <w:jc w:val="left"/>
              <w:rPr>
                <w:rFonts w:ascii="Times New Roman" w:hAnsi="Times New Roman" w:eastAsia="Times New Roman" w:cs="Times New Roman"/>
                <w:b w:val="false"/>
                <w:bCs w:val="false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kern w:val="0"/>
                <w:sz w:val="22"/>
                <w:szCs w:val="22"/>
                <w:lang w:val="ru-RU" w:eastAsia="ru-RU" w:bidi="ar-SA"/>
              </w:rPr>
              <w:t>- Номер реестровой записи из евразийского реестра промышленных товаров, содержащей в том числе: - информацию о совокупном количестве баллов за выполнение (освоение) на территории ЕАЭС соответствующих операций (условий) (если в отношении такого товара правом ЕАЭС за выполнение (освоение) на территории ЕАЭС соответствующих операций (условий) установлены требования о совокупном количестве баллов), которое составляет или превышает значение, определенное правом ЕАЭС</w:t>
            </w:r>
          </w:p>
        </w:tc>
        <w:tc>
          <w:tcPr>
            <w:tcW w:w="299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left"/>
              <w:rPr>
                <w:rFonts w:ascii="Times New Roman" w:hAnsi="Times New Roman"/>
                <w:i w:val="false"/>
                <w:i w:val="false"/>
                <w:iCs w:val="false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Calibri" w:cs="Arial"/>
                <w:i w:val="false"/>
                <w:iCs w:val="false"/>
                <w:kern w:val="0"/>
                <w:sz w:val="22"/>
                <w:szCs w:val="22"/>
                <w:lang w:val="ru-RU" w:eastAsia="ru-RU" w:bidi="ar-SA"/>
              </w:rPr>
              <w:t>Указание наименования реестра и номер реестровой записи в Форме Коммерческого предложения и Структуры НМЦ</w:t>
            </w:r>
          </w:p>
        </w:tc>
        <w:tc>
          <w:tcPr>
            <w:tcW w:w="326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contextualSpacing/>
              <w:jc w:val="center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kern w:val="0"/>
                <w:sz w:val="22"/>
                <w:szCs w:val="22"/>
                <w:lang w:val="ru-RU" w:bidi="ar-SA"/>
              </w:rPr>
            </w:pPr>
            <w:r>
              <w:rPr>
                <w:rFonts w:eastAsia="Times New Roman" w:cs="Times New Roman"/>
                <w:i w:val="false"/>
                <w:iCs w:val="false"/>
                <w:kern w:val="0"/>
                <w:sz w:val="22"/>
                <w:szCs w:val="22"/>
                <w:lang w:val="ru-RU" w:eastAsia="en-US" w:bidi="ar-SA"/>
              </w:rPr>
              <w:t>Требуется в составе заявки представить заполненную Форму Коммерческого предложения и Структуры НМЦ в части столбцов раздела «Коммерческое предложение».</w:t>
            </w:r>
          </w:p>
        </w:tc>
        <w:tc>
          <w:tcPr>
            <w:tcW w:w="340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lang w:val="ru-RU" w:eastAsia="ru-RU" w:bidi="ar-SA"/>
              </w:rPr>
            </w:r>
          </w:p>
        </w:tc>
      </w:tr>
      <w:tr>
        <w:trPr/>
        <w:tc>
          <w:tcPr>
            <w:tcW w:w="852" w:type="dxa"/>
            <w:tcBorders>
              <w:top w:val="nil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uppressAutoHyphens w:val="true"/>
              <w:spacing w:before="60" w:after="6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798" w:type="dxa"/>
            <w:gridSpan w:val="3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Прочие (дополнительные) требования к продукции</w:t>
            </w:r>
          </w:p>
        </w:tc>
        <w:tc>
          <w:tcPr>
            <w:tcW w:w="2990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  <w:tc>
          <w:tcPr>
            <w:tcW w:w="3262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  <w:tc>
          <w:tcPr>
            <w:tcW w:w="3406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-//-</w:t>
            </w:r>
          </w:p>
        </w:tc>
      </w:tr>
      <w:tr>
        <w:trPr/>
        <w:tc>
          <w:tcPr>
            <w:tcW w:w="852" w:type="dxa"/>
            <w:tcBorders>
              <w:top w:val="nil"/>
            </w:tcBorders>
            <w:vAlign w:val="center"/>
          </w:tcPr>
          <w:p>
            <w:pPr>
              <w:pStyle w:val="ListParagraph"/>
              <w:widowControl w:val="false"/>
              <w:numPr>
                <w:ilvl w:val="1"/>
                <w:numId w:val="6"/>
              </w:numPr>
              <w:suppressAutoHyphens w:val="true"/>
              <w:spacing w:before="60" w:after="60"/>
              <w:ind w:left="-117" w:firstLine="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798" w:type="dxa"/>
            <w:gridSpan w:val="3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426" w:leader="none"/>
                <w:tab w:val="left" w:pos="851" w:leader="none"/>
              </w:tabs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Поставляемая продукция должна быть новая (не ранее 2026 года изготовления) и ранее не использованная.</w:t>
            </w:r>
          </w:p>
        </w:tc>
        <w:tc>
          <w:tcPr>
            <w:tcW w:w="2990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iCs/>
                <w:kern w:val="0"/>
                <w:sz w:val="22"/>
                <w:szCs w:val="22"/>
                <w:lang w:val="ru-RU" w:eastAsia="ru-RU" w:bidi="ar-SA"/>
              </w:rPr>
              <w:t>Согласие с требованием</w:t>
            </w:r>
          </w:p>
        </w:tc>
        <w:tc>
          <w:tcPr>
            <w:tcW w:w="3262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406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sectPr>
          <w:headerReference w:type="default" r:id="rId5"/>
          <w:headerReference w:type="first" r:id="rId6"/>
          <w:type w:val="nextPage"/>
          <w:pgSz w:orient="landscape" w:w="16838" w:h="11906"/>
          <w:pgMar w:left="992" w:right="567" w:gutter="0" w:header="680" w:top="851" w:footer="0" w:bottom="851"/>
          <w:pgNumType w:fmt="decimal"/>
          <w:formProt w:val="false"/>
          <w:titlePg/>
          <w:textDirection w:val="lrTb"/>
          <w:docGrid w:type="default" w:linePitch="381" w:charSpace="0"/>
        </w:sectPr>
      </w:pPr>
    </w:p>
    <w:p>
      <w:pPr>
        <w:pStyle w:val="Normal"/>
        <w:spacing w:before="0" w:after="120"/>
        <w:jc w:val="right"/>
        <w:rPr/>
      </w:pPr>
      <w:r>
        <w:rPr>
          <w:rFonts w:eastAsia="Calibri"/>
          <w:sz w:val="22"/>
          <w:szCs w:val="22"/>
        </w:rPr>
        <w:t>Приложение №1 к Техническим требованиям</w:t>
      </w:r>
    </w:p>
    <w:p>
      <w:pPr>
        <w:pStyle w:val="Normal"/>
        <w:spacing w:before="0" w:after="120"/>
        <w:rPr/>
      </w:pPr>
      <w:r>
        <w:rPr>
          <w:rFonts w:eastAsia="Calibri"/>
          <w:b/>
          <w:bCs/>
          <w:sz w:val="22"/>
          <w:szCs w:val="22"/>
          <w:lang w:val="x-none"/>
        </w:rPr>
        <w:t>Таблица </w:t>
      </w:r>
      <w:r>
        <w:rPr>
          <w:rFonts w:eastAsia="Calibri"/>
          <w:b/>
          <w:bCs/>
          <w:sz w:val="22"/>
          <w:szCs w:val="22"/>
        </w:rPr>
        <w:t>3.1</w:t>
      </w:r>
      <w:r>
        <w:rPr>
          <w:rFonts w:eastAsia="Calibri"/>
          <w:b/>
          <w:bCs/>
          <w:sz w:val="22"/>
          <w:szCs w:val="22"/>
          <w:lang w:val="x-none"/>
        </w:rPr>
        <w:t xml:space="preserve">. </w:t>
      </w:r>
      <w:r>
        <w:rPr>
          <w:rFonts w:eastAsia="Calibri"/>
          <w:b/>
          <w:bCs/>
          <w:sz w:val="22"/>
          <w:szCs w:val="22"/>
        </w:rPr>
        <w:t>Требования к продукции (индивидуальные требования по каждой позиции перечня продукции)</w:t>
      </w:r>
    </w:p>
    <w:p>
      <w:pPr>
        <w:pStyle w:val="Normal"/>
        <w:spacing w:before="0" w:after="120"/>
        <w:ind w:right="397" w:hanging="0"/>
        <w:jc w:val="both"/>
        <w:rPr/>
      </w:pPr>
      <w:r>
        <w:rPr>
          <w:b/>
          <w:bCs/>
          <w:sz w:val="22"/>
          <w:szCs w:val="22"/>
        </w:rPr>
        <w:t xml:space="preserve">Наименование продукции: </w:t>
      </w:r>
      <w:r>
        <w:rPr>
          <w:rFonts w:eastAsia="Calibri"/>
          <w:b/>
          <w:bCs/>
          <w:sz w:val="22"/>
          <w:szCs w:val="22"/>
        </w:rPr>
        <w:t>«</w:t>
      </w:r>
      <w:r>
        <w:rPr>
          <w:rStyle w:val="Style8"/>
          <w:rFonts w:eastAsia="Calibri"/>
          <w:b/>
          <w:bCs/>
          <w:i w:val="false"/>
          <w:iCs w:val="false"/>
          <w:strike w:val="false"/>
          <w:dstrike w:val="false"/>
          <w:outline w:val="false"/>
          <w:shadow w:val="false"/>
          <w:color w:val="000000"/>
          <w:sz w:val="22"/>
          <w:szCs w:val="22"/>
          <w:u w:val="none"/>
          <w:shd w:fill="auto" w:val="clear"/>
          <w:em w:val="none"/>
          <w:lang w:eastAsia="x-none"/>
        </w:rPr>
        <w:t>Обогреватель вентиляторный взрывозащищенный</w:t>
      </w:r>
      <w:r>
        <w:rPr>
          <w:rFonts w:eastAsia="Calibri"/>
          <w:b/>
          <w:bCs/>
          <w:sz w:val="22"/>
          <w:szCs w:val="22"/>
        </w:rPr>
        <w:t>»</w:t>
      </w:r>
    </w:p>
    <w:tbl>
      <w:tblPr>
        <w:tblStyle w:val="1d"/>
        <w:tblW w:w="15488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732"/>
        <w:gridCol w:w="1360"/>
        <w:gridCol w:w="2318"/>
        <w:gridCol w:w="916"/>
        <w:gridCol w:w="4765"/>
        <w:gridCol w:w="2046"/>
        <w:gridCol w:w="635"/>
        <w:gridCol w:w="604"/>
        <w:gridCol w:w="1204"/>
        <w:gridCol w:w="906"/>
      </w:tblGrid>
      <w:tr>
        <w:trPr>
          <w:trHeight w:val="206" w:hRule="atLeast"/>
        </w:trPr>
        <w:tc>
          <w:tcPr>
            <w:tcW w:w="732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</w:rPr>
            </w:pPr>
            <w:r>
              <w:br w:type="column"/>
            </w:r>
            <w:r>
              <w:rPr>
                <w:rFonts w:eastAsia="Calibri" w:cs=""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№ </w:t>
            </w:r>
            <w:r>
              <w:rPr>
                <w:rFonts w:eastAsia="Calibri" w:cs=""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  <w:t>п/п</w:t>
            </w:r>
          </w:p>
        </w:tc>
        <w:tc>
          <w:tcPr>
            <w:tcW w:w="1360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 xml:space="preserve">№ </w:t>
            </w:r>
            <w:r>
              <w:rPr>
                <w:rFonts w:eastAsia="Calibri" w:cs="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 xml:space="preserve">позиции </w:t>
              <w:br/>
              <w:t>Таблицы 1.1. «Перечень и объем закупаемой продукции»</w:t>
            </w:r>
          </w:p>
        </w:tc>
        <w:tc>
          <w:tcPr>
            <w:tcW w:w="2318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Наименование продукции</w:t>
            </w:r>
          </w:p>
        </w:tc>
        <w:tc>
          <w:tcPr>
            <w:tcW w:w="7727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Требования заказчика *</w:t>
            </w:r>
          </w:p>
        </w:tc>
        <w:tc>
          <w:tcPr>
            <w:tcW w:w="3349" w:type="dxa"/>
            <w:gridSpan w:val="4"/>
            <w:tcBorders/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highlight w:val="none"/>
                <w:shd w:fill="auto" w:val="clear"/>
              </w:rPr>
            </w:pPr>
            <w:r>
              <w:rPr>
                <w:rFonts w:eastAsia="Calibri"/>
                <w:b/>
                <w:bCs/>
                <w:sz w:val="24"/>
                <w:szCs w:val="24"/>
                <w:shd w:fill="auto" w:val="clear"/>
              </w:rPr>
              <w:t>Предложения поставщика</w:t>
            </w:r>
          </w:p>
        </w:tc>
      </w:tr>
      <w:tr>
        <w:trPr/>
        <w:tc>
          <w:tcPr>
            <w:tcW w:w="732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36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/>
                <w:color w:val="000000"/>
                <w:sz w:val="24"/>
                <w:szCs w:val="24"/>
                <w:highlight w:val="none"/>
                <w:shd w:fill="auto" w:val="clear"/>
              </w:rPr>
            </w:pPr>
            <w:r>
              <w:rPr>
                <w:rFonts w:eastAsia="Calibri"/>
                <w:color w:val="000000"/>
                <w:sz w:val="24"/>
                <w:szCs w:val="24"/>
                <w:shd w:fill="auto" w:val="clear"/>
              </w:rPr>
            </w:r>
          </w:p>
        </w:tc>
        <w:tc>
          <w:tcPr>
            <w:tcW w:w="2318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/>
                <w:color w:val="000000"/>
                <w:sz w:val="24"/>
                <w:szCs w:val="24"/>
                <w:highlight w:val="none"/>
                <w:shd w:fill="auto" w:val="clear"/>
              </w:rPr>
            </w:pPr>
            <w:r>
              <w:rPr>
                <w:rFonts w:eastAsia="Calibri"/>
                <w:color w:val="000000"/>
                <w:sz w:val="24"/>
                <w:szCs w:val="24"/>
                <w:shd w:fill="auto" w:val="clear"/>
              </w:rPr>
            </w:r>
          </w:p>
        </w:tc>
        <w:tc>
          <w:tcPr>
            <w:tcW w:w="91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ГОСТ</w:t>
            </w:r>
          </w:p>
        </w:tc>
        <w:tc>
          <w:tcPr>
            <w:tcW w:w="476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Технические и функциональные характеристики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bCs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(параметры эквивалентности)</w:t>
            </w:r>
          </w:p>
        </w:tc>
        <w:tc>
          <w:tcPr>
            <w:tcW w:w="204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Место поставки</w:t>
            </w:r>
          </w:p>
        </w:tc>
        <w:tc>
          <w:tcPr>
            <w:tcW w:w="63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Наименование продукции</w:t>
            </w:r>
          </w:p>
        </w:tc>
        <w:tc>
          <w:tcPr>
            <w:tcW w:w="60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ГОСТ</w:t>
            </w:r>
          </w:p>
        </w:tc>
        <w:tc>
          <w:tcPr>
            <w:tcW w:w="120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Технические и функциональные характеристики</w:t>
            </w:r>
          </w:p>
        </w:tc>
        <w:tc>
          <w:tcPr>
            <w:tcW w:w="90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Место поставки</w:t>
            </w:r>
          </w:p>
        </w:tc>
      </w:tr>
      <w:tr>
        <w:trPr/>
        <w:tc>
          <w:tcPr>
            <w:tcW w:w="73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</w:rPr>
            </w:pPr>
            <w:r>
              <w:rPr>
                <w:rFonts w:eastAsia="Calibri" w:cs=""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136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2</w:t>
            </w:r>
          </w:p>
        </w:tc>
        <w:tc>
          <w:tcPr>
            <w:tcW w:w="231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3</w:t>
            </w:r>
          </w:p>
        </w:tc>
        <w:tc>
          <w:tcPr>
            <w:tcW w:w="91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4</w:t>
            </w:r>
          </w:p>
        </w:tc>
        <w:tc>
          <w:tcPr>
            <w:tcW w:w="476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5</w:t>
            </w:r>
          </w:p>
        </w:tc>
        <w:tc>
          <w:tcPr>
            <w:tcW w:w="204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6</w:t>
            </w:r>
          </w:p>
        </w:tc>
        <w:tc>
          <w:tcPr>
            <w:tcW w:w="63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7</w:t>
            </w:r>
          </w:p>
        </w:tc>
        <w:tc>
          <w:tcPr>
            <w:tcW w:w="60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8</w:t>
            </w:r>
          </w:p>
        </w:tc>
        <w:tc>
          <w:tcPr>
            <w:tcW w:w="120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9</w:t>
            </w:r>
          </w:p>
        </w:tc>
        <w:tc>
          <w:tcPr>
            <w:tcW w:w="90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b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10</w:t>
            </w:r>
          </w:p>
        </w:tc>
      </w:tr>
      <w:tr>
        <w:trPr/>
        <w:tc>
          <w:tcPr>
            <w:tcW w:w="732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uppressAutoHyphens w:val="true"/>
              <w:spacing w:before="0" w:after="0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iCs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Позиция 1</w:t>
            </w:r>
          </w:p>
        </w:tc>
        <w:tc>
          <w:tcPr>
            <w:tcW w:w="231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highlight w:val="none"/>
                <w:shd w:fill="auto" w:val="clear"/>
              </w:rPr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shd w:fill="auto" w:val="clear"/>
                <w:em w:val="none"/>
              </w:rPr>
              <w:t>Обогреватель вентиляторный взрывозащищенный 25кВт CXH-A-25L-4035-32-40-20-CE Chromalox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 w:cs=""/>
                <w:color w:val="000000"/>
                <w:kern w:val="0"/>
                <w:sz w:val="24"/>
                <w:szCs w:val="24"/>
                <w:highlight w:val="none"/>
                <w:shd w:fill="auto" w:val="clear"/>
                <w:lang w:val="ru-RU" w:eastAsia="en-US" w:bidi="ar-SA"/>
              </w:rPr>
            </w:pPr>
            <w:r>
              <w:rPr>
                <w:rFonts w:eastAsia="Calibri" w:cs=""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</w:r>
          </w:p>
        </w:tc>
        <w:tc>
          <w:tcPr>
            <w:tcW w:w="916" w:type="dxa"/>
            <w:tcBorders/>
          </w:tcPr>
          <w:p>
            <w:pPr>
              <w:pStyle w:val="Style35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 w:cs=""/>
                <w:color w:val="000000"/>
                <w:kern w:val="0"/>
                <w:sz w:val="24"/>
                <w:szCs w:val="24"/>
                <w:highlight w:val="none"/>
                <w:shd w:fill="auto" w:val="clear"/>
                <w:lang w:val="ru-RU" w:eastAsia="en-US" w:bidi="ar-SA"/>
              </w:rPr>
            </w:pPr>
            <w:r>
              <w:rPr>
                <w:rFonts w:eastAsia="Calibri" w:cs=""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</w:r>
          </w:p>
        </w:tc>
        <w:tc>
          <w:tcPr>
            <w:tcW w:w="47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highlight w:val="none"/>
                <w:shd w:fill="auto" w:val="clear"/>
              </w:rPr>
            </w:pPr>
            <w:r>
              <w:rPr>
                <w:color w:val="000000"/>
                <w:sz w:val="24"/>
                <w:szCs w:val="24"/>
                <w:shd w:fill="auto" w:val="clear"/>
              </w:rPr>
              <w:t xml:space="preserve">Мощность - 25 кВт; Вид теплоносителя - пропиленгликоль (группы C, D, E, F, G) ; Напряжение - 380-400 В; Подключение - трехфазное; Взрывозащищенность - ATEX, IECEx, EAC Ex; Наличие термостата - да; Размеры с учетом коробки подключение и вентилятора (абсолютные): ВхШхГ - 816,1х809,6х552,5 мм.  Примечание: оборудование для ГТУ типа LM6000 DLE PF DF. 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highlight w:val="none"/>
                <w:shd w:fill="auto" w:val="clear"/>
              </w:rPr>
            </w:pPr>
            <w:r>
              <w:rPr>
                <w:color w:val="000000"/>
                <w:sz w:val="24"/>
                <w:szCs w:val="24"/>
                <w:shd w:fill="auto" w:val="clear"/>
              </w:rPr>
              <w:t>Прилагаем шильд вентилятора обогрева: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shd w:fill="auto" w:val="clear"/>
              </w:rP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640330" cy="3520440"/>
                  <wp:effectExtent l="0" t="0" r="0" b="0"/>
                  <wp:wrapSquare wrapText="largest"/>
                  <wp:docPr id="3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30" cy="352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6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highlight w:val="none"/>
                <w:shd w:fill="auto" w:val="clear"/>
              </w:rPr>
            </w:pPr>
            <w:r>
              <w:rPr>
                <w:rFonts w:eastAsia="Calibri" w:cs=""/>
                <w:color w:val="000000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677004, РФ, Республика Саха (Якутия), г.Якутск, ул. Кржижановского, д. 2</w:t>
            </w:r>
          </w:p>
        </w:tc>
        <w:tc>
          <w:tcPr>
            <w:tcW w:w="63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/>
                <w:iCs/>
                <w:color w:val="808080" w:themeColor="background1" w:themeShade="80"/>
                <w:sz w:val="24"/>
                <w:szCs w:val="24"/>
                <w:highlight w:val="none"/>
                <w:shd w:fill="auto" w:val="clear"/>
              </w:rPr>
            </w:pPr>
            <w:r>
              <w:rPr>
                <w:rFonts w:eastAsia="Calibri"/>
                <w:iCs/>
                <w:color w:val="808080" w:themeColor="background1" w:themeShade="80"/>
                <w:sz w:val="24"/>
                <w:szCs w:val="24"/>
                <w:shd w:fill="auto" w:val="clear"/>
              </w:rPr>
            </w:r>
          </w:p>
        </w:tc>
        <w:tc>
          <w:tcPr>
            <w:tcW w:w="6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/>
                <w:iCs/>
                <w:color w:val="808080" w:themeColor="background1" w:themeShade="80"/>
                <w:sz w:val="24"/>
                <w:szCs w:val="24"/>
                <w:highlight w:val="none"/>
                <w:shd w:fill="auto" w:val="clear"/>
              </w:rPr>
            </w:pPr>
            <w:r>
              <w:rPr>
                <w:rFonts w:eastAsia="Calibri"/>
                <w:iCs/>
                <w:color w:val="808080" w:themeColor="background1" w:themeShade="80"/>
                <w:sz w:val="24"/>
                <w:szCs w:val="24"/>
                <w:shd w:fill="auto" w:val="clear"/>
              </w:rPr>
            </w:r>
          </w:p>
        </w:tc>
        <w:tc>
          <w:tcPr>
            <w:tcW w:w="1204" w:type="dxa"/>
            <w:tcBorders/>
          </w:tcPr>
          <w:p>
            <w:pPr>
              <w:pStyle w:val="ListParagraph"/>
              <w:widowControl w:val="false"/>
              <w:suppressAutoHyphens w:val="true"/>
              <w:spacing w:before="0" w:after="0"/>
              <w:ind w:left="178" w:hanging="0"/>
              <w:contextualSpacing/>
              <w:jc w:val="left"/>
              <w:rPr>
                <w:rFonts w:ascii="Times New Roman" w:hAnsi="Times New Roman" w:eastAsia="Calibri" w:eastAsiaTheme="minorHAnsi"/>
                <w:iCs/>
                <w:color w:val="808080" w:themeColor="background1" w:themeShade="80"/>
                <w:sz w:val="24"/>
                <w:szCs w:val="24"/>
                <w:highlight w:val="none"/>
                <w:shd w:fill="auto" w:val="clear"/>
              </w:rPr>
            </w:pPr>
            <w:r>
              <w:rPr>
                <w:rFonts w:eastAsia="Calibri" w:eastAsiaTheme="minorHAnsi"/>
                <w:iCs/>
                <w:color w:val="808080" w:themeColor="background1" w:themeShade="80"/>
                <w:sz w:val="24"/>
                <w:szCs w:val="24"/>
                <w:shd w:fill="auto" w:val="clear"/>
              </w:rPr>
            </w:r>
          </w:p>
        </w:tc>
        <w:tc>
          <w:tcPr>
            <w:tcW w:w="906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/>
                <w:iCs/>
                <w:color w:val="808080" w:themeColor="background1" w:themeShade="80"/>
                <w:sz w:val="24"/>
                <w:szCs w:val="24"/>
                <w:highlight w:val="none"/>
                <w:shd w:fill="auto" w:val="clear"/>
              </w:rPr>
            </w:pPr>
            <w:r>
              <w:rPr>
                <w:rFonts w:eastAsia="Calibri"/>
                <w:iCs/>
                <w:color w:val="808080" w:themeColor="background1" w:themeShade="80"/>
                <w:sz w:val="24"/>
                <w:szCs w:val="24"/>
                <w:shd w:fill="auto" w:val="clear"/>
              </w:rPr>
            </w:r>
          </w:p>
        </w:tc>
      </w:tr>
    </w:tbl>
    <w:p>
      <w:pPr>
        <w:pStyle w:val="Normal"/>
        <w:spacing w:before="40" w:after="120"/>
        <w:ind w:right="-28" w:hanging="0"/>
        <w:jc w:val="both"/>
        <w:rPr>
          <w:b/>
          <w:bCs/>
          <w:iCs/>
          <w:sz w:val="16"/>
          <w:szCs w:val="16"/>
        </w:rPr>
      </w:pPr>
      <w:r>
        <w:rPr>
          <w:b/>
          <w:bCs/>
          <w:iCs/>
          <w:sz w:val="16"/>
          <w:szCs w:val="16"/>
        </w:rPr>
      </w:r>
    </w:p>
    <w:p>
      <w:pPr>
        <w:pStyle w:val="Normal"/>
        <w:spacing w:before="40" w:after="120"/>
        <w:ind w:right="-28" w:hanging="0"/>
        <w:jc w:val="both"/>
        <w:rPr>
          <w:sz w:val="20"/>
          <w:szCs w:val="20"/>
        </w:rPr>
      </w:pPr>
      <w:r>
        <w:rPr>
          <w:iCs/>
          <w:sz w:val="20"/>
          <w:szCs w:val="20"/>
        </w:rPr>
        <w:t>"Указанные в настоящем ТТ ссылки на ТУ, марку (тип) продукции носят описательный, а не обязательный характер. В случае, если Участником предлагается эквивалентная продукция требуемой Заказчику продукции или ее составных частей, он должен в обязательном порядке в составе своего предложения предоставить подробное техническое описание предлагаемого к поставке эквивалента, в объеме не менее установленных в настоящем ТТ требований, обозначенных как «параметры эквивалентности.</w:t>
      </w:r>
    </w:p>
    <w:p>
      <w:pPr>
        <w:pStyle w:val="Normal"/>
        <w:spacing w:before="40" w:after="120"/>
        <w:ind w:right="-28" w:hanging="0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</w:r>
    </w:p>
    <w:p>
      <w:pPr>
        <w:pStyle w:val="Normal"/>
        <w:spacing w:before="40" w:after="120"/>
        <w:ind w:right="-28" w:hanging="0"/>
        <w:jc w:val="both"/>
        <w:rPr>
          <w:sz w:val="20"/>
          <w:szCs w:val="20"/>
        </w:rPr>
      </w:pPr>
      <w:r>
        <w:rPr>
          <w:iCs/>
          <w:sz w:val="20"/>
          <w:szCs w:val="20"/>
        </w:rPr>
        <w:t>Эквивалентная продукция – это продукция, которая по техническим и функциональным характеристикам не уступает характеристикам, заявленным в документации о закупке, в том числе, по гарантийным срокам и срокам эксплуатации</w:t>
      </w:r>
    </w:p>
    <w:p>
      <w:pPr>
        <w:pStyle w:val="Normal"/>
        <w:spacing w:before="40" w:after="120"/>
        <w:ind w:right="-28" w:hanging="0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</w:r>
    </w:p>
    <w:p>
      <w:pPr>
        <w:pStyle w:val="Normal"/>
        <w:spacing w:before="40" w:after="120"/>
        <w:ind w:right="-28" w:hanging="0"/>
        <w:jc w:val="both"/>
        <w:rPr>
          <w:sz w:val="20"/>
          <w:szCs w:val="20"/>
        </w:rPr>
      </w:pPr>
      <w:r>
        <w:rPr>
          <w:iCs/>
          <w:sz w:val="20"/>
          <w:szCs w:val="20"/>
        </w:rPr>
        <w:t>** Способ подтверждения участником соответствия требованиям указан в таблице в отношении каждой позиции закупаемой продукции"</w:t>
      </w:r>
    </w:p>
    <w:sectPr>
      <w:headerReference w:type="default" r:id="rId8"/>
      <w:headerReference w:type="first" r:id="rId9"/>
      <w:type w:val="nextPage"/>
      <w:pgSz w:orient="landscape" w:w="16838" w:h="11906"/>
      <w:pgMar w:left="992" w:right="1134" w:gutter="0" w:header="435" w:top="555" w:footer="0" w:bottom="581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Arial Unicode MS">
    <w:charset w:val="01"/>
    <w:family w:val="roman"/>
    <w:pitch w:val="variable"/>
  </w:font>
  <w:font w:name="Verdana">
    <w:charset w:val="01"/>
    <w:family w:val="roman"/>
    <w:pitch w:val="variable"/>
  </w:font>
  <w:font w:name="Garamond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path="m0,0l-2147483645,0l-2147483645,-2147483646l0,-2147483646xe" stroked="f" o:allowincell="f" style="position:absolute;margin-left:0pt;margin-top:0.05pt;width:1.1pt;height:1.1pt;mso-wrap-style:square;v-text-anchor:top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0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4</w:t>
    </w:r>
    <w:r>
      <w:rPr/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</w:t>
    </w:r>
    <w:r>
      <w:rPr/>
      <w:fldChar w:fldCharType="end"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10</w:t>
    </w:r>
    <w:r>
      <w:rPr/>
      <w:fldChar w:fldCharType="end"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357"/>
        </w:tabs>
        <w:ind w:left="0" w:hanging="0"/>
      </w:pPr>
      <w:rPr/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hanging="0"/>
      </w:pPr>
      <w:rPr/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hanging="0"/>
      </w:pPr>
      <w:rPr/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hanging="0"/>
      </w:pPr>
      <w:rPr/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hanging="0"/>
      </w:pPr>
      <w:rPr/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hanging="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hanging="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hanging="0"/>
      </w:pPr>
      <w:rPr/>
    </w:lvl>
  </w:abstractNum>
  <w:abstractNum w:abstractNumId="2">
    <w:lvl w:ilvl="0">
      <w:start w:val="4"/>
      <w:numFmt w:val="bullet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spacing w:val="0"/>
        <w:i w:val="false"/>
        <w:u w:val="none"/>
        <w:b/>
        <w:kern w:val="0"/>
        <w:effect w:val="none"/>
        <w:szCs w:val="28"/>
        <w:iCs w:val="false"/>
        <w:bCs w:val="false"/>
        <w:em w:val="none"/>
        <w:vanish w:val="false"/>
        <w:rFonts w:ascii="Times New Roman" w:hAnsi="Times New Roman" w:cs="Times New Roman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sz w:val="24"/>
        <w:i w:val="false"/>
        <w:b/>
        <w:szCs w:val="24"/>
        <w:iCs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  <w:rPr/>
    </w:lvl>
    <w:lvl w:ilvl="3">
      <w:start w:val="1"/>
      <w:numFmt w:val="russianLower"/>
      <w:lvlText w:val="(%4)"/>
      <w:lvlJc w:val="left"/>
      <w:pPr>
        <w:tabs>
          <w:tab w:val="num" w:pos="0"/>
        </w:tabs>
        <w:ind w:left="1985" w:hanging="567"/>
      </w:pPr>
      <w:rPr/>
    </w:lvl>
    <w:lvl w:ilvl="4">
      <w:start w:val="1"/>
      <w:numFmt w:val="bullet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34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701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hanging="0"/>
      </w:pPr>
      <w:rPr/>
    </w:lvl>
  </w:abstractNum>
  <w:abstractNum w:abstractNumId="5">
    <w:lvl w:ilvl="0">
      <w:start w:val="1"/>
      <w:numFmt w:val="decimal"/>
      <w:lvlText w:val="1.%1"/>
      <w:lvlJc w:val="left"/>
      <w:pPr>
        <w:tabs>
          <w:tab w:val="num" w:pos="0"/>
        </w:tabs>
        <w:ind w:left="142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b/>
        <w:szCs w:val="24"/>
        <w:bCs w:val="fals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sz w:val="24"/>
        <w:b w:val="false"/>
        <w:szCs w:val="24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2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uiPriority="99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uiPriority="99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d7a4d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ru-RU" w:bidi="ar-SA"/>
    </w:rPr>
  </w:style>
  <w:style w:type="paragraph" w:styleId="Heading1">
    <w:name w:val="Heading 1"/>
    <w:basedOn w:val="Heading3"/>
    <w:next w:val="Normal"/>
    <w:link w:val="11"/>
    <w:qFormat/>
    <w:rsid w:val="00353a27"/>
    <w:pPr>
      <w:outlineLvl w:val="0"/>
    </w:pPr>
    <w:rPr>
      <w:sz w:val="28"/>
      <w:szCs w:val="28"/>
    </w:rPr>
  </w:style>
  <w:style w:type="paragraph" w:styleId="Heading2">
    <w:name w:val="Heading 2"/>
    <w:basedOn w:val="Heading4"/>
    <w:next w:val="Normal"/>
    <w:link w:val="2"/>
    <w:qFormat/>
    <w:rsid w:val="00ea61a8"/>
    <w:pPr>
      <w:outlineLvl w:val="1"/>
    </w:pPr>
    <w:rPr/>
  </w:style>
  <w:style w:type="paragraph" w:styleId="Heading3">
    <w:name w:val="Heading 3"/>
    <w:basedOn w:val="Normal"/>
    <w:next w:val="Normal"/>
    <w:link w:val="3"/>
    <w:autoRedefine/>
    <w:qFormat/>
    <w:rsid w:val="00035e96"/>
    <w:pPr>
      <w:keepNext w:val="true"/>
      <w:tabs>
        <w:tab w:val="clear" w:pos="708"/>
        <w:tab w:val="left" w:pos="0" w:leader="none"/>
      </w:tabs>
      <w:spacing w:before="120" w:after="60"/>
      <w:ind w:left="1224" w:hanging="504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Heading4">
    <w:name w:val="Heading 4"/>
    <w:basedOn w:val="Heading3"/>
    <w:next w:val="Normal"/>
    <w:link w:val="4"/>
    <w:qFormat/>
    <w:rsid w:val="006629c9"/>
    <w:pPr>
      <w:outlineLvl w:val="3"/>
    </w:pPr>
    <w:rPr>
      <w:bCs/>
    </w:rPr>
  </w:style>
  <w:style w:type="paragraph" w:styleId="Heading5">
    <w:name w:val="Heading 5"/>
    <w:basedOn w:val="Normal"/>
    <w:next w:val="Normal"/>
    <w:link w:val="5"/>
    <w:uiPriority w:val="9"/>
    <w:qFormat/>
    <w:rsid w:val="0076353a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6"/>
    <w:uiPriority w:val="9"/>
    <w:qFormat/>
    <w:rsid w:val="00d22f6d"/>
    <w:pPr>
      <w:keepNext w:val="true"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7"/>
    <w:uiPriority w:val="9"/>
    <w:qFormat/>
    <w:rsid w:val="00d22f6d"/>
    <w:pPr>
      <w:keepNext w:val="true"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8"/>
    <w:uiPriority w:val="9"/>
    <w:qFormat/>
    <w:rsid w:val="00d22f6d"/>
    <w:pPr>
      <w:keepNext w:val="true"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9"/>
    <w:uiPriority w:val="9"/>
    <w:qFormat/>
    <w:rsid w:val="0076353a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" w:customStyle="1">
    <w:name w:val="Символ сноски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Characters" w:customStyle="1">
    <w:name w:val="Footnote Characters"/>
    <w:qFormat/>
    <w:rsid w:val="00d561d9"/>
    <w:rPr>
      <w:vertAlign w:val="superscript"/>
    </w:rPr>
  </w:style>
  <w:style w:type="character" w:styleId="Pagenumber">
    <w:name w:val="page number"/>
    <w:basedOn w:val="DefaultParagraphFont"/>
    <w:qFormat/>
    <w:rsid w:val="006c2f3f"/>
    <w:rPr/>
  </w:style>
  <w:style w:type="character" w:styleId="1" w:customStyle="1">
    <w:name w:val="Гиперссылка1"/>
    <w:uiPriority w:val="99"/>
    <w:qFormat/>
    <w:rsid w:val="006c2f3f"/>
    <w:rPr>
      <w:color w:val="0000FF"/>
      <w:u w:val="single"/>
    </w:rPr>
  </w:style>
  <w:style w:type="character" w:styleId="Annotationreference">
    <w:name w:val="annotation reference"/>
    <w:uiPriority w:val="99"/>
    <w:semiHidden/>
    <w:qFormat/>
    <w:rsid w:val="00b714b0"/>
    <w:rPr>
      <w:sz w:val="16"/>
      <w:szCs w:val="16"/>
    </w:rPr>
  </w:style>
  <w:style w:type="character" w:styleId="Strong1">
    <w:name w:val="Strong1"/>
    <w:qFormat/>
    <w:rsid w:val="00165965"/>
    <w:rPr>
      <w:b/>
      <w:bCs/>
    </w:rPr>
  </w:style>
  <w:style w:type="character" w:styleId="6" w:customStyle="1">
    <w:name w:val="Заголовок 6 Знак"/>
    <w:uiPriority w:val="9"/>
    <w:qFormat/>
    <w:rsid w:val="00d22f6d"/>
    <w:rPr>
      <w:rFonts w:ascii="Cambria" w:hAnsi="Cambria"/>
      <w:i/>
      <w:iCs/>
      <w:color w:val="243F60"/>
      <w:lang w:val="x-none" w:eastAsia="x-none"/>
    </w:rPr>
  </w:style>
  <w:style w:type="character" w:styleId="7" w:customStyle="1">
    <w:name w:val="Заголовок 7 Знак"/>
    <w:uiPriority w:val="9"/>
    <w:qFormat/>
    <w:rsid w:val="00d22f6d"/>
    <w:rPr>
      <w:rFonts w:ascii="Cambria" w:hAnsi="Cambria"/>
      <w:i/>
      <w:iCs/>
      <w:color w:val="404040"/>
      <w:lang w:val="x-none" w:eastAsia="x-none"/>
    </w:rPr>
  </w:style>
  <w:style w:type="character" w:styleId="8" w:customStyle="1">
    <w:name w:val="Заголовок 8 Знак"/>
    <w:uiPriority w:val="9"/>
    <w:qFormat/>
    <w:rsid w:val="00d22f6d"/>
    <w:rPr>
      <w:rFonts w:ascii="Cambria" w:hAnsi="Cambria"/>
      <w:color w:val="4F81BD"/>
      <w:lang w:val="x-none" w:eastAsia="x-none"/>
    </w:rPr>
  </w:style>
  <w:style w:type="character" w:styleId="11" w:customStyle="1">
    <w:name w:val="Заголовок 1 Знак"/>
    <w:qFormat/>
    <w:rsid w:val="00353a27"/>
    <w:rPr>
      <w:rFonts w:eastAsia="Calibri"/>
      <w:b/>
      <w:sz w:val="28"/>
      <w:szCs w:val="28"/>
      <w:lang w:val="x-none" w:eastAsia="x-none"/>
    </w:rPr>
  </w:style>
  <w:style w:type="character" w:styleId="2" w:customStyle="1">
    <w:name w:val="Заголовок 2 Знак"/>
    <w:qFormat/>
    <w:rsid w:val="00ea61a8"/>
    <w:rPr>
      <w:rFonts w:eastAsia="Calibri"/>
      <w:b/>
      <w:bCs/>
      <w:sz w:val="24"/>
      <w:szCs w:val="24"/>
      <w:lang w:val="x-none" w:eastAsia="x-none"/>
    </w:rPr>
  </w:style>
  <w:style w:type="character" w:styleId="3" w:customStyle="1">
    <w:name w:val="Заголовок 3 Знак"/>
    <w:qFormat/>
    <w:rsid w:val="00035e96"/>
    <w:rPr>
      <w:rFonts w:eastAsia="Calibri"/>
      <w:b/>
      <w:sz w:val="24"/>
      <w:szCs w:val="24"/>
      <w:lang w:val="x-none" w:eastAsia="x-none"/>
    </w:rPr>
  </w:style>
  <w:style w:type="character" w:styleId="4" w:customStyle="1">
    <w:name w:val="Заголовок 4 Знак"/>
    <w:qFormat/>
    <w:rsid w:val="006629c9"/>
    <w:rPr>
      <w:rFonts w:eastAsia="Calibri"/>
      <w:b/>
      <w:bCs/>
      <w:sz w:val="24"/>
      <w:szCs w:val="24"/>
      <w:lang w:val="x-none" w:eastAsia="x-none"/>
    </w:rPr>
  </w:style>
  <w:style w:type="character" w:styleId="5" w:customStyle="1">
    <w:name w:val="Заголовок 5 Знак"/>
    <w:uiPriority w:val="9"/>
    <w:qFormat/>
    <w:rsid w:val="00d22f6d"/>
    <w:rPr>
      <w:b/>
      <w:bCs/>
      <w:i/>
      <w:iCs/>
      <w:sz w:val="26"/>
      <w:szCs w:val="26"/>
    </w:rPr>
  </w:style>
  <w:style w:type="character" w:styleId="9" w:customStyle="1">
    <w:name w:val="Заголовок 9 Знак"/>
    <w:uiPriority w:val="9"/>
    <w:qFormat/>
    <w:rsid w:val="00d22f6d"/>
    <w:rPr>
      <w:rFonts w:ascii="Arial" w:hAnsi="Arial" w:cs="Arial"/>
      <w:sz w:val="22"/>
      <w:szCs w:val="22"/>
    </w:rPr>
  </w:style>
  <w:style w:type="character" w:styleId="Style1" w:customStyle="1">
    <w:name w:val="Название Знак"/>
    <w:link w:val="16"/>
    <w:uiPriority w:val="10"/>
    <w:qFormat/>
    <w:rsid w:val="00d22f6d"/>
    <w:rPr>
      <w:sz w:val="28"/>
    </w:rPr>
  </w:style>
  <w:style w:type="character" w:styleId="Style2" w:customStyle="1">
    <w:name w:val="Подзаголовок Знак"/>
    <w:uiPriority w:val="11"/>
    <w:qFormat/>
    <w:rsid w:val="00d22f6d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Emphasis">
    <w:name w:val="Emphasis"/>
    <w:uiPriority w:val="20"/>
    <w:qFormat/>
    <w:rsid w:val="00d22f6d"/>
    <w:rPr>
      <w:i/>
      <w:iCs/>
    </w:rPr>
  </w:style>
  <w:style w:type="character" w:styleId="21" w:customStyle="1">
    <w:name w:val="Цитата 2 Знак"/>
    <w:link w:val="Quote"/>
    <w:uiPriority w:val="29"/>
    <w:qFormat/>
    <w:rsid w:val="00d22f6d"/>
    <w:rPr>
      <w:rFonts w:ascii="Calibri" w:hAnsi="Calibri" w:eastAsia="Calibri"/>
      <w:i/>
      <w:iCs/>
      <w:color w:val="000000"/>
      <w:lang w:val="x-none" w:eastAsia="x-none"/>
    </w:rPr>
  </w:style>
  <w:style w:type="character" w:styleId="Style3" w:customStyle="1">
    <w:name w:val="Выделенная цитата Знак"/>
    <w:link w:val="IntenseQuote"/>
    <w:uiPriority w:val="30"/>
    <w:qFormat/>
    <w:rsid w:val="00d22f6d"/>
    <w:rPr>
      <w:rFonts w:ascii="Calibri" w:hAnsi="Calibri" w:eastAsia="Calibri"/>
      <w:b/>
      <w:bCs/>
      <w:i/>
      <w:iCs/>
      <w:color w:val="4F81BD"/>
      <w:lang w:val="x-none" w:eastAsia="x-none"/>
    </w:rPr>
  </w:style>
  <w:style w:type="character" w:styleId="SubtleEmphasis">
    <w:name w:val="Subtle Emphasis"/>
    <w:uiPriority w:val="19"/>
    <w:qFormat/>
    <w:rsid w:val="00d22f6d"/>
    <w:rPr>
      <w:i/>
      <w:iCs/>
      <w:color w:val="808080"/>
    </w:rPr>
  </w:style>
  <w:style w:type="character" w:styleId="IntenseEmphasis">
    <w:name w:val="Intense Emphasis"/>
    <w:uiPriority w:val="21"/>
    <w:qFormat/>
    <w:rsid w:val="00d22f6d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d22f6d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d22f6d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d22f6d"/>
    <w:rPr>
      <w:b/>
      <w:bCs/>
      <w:smallCaps/>
      <w:spacing w:val="5"/>
    </w:rPr>
  </w:style>
  <w:style w:type="character" w:styleId="Style4" w:customStyle="1">
    <w:name w:val="Электронная подпись Знак"/>
    <w:link w:val="E-mailSignature"/>
    <w:uiPriority w:val="99"/>
    <w:qFormat/>
    <w:rsid w:val="00d22f6d"/>
    <w:rPr>
      <w:rFonts w:eastAsia="Calibri"/>
      <w:sz w:val="24"/>
      <w:szCs w:val="24"/>
    </w:rPr>
  </w:style>
  <w:style w:type="character" w:styleId="12" w:customStyle="1">
    <w:name w:val="Подпункт Знак1"/>
    <w:link w:val="Style22"/>
    <w:qFormat/>
    <w:locked/>
    <w:rsid w:val="00d22f6d"/>
    <w:rPr>
      <w:sz w:val="28"/>
    </w:rPr>
  </w:style>
  <w:style w:type="character" w:styleId="Style5" w:customStyle="1">
    <w:name w:val="Текст сноски Знак"/>
    <w:uiPriority w:val="99"/>
    <w:qFormat/>
    <w:rsid w:val="00d22f6d"/>
    <w:rPr/>
  </w:style>
  <w:style w:type="character" w:styleId="Style6" w:customStyle="1">
    <w:name w:val="Основной текст Знак"/>
    <w:qFormat/>
    <w:rsid w:val="004459a5"/>
    <w:rPr>
      <w:sz w:val="28"/>
      <w:szCs w:val="28"/>
    </w:rPr>
  </w:style>
  <w:style w:type="character" w:styleId="Blk" w:customStyle="1">
    <w:name w:val="blk"/>
    <w:qFormat/>
    <w:rsid w:val="00431ace"/>
    <w:rPr/>
  </w:style>
  <w:style w:type="character" w:styleId="Style7" w:customStyle="1">
    <w:name w:val="Абзац списка Знак"/>
    <w:link w:val="ListParagraph"/>
    <w:uiPriority w:val="34"/>
    <w:qFormat/>
    <w:locked/>
    <w:rsid w:val="00310eb4"/>
    <w:rPr>
      <w:rFonts w:eastAsia="Calibri"/>
      <w:sz w:val="24"/>
      <w:szCs w:val="24"/>
    </w:rPr>
  </w:style>
  <w:style w:type="character" w:styleId="Style8" w:customStyle="1">
    <w:name w:val="комментарий"/>
    <w:qFormat/>
    <w:rsid w:val="0025139e"/>
    <w:rPr>
      <w:b/>
      <w:i/>
      <w:shd w:fill="FFFF99" w:val="clear"/>
    </w:rPr>
  </w:style>
  <w:style w:type="character" w:styleId="Style9" w:customStyle="1">
    <w:name w:val="Подподпункт Знак"/>
    <w:link w:val="Style30"/>
    <w:qFormat/>
    <w:locked/>
    <w:rsid w:val="0025139e"/>
    <w:rPr>
      <w:sz w:val="26"/>
      <w:szCs w:val="26"/>
    </w:rPr>
  </w:style>
  <w:style w:type="character" w:styleId="31" w:customStyle="1">
    <w:name w:val="УРОВЕНЬ_Абзац_тип3 Знак"/>
    <w:link w:val="36"/>
    <w:qFormat/>
    <w:rsid w:val="00b56f46"/>
    <w:rPr>
      <w:rFonts w:eastAsia="Calibri"/>
      <w:sz w:val="26"/>
      <w:szCs w:val="28"/>
      <w:lang w:eastAsia="en-US"/>
    </w:rPr>
  </w:style>
  <w:style w:type="character" w:styleId="Style10" w:customStyle="1">
    <w:name w:val="Верхний колонтитул Знак"/>
    <w:uiPriority w:val="99"/>
    <w:qFormat/>
    <w:rsid w:val="002f31af"/>
    <w:rPr>
      <w:sz w:val="24"/>
      <w:szCs w:val="24"/>
    </w:rPr>
  </w:style>
  <w:style w:type="character" w:styleId="Style11" w:customStyle="1">
    <w:name w:val="Текст примечания Знак"/>
    <w:link w:val="Annotationtext"/>
    <w:semiHidden/>
    <w:qFormat/>
    <w:rsid w:val="00dc0f7d"/>
    <w:rPr/>
  </w:style>
  <w:style w:type="character" w:styleId="Style12" w:customStyle="1">
    <w:name w:val="Текст концевой сноски Знак"/>
    <w:basedOn w:val="DefaultParagraphFont"/>
    <w:qFormat/>
    <w:rsid w:val="003879d4"/>
    <w:rPr/>
  </w:style>
  <w:style w:type="character" w:styleId="Style13" w:customStyle="1">
    <w:name w:val="Символ концевой сноски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EndnoteCharacters" w:customStyle="1">
    <w:name w:val="Endnote Characters"/>
    <w:basedOn w:val="DefaultParagraphFont"/>
    <w:qFormat/>
    <w:rsid w:val="003879d4"/>
    <w:rPr>
      <w:vertAlign w:val="superscript"/>
    </w:rPr>
  </w:style>
  <w:style w:type="character" w:styleId="22" w:customStyle="1">
    <w:name w:val="Пункт2 Знак"/>
    <w:link w:val="24"/>
    <w:qFormat/>
    <w:rsid w:val="00de52bc"/>
    <w:rPr>
      <w:b/>
      <w:sz w:val="28"/>
    </w:rPr>
  </w:style>
  <w:style w:type="character" w:styleId="13" w:customStyle="1">
    <w:name w:val="УРОВЕНЬ_1. Знак"/>
    <w:link w:val="110"/>
    <w:qFormat/>
    <w:rsid w:val="004a17ae"/>
    <w:rPr>
      <w:rFonts w:eastAsia="Calibri"/>
      <w:caps/>
      <w:sz w:val="28"/>
      <w:szCs w:val="28"/>
      <w:lang w:eastAsia="en-US"/>
    </w:rPr>
  </w:style>
  <w:style w:type="character" w:styleId="14" w:customStyle="1">
    <w:name w:val="Неразрешенное упоминание1"/>
    <w:basedOn w:val="DefaultParagraphFont"/>
    <w:uiPriority w:val="99"/>
    <w:semiHidden/>
    <w:unhideWhenUsed/>
    <w:qFormat/>
    <w:rsid w:val="00c36f30"/>
    <w:rPr>
      <w:color w:val="605E5C"/>
      <w:shd w:fill="E1DFDD" w:val="clear"/>
    </w:rPr>
  </w:style>
  <w:style w:type="character" w:styleId="32" w:customStyle="1">
    <w:name w:val="Основной текст с отступом 3 Знак"/>
    <w:link w:val="BodyTextIndent3"/>
    <w:qFormat/>
    <w:rsid w:val="00c36f30"/>
    <w:rPr>
      <w:sz w:val="16"/>
      <w:szCs w:val="16"/>
    </w:rPr>
  </w:style>
  <w:style w:type="character" w:styleId="Style14" w:customStyle="1">
    <w:name w:val="Ссылка указателя"/>
    <w:qFormat/>
    <w:rPr/>
  </w:style>
  <w:style w:type="character" w:styleId="Style15" w:customStyle="1">
    <w:name w:val="Маркеры"/>
    <w:qFormat/>
    <w:rPr>
      <w:rFonts w:ascii="OpenSymbol" w:hAnsi="OpenSymbol" w:eastAsia="OpenSymbol" w:cs="OpenSymbol"/>
    </w:rPr>
  </w:style>
  <w:style w:type="character" w:styleId="Hyperlink">
    <w:name w:val="Hyperlink"/>
    <w:rPr>
      <w:color w:val="000080"/>
      <w:u w:val="single"/>
    </w:rPr>
  </w:style>
  <w:style w:type="character" w:styleId="Strong2">
    <w:name w:val="Strong2"/>
    <w:qFormat/>
    <w:rPr>
      <w:b/>
      <w:bCs/>
    </w:rPr>
  </w:style>
  <w:style w:type="character" w:styleId="Strong">
    <w:name w:val="Strong"/>
    <w:qFormat/>
    <w:rPr>
      <w:b/>
      <w:bCs/>
    </w:rPr>
  </w:style>
  <w:style w:type="paragraph" w:styleId="Style16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link w:val="Style6"/>
    <w:rsid w:val="0076353a"/>
    <w:pPr>
      <w:spacing w:before="0" w:after="12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/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">
    <w:name w:val="index heading1"/>
    <w:basedOn w:val="Title"/>
    <w:qFormat/>
    <w:pPr/>
    <w:rPr/>
  </w:style>
  <w:style w:type="paragraph" w:styleId="Caption11" w:customStyle="1">
    <w:name w:val="caption11"/>
    <w:basedOn w:val="Normal"/>
    <w:next w:val="Normal"/>
    <w:uiPriority w:val="35"/>
    <w:qFormat/>
    <w:rsid w:val="00d22f6d"/>
    <w:pPr/>
    <w:rPr>
      <w:rFonts w:eastAsia="Calibri"/>
      <w:b/>
      <w:bCs/>
      <w:color w:val="4F81BD"/>
      <w:sz w:val="18"/>
      <w:szCs w:val="18"/>
    </w:rPr>
  </w:style>
  <w:style w:type="paragraph" w:styleId="Indexheading11" w:customStyle="1">
    <w:name w:val="index heading11"/>
    <w:basedOn w:val="Title"/>
    <w:qFormat/>
    <w:pPr/>
    <w:rPr/>
  </w:style>
  <w:style w:type="paragraph" w:styleId="Style18" w:customStyle="1">
    <w:name w:val="Название раздела инструкции"/>
    <w:basedOn w:val="Normal"/>
    <w:autoRedefine/>
    <w:qFormat/>
    <w:rsid w:val="00275328"/>
    <w:pPr>
      <w:jc w:val="center"/>
    </w:pPr>
    <w:rPr>
      <w:b/>
    </w:rPr>
  </w:style>
  <w:style w:type="paragraph" w:styleId="Style19" w:customStyle="1">
    <w:name w:val="Раздел положения"/>
    <w:basedOn w:val="Normal"/>
    <w:autoRedefine/>
    <w:qFormat/>
    <w:rsid w:val="007475ee"/>
    <w:pPr>
      <w:numPr>
        <w:ilvl w:val="0"/>
        <w:numId w:val="1"/>
      </w:numPr>
      <w:spacing w:before="80" w:after="80"/>
      <w:jc w:val="center"/>
    </w:pPr>
    <w:rPr>
      <w:b/>
      <w:sz w:val="32"/>
      <w:szCs w:val="32"/>
    </w:rPr>
  </w:style>
  <w:style w:type="paragraph" w:styleId="Style20" w:customStyle="1">
    <w:name w:val="Подраздел раздела положения"/>
    <w:basedOn w:val="Normal"/>
    <w:autoRedefine/>
    <w:qFormat/>
    <w:rsid w:val="007475ee"/>
    <w:pPr>
      <w:numPr>
        <w:ilvl w:val="1"/>
        <w:numId w:val="1"/>
      </w:numPr>
      <w:spacing w:before="80" w:after="80"/>
      <w:jc w:val="both"/>
    </w:pPr>
    <w:rPr/>
  </w:style>
  <w:style w:type="paragraph" w:styleId="FootnoteText">
    <w:name w:val="Footnote Text"/>
    <w:basedOn w:val="Normal"/>
    <w:link w:val="Style5"/>
    <w:uiPriority w:val="99"/>
    <w:rsid w:val="00d561d9"/>
    <w:pPr/>
    <w:rPr>
      <w:sz w:val="20"/>
      <w:szCs w:val="20"/>
    </w:rPr>
  </w:style>
  <w:style w:type="paragraph" w:styleId="15" w:customStyle="1">
    <w:name w:val="Шапка 1"/>
    <w:basedOn w:val="Normal"/>
    <w:qFormat/>
    <w:rsid w:val="00d561d9"/>
    <w:pPr>
      <w:pBdr>
        <w:bottom w:val="thickThinSmallGap" w:sz="24" w:space="1" w:color="000000"/>
      </w:pBdr>
      <w:spacing w:before="0" w:after="240"/>
      <w:jc w:val="center"/>
    </w:pPr>
    <w:rPr>
      <w:sz w:val="22"/>
      <w:szCs w:val="22"/>
    </w:rPr>
  </w:style>
  <w:style w:type="paragraph" w:styleId="23" w:customStyle="1">
    <w:name w:val="Шапка 2"/>
    <w:basedOn w:val="Normal"/>
    <w:qFormat/>
    <w:rsid w:val="00d561d9"/>
    <w:pPr>
      <w:pBdr>
        <w:bottom w:val="thickThinSmallGap" w:sz="24" w:space="1" w:color="000000"/>
      </w:pBdr>
      <w:spacing w:before="0" w:after="120"/>
      <w:jc w:val="center"/>
    </w:pPr>
    <w:rPr>
      <w:b/>
      <w:sz w:val="22"/>
      <w:szCs w:val="22"/>
    </w:rPr>
  </w:style>
  <w:style w:type="paragraph" w:styleId="33" w:customStyle="1">
    <w:name w:val="Шапка 3"/>
    <w:basedOn w:val="Normal"/>
    <w:qFormat/>
    <w:rsid w:val="00d561d9"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styleId="16" w:customStyle="1">
    <w:name w:val="Название1"/>
    <w:basedOn w:val="Normal"/>
    <w:link w:val="Style1"/>
    <w:uiPriority w:val="10"/>
    <w:qFormat/>
    <w:rsid w:val="00bd4014"/>
    <w:pPr>
      <w:jc w:val="center"/>
    </w:pPr>
    <w:rPr>
      <w:szCs w:val="20"/>
      <w:lang w:val="x-none" w:eastAsia="x-none"/>
    </w:rPr>
  </w:style>
  <w:style w:type="paragraph" w:styleId="Style21" w:customStyle="1">
    <w:name w:val="Колонтитул"/>
    <w:basedOn w:val="Normal"/>
    <w:qFormat/>
    <w:pPr/>
    <w:rPr/>
  </w:style>
  <w:style w:type="paragraph" w:styleId="Header">
    <w:name w:val="Header"/>
    <w:basedOn w:val="Normal"/>
    <w:link w:val="Style10"/>
    <w:rsid w:val="0076353a"/>
    <w:pPr>
      <w:tabs>
        <w:tab w:val="clear" w:pos="708"/>
        <w:tab w:val="center" w:pos="4677" w:leader="none"/>
        <w:tab w:val="right" w:pos="9355" w:leader="none"/>
      </w:tabs>
    </w:pPr>
    <w:rPr>
      <w:sz w:val="24"/>
      <w:szCs w:val="24"/>
    </w:rPr>
  </w:style>
  <w:style w:type="paragraph" w:styleId="BodyTextIndent">
    <w:name w:val="Body Text Indent"/>
    <w:basedOn w:val="Normal"/>
    <w:rsid w:val="0076353a"/>
    <w:pPr>
      <w:ind w:left="360" w:hanging="0"/>
    </w:pPr>
    <w:rPr>
      <w:sz w:val="24"/>
      <w:szCs w:val="24"/>
    </w:rPr>
  </w:style>
  <w:style w:type="paragraph" w:styleId="Footer">
    <w:name w:val="Footer"/>
    <w:basedOn w:val="Normal"/>
    <w:rsid w:val="0076353a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odyTextIndent2">
    <w:name w:val="Body Text Indent 2"/>
    <w:basedOn w:val="Normal"/>
    <w:qFormat/>
    <w:rsid w:val="0076353a"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qFormat/>
    <w:rsid w:val="0076353a"/>
    <w:pPr>
      <w:spacing w:before="0" w:after="120"/>
    </w:pPr>
    <w:rPr>
      <w:sz w:val="16"/>
      <w:szCs w:val="16"/>
    </w:rPr>
  </w:style>
  <w:style w:type="paragraph" w:styleId="BodyTextIndent3">
    <w:name w:val="Body Text Indent 3"/>
    <w:basedOn w:val="Normal"/>
    <w:link w:val="32"/>
    <w:qFormat/>
    <w:rsid w:val="0076353a"/>
    <w:pPr>
      <w:spacing w:before="0" w:after="120"/>
      <w:ind w:left="283" w:hanging="0"/>
    </w:pPr>
    <w:rPr>
      <w:sz w:val="16"/>
      <w:szCs w:val="16"/>
    </w:rPr>
  </w:style>
  <w:style w:type="paragraph" w:styleId="BodyText2">
    <w:name w:val="Body Text 2"/>
    <w:basedOn w:val="Normal"/>
    <w:qFormat/>
    <w:rsid w:val="0076353a"/>
    <w:pPr>
      <w:spacing w:lineRule="auto" w:line="480" w:before="0" w:after="120"/>
    </w:pPr>
    <w:rPr/>
  </w:style>
  <w:style w:type="paragraph" w:styleId="BlockText">
    <w:name w:val="Block Text"/>
    <w:basedOn w:val="Normal"/>
    <w:qFormat/>
    <w:rsid w:val="0076353a"/>
    <w:pPr>
      <w:ind w:left="-567" w:right="-766" w:hanging="0"/>
      <w:jc w:val="center"/>
    </w:pPr>
    <w:rPr>
      <w:b/>
      <w:bCs/>
      <w:sz w:val="24"/>
      <w:szCs w:val="20"/>
    </w:rPr>
  </w:style>
  <w:style w:type="paragraph" w:styleId="Style22" w:customStyle="1">
    <w:name w:val="Подпункт"/>
    <w:basedOn w:val="Normal"/>
    <w:link w:val="12"/>
    <w:qFormat/>
    <w:rsid w:val="0076353a"/>
    <w:pPr>
      <w:tabs>
        <w:tab w:val="clear" w:pos="708"/>
        <w:tab w:val="left" w:pos="1134" w:leader="none"/>
      </w:tabs>
      <w:snapToGrid w:val="false"/>
      <w:spacing w:lineRule="auto" w:line="360"/>
      <w:ind w:left="1134" w:hanging="1134"/>
      <w:jc w:val="both"/>
    </w:pPr>
    <w:rPr>
      <w:szCs w:val="20"/>
      <w:lang w:val="x-none" w:eastAsia="x-none"/>
    </w:rPr>
  </w:style>
  <w:style w:type="paragraph" w:styleId="24" w:customStyle="1">
    <w:name w:val="Пункт2"/>
    <w:basedOn w:val="Normal"/>
    <w:link w:val="22"/>
    <w:qFormat/>
    <w:rsid w:val="0076353a"/>
    <w:pPr>
      <w:keepNext w:val="true"/>
      <w:tabs>
        <w:tab w:val="clear" w:pos="708"/>
        <w:tab w:val="left" w:pos="1134" w:leader="none"/>
      </w:tabs>
      <w:snapToGrid w:val="false"/>
      <w:spacing w:before="240" w:after="120"/>
      <w:ind w:left="1134" w:hanging="1134"/>
      <w:outlineLvl w:val="2"/>
    </w:pPr>
    <w:rPr>
      <w:b/>
      <w:szCs w:val="20"/>
    </w:rPr>
  </w:style>
  <w:style w:type="paragraph" w:styleId="TOC1">
    <w:name w:val="TOC 1"/>
    <w:basedOn w:val="Normal"/>
    <w:next w:val="Normal"/>
    <w:autoRedefine/>
    <w:uiPriority w:val="39"/>
    <w:rsid w:val="00421b6b"/>
    <w:pPr>
      <w:spacing w:before="120" w:after="0"/>
    </w:pPr>
    <w:rPr>
      <w:rFonts w:cs="Calibri Light (Заголовки)"/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c01756"/>
    <w:pPr>
      <w:ind w:left="280" w:hanging="0"/>
    </w:pPr>
    <w:rPr>
      <w:rFonts w:cs="Calibri" w:cstheme="minorHAnsi"/>
      <w:sz w:val="20"/>
      <w:szCs w:val="20"/>
    </w:rPr>
  </w:style>
  <w:style w:type="paragraph" w:styleId="Style23" w:customStyle="1">
    <w:name w:val="Раздел регламента"/>
    <w:basedOn w:val="Normal"/>
    <w:qFormat/>
    <w:rsid w:val="00e228fa"/>
    <w:pPr/>
    <w:rPr/>
  </w:style>
  <w:style w:type="paragraph" w:styleId="Style24" w:customStyle="1">
    <w:name w:val="Приложение к регламенту"/>
    <w:basedOn w:val="Normal"/>
    <w:qFormat/>
    <w:rsid w:val="00e228fa"/>
    <w:pPr>
      <w:jc w:val="right"/>
    </w:pPr>
    <w:rPr/>
  </w:style>
  <w:style w:type="paragraph" w:styleId="TOC2">
    <w:name w:val="TOC 2"/>
    <w:basedOn w:val="Normal"/>
    <w:next w:val="Normal"/>
    <w:autoRedefine/>
    <w:uiPriority w:val="39"/>
    <w:rsid w:val="00c01756"/>
    <w:pPr>
      <w:spacing w:before="240" w:after="0"/>
    </w:pPr>
    <w:rPr>
      <w:rFonts w:cs="Calibri" w:cstheme="minorHAnsi"/>
      <w:b/>
      <w:bCs/>
      <w:sz w:val="20"/>
      <w:szCs w:val="20"/>
    </w:rPr>
  </w:style>
  <w:style w:type="paragraph" w:styleId="BalloonText">
    <w:name w:val="Balloon Text"/>
    <w:basedOn w:val="Normal"/>
    <w:semiHidden/>
    <w:qFormat/>
    <w:rsid w:val="00197c91"/>
    <w:pPr/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Style11"/>
    <w:semiHidden/>
    <w:qFormat/>
    <w:rsid w:val="00b714b0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semiHidden/>
    <w:qFormat/>
    <w:rsid w:val="00b714b0"/>
    <w:pPr/>
    <w:rPr>
      <w:b/>
      <w:bCs/>
    </w:rPr>
  </w:style>
  <w:style w:type="paragraph" w:styleId="17" w:customStyle="1">
    <w:name w:val="Обычный (веб)1"/>
    <w:basedOn w:val="Normal"/>
    <w:uiPriority w:val="99"/>
    <w:qFormat/>
    <w:rsid w:val="002f559a"/>
    <w:pPr>
      <w:spacing w:beforeAutospacing="1" w:afterAutospacing="1"/>
    </w:pPr>
    <w:rPr>
      <w:rFonts w:ascii="Arial Unicode MS" w:hAnsi="Arial Unicode MS" w:eastAsia="Arial Unicode MS" w:cs="Arial Unicode MS"/>
      <w:sz w:val="24"/>
      <w:szCs w:val="24"/>
    </w:rPr>
  </w:style>
  <w:style w:type="paragraph" w:styleId="TOC9">
    <w:name w:val="TOC 9"/>
    <w:basedOn w:val="Normal"/>
    <w:next w:val="Normal"/>
    <w:autoRedefine/>
    <w:semiHidden/>
    <w:rsid w:val="00f57628"/>
    <w:pPr>
      <w:ind w:left="196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f57628"/>
    <w:pPr>
      <w:ind w:left="84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c01756"/>
    <w:pPr>
      <w:ind w:left="560" w:hanging="0"/>
    </w:pPr>
    <w:rPr>
      <w:rFonts w:cs="Calibri" w:cstheme="minorHAnsi"/>
      <w:sz w:val="20"/>
      <w:szCs w:val="20"/>
    </w:rPr>
  </w:style>
  <w:style w:type="paragraph" w:styleId="25" w:customStyle="1">
    <w:name w:val="Раздел положения 2"/>
    <w:basedOn w:val="Normal"/>
    <w:qFormat/>
    <w:rsid w:val="002c1e0e"/>
    <w:pPr>
      <w:pageBreakBefore/>
      <w:jc w:val="both"/>
      <w:outlineLvl w:val="0"/>
    </w:pPr>
    <w:rPr>
      <w:b/>
    </w:rPr>
  </w:style>
  <w:style w:type="paragraph" w:styleId="Style25" w:customStyle="1">
    <w:name w:val="Знак Знак Знак Знак Знак Знак Знак Знак Знак"/>
    <w:basedOn w:val="Normal"/>
    <w:qFormat/>
    <w:rsid w:val="00d22f6d"/>
    <w:pPr>
      <w:spacing w:lineRule="exact" w:line="240" w:before="0" w:after="160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NoSpacing">
    <w:name w:val="No Spacing"/>
    <w:basedOn w:val="Normal"/>
    <w:uiPriority w:val="1"/>
    <w:qFormat/>
    <w:rsid w:val="00d22f6d"/>
    <w:pPr>
      <w:spacing w:lineRule="auto" w:line="360"/>
    </w:pPr>
    <w:rPr>
      <w:rFonts w:eastAsia="Calibri"/>
      <w:sz w:val="24"/>
      <w:szCs w:val="24"/>
    </w:rPr>
  </w:style>
  <w:style w:type="paragraph" w:styleId="Subtitle">
    <w:name w:val="Subtitle"/>
    <w:basedOn w:val="Normal"/>
    <w:next w:val="Normal"/>
    <w:link w:val="Style2"/>
    <w:uiPriority w:val="11"/>
    <w:qFormat/>
    <w:rsid w:val="00d22f6d"/>
    <w:pPr>
      <w:ind w:left="1066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paragraph" w:styleId="ListParagraph">
    <w:name w:val="List Paragraph"/>
    <w:basedOn w:val="Normal"/>
    <w:link w:val="Style7"/>
    <w:uiPriority w:val="34"/>
    <w:qFormat/>
    <w:rsid w:val="00d22f6d"/>
    <w:pPr>
      <w:spacing w:before="0" w:after="0"/>
      <w:ind w:left="720" w:hanging="0"/>
      <w:contextualSpacing/>
    </w:pPr>
    <w:rPr>
      <w:rFonts w:eastAsia="Calibri"/>
      <w:sz w:val="24"/>
      <w:szCs w:val="24"/>
    </w:rPr>
  </w:style>
  <w:style w:type="paragraph" w:styleId="Quote">
    <w:name w:val="Quote"/>
    <w:basedOn w:val="Normal"/>
    <w:next w:val="Normal"/>
    <w:link w:val="21"/>
    <w:uiPriority w:val="29"/>
    <w:qFormat/>
    <w:rsid w:val="00d22f6d"/>
    <w:pPr/>
    <w:rPr>
      <w:rFonts w:ascii="Calibri" w:hAnsi="Calibri" w:eastAsia="Calibri"/>
      <w:i/>
      <w:iCs/>
      <w:color w:val="000000"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Style3"/>
    <w:uiPriority w:val="30"/>
    <w:qFormat/>
    <w:rsid w:val="00d22f6d"/>
    <w:pPr>
      <w:pBdr>
        <w:bottom w:val="single" w:sz="4" w:space="4" w:color="4F81BD"/>
      </w:pBdr>
      <w:spacing w:before="200" w:after="280"/>
      <w:ind w:left="936" w:right="936" w:hanging="0"/>
    </w:pPr>
    <w:rPr>
      <w:rFonts w:ascii="Calibri" w:hAnsi="Calibri" w:eastAsia="Calibri"/>
      <w:b/>
      <w:bCs/>
      <w:i/>
      <w:iCs/>
      <w:color w:val="4F81BD"/>
      <w:sz w:val="20"/>
      <w:szCs w:val="20"/>
      <w:lang w:val="x-none" w:eastAsia="x-none"/>
    </w:rPr>
  </w:style>
  <w:style w:type="paragraph" w:styleId="IndexHeading">
    <w:name w:val="Index Heading"/>
    <w:basedOn w:val="Style16"/>
    <w:pPr/>
    <w:rPr/>
  </w:style>
  <w:style w:type="paragraph" w:styleId="TOCHeading">
    <w:name w:val="TOC Heading"/>
    <w:basedOn w:val="Heading1"/>
    <w:next w:val="Normal"/>
    <w:uiPriority w:val="39"/>
    <w:qFormat/>
    <w:rsid w:val="00d22f6d"/>
    <w:pPr>
      <w:keepLines/>
      <w:spacing w:before="480" w:after="60"/>
      <w:outlineLvl w:val="9"/>
    </w:pPr>
    <w:rPr>
      <w:rFonts w:ascii="Cambria" w:hAnsi="Cambria"/>
      <w:bCs/>
      <w:color w:val="365F91"/>
    </w:rPr>
  </w:style>
  <w:style w:type="paragraph" w:styleId="E-mailSignature">
    <w:name w:val="E-mail Signature"/>
    <w:basedOn w:val="Normal"/>
    <w:link w:val="Style4"/>
    <w:uiPriority w:val="99"/>
    <w:unhideWhenUsed/>
    <w:qFormat/>
    <w:rsid w:val="00d22f6d"/>
    <w:pPr/>
    <w:rPr>
      <w:rFonts w:eastAsia="Calibri"/>
      <w:sz w:val="24"/>
      <w:szCs w:val="24"/>
      <w:lang w:val="x-none" w:eastAsia="x-none"/>
    </w:rPr>
  </w:style>
  <w:style w:type="paragraph" w:styleId="Style26" w:customStyle="1">
    <w:name w:val="Знак"/>
    <w:basedOn w:val="Normal"/>
    <w:qFormat/>
    <w:rsid w:val="00d22f6d"/>
    <w:pPr>
      <w:spacing w:lineRule="exact" w:line="240" w:before="0" w:after="160"/>
    </w:pPr>
    <w:rPr>
      <w:rFonts w:ascii="Verdana" w:hAnsi="Verdana" w:cs="Verdana"/>
      <w:sz w:val="20"/>
      <w:szCs w:val="20"/>
      <w:lang w:val="en-US" w:eastAsia="en-US"/>
    </w:rPr>
  </w:style>
  <w:style w:type="paragraph" w:styleId="34" w:customStyle="1">
    <w:name w:val="Нумерованный список ур3"/>
    <w:basedOn w:val="Normal"/>
    <w:qFormat/>
    <w:rsid w:val="00d22f6d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styleId="311" w:customStyle="1">
    <w:name w:val="Список 31"/>
    <w:basedOn w:val="Normal"/>
    <w:qFormat/>
    <w:rsid w:val="00d22f6d"/>
    <w:pPr>
      <w:numPr>
        <w:ilvl w:val="0"/>
        <w:numId w:val="2"/>
      </w:numPr>
      <w:spacing w:before="120" w:after="0"/>
      <w:jc w:val="both"/>
    </w:pPr>
    <w:rPr>
      <w:rFonts w:ascii="Garamond" w:hAnsi="Garamond"/>
      <w:sz w:val="24"/>
      <w:szCs w:val="20"/>
    </w:rPr>
  </w:style>
  <w:style w:type="paragraph" w:styleId="26" w:customStyle="1">
    <w:name w:val="Нумерованный список ур2"/>
    <w:basedOn w:val="Normal"/>
    <w:qFormat/>
    <w:rsid w:val="00d22f6d"/>
    <w:pPr>
      <w:numPr>
        <w:ilvl w:val="1"/>
        <w:numId w:val="2"/>
      </w:numPr>
      <w:spacing w:before="120" w:after="0"/>
      <w:jc w:val="both"/>
    </w:pPr>
    <w:rPr>
      <w:rFonts w:ascii="Garamond" w:hAnsi="Garamond"/>
      <w:sz w:val="24"/>
      <w:szCs w:val="20"/>
    </w:rPr>
  </w:style>
  <w:style w:type="paragraph" w:styleId="Revision">
    <w:name w:val="Revision"/>
    <w:uiPriority w:val="99"/>
    <w:semiHidden/>
    <w:qFormat/>
    <w:rsid w:val="00d22f6d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4"/>
      <w:szCs w:val="24"/>
      <w:lang w:val="ru-RU" w:eastAsia="ru-RU" w:bidi="ar-SA"/>
    </w:rPr>
  </w:style>
  <w:style w:type="paragraph" w:styleId="ConsPlusNormal" w:customStyle="1">
    <w:name w:val="ConsPlusNormal"/>
    <w:qFormat/>
    <w:rsid w:val="00d22f6d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35" w:customStyle="1">
    <w:name w:val="Знак Знак3 Знак Знак"/>
    <w:basedOn w:val="Normal"/>
    <w:qFormat/>
    <w:rsid w:val="00d22f6d"/>
    <w:pPr>
      <w:spacing w:lineRule="exact" w:line="240" w:before="0" w:after="160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Style27" w:customStyle="1">
    <w:name w:val="Пункт"/>
    <w:basedOn w:val="Normal"/>
    <w:qFormat/>
    <w:rsid w:val="00d22f6d"/>
    <w:pPr>
      <w:widowControl w:val="false"/>
      <w:tabs>
        <w:tab w:val="clear" w:pos="708"/>
        <w:tab w:val="left" w:pos="1134" w:leader="none"/>
      </w:tabs>
      <w:spacing w:lineRule="auto" w:line="360" w:before="120" w:after="0"/>
      <w:ind w:left="1134" w:right="800" w:hanging="1134"/>
      <w:jc w:val="both"/>
    </w:pPr>
    <w:rPr>
      <w:rFonts w:ascii="Arial" w:hAnsi="Arial"/>
      <w:b/>
      <w:i/>
      <w:szCs w:val="20"/>
    </w:rPr>
  </w:style>
  <w:style w:type="paragraph" w:styleId="18" w:customStyle="1">
    <w:name w:val="Абзац списка1"/>
    <w:basedOn w:val="Normal"/>
    <w:qFormat/>
    <w:rsid w:val="00d22f6d"/>
    <w:pPr>
      <w:spacing w:lineRule="auto" w:line="276" w:before="0" w:after="200"/>
      <w:ind w:left="720" w:hanging="0"/>
      <w:contextualSpacing/>
    </w:pPr>
    <w:rPr>
      <w:rFonts w:ascii="Calibri" w:hAnsi="Calibri"/>
      <w:sz w:val="22"/>
      <w:szCs w:val="22"/>
      <w:lang w:eastAsia="en-US"/>
    </w:rPr>
  </w:style>
  <w:style w:type="paragraph" w:styleId="Style28" w:customStyle="1">
    <w:name w:val="Таблица"/>
    <w:basedOn w:val="Normal"/>
    <w:qFormat/>
    <w:rsid w:val="0041356c"/>
    <w:pPr>
      <w:keepNext w:val="true"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styleId="Style29" w:customStyle="1">
    <w:name w:val="Таблица шапка"/>
    <w:basedOn w:val="Normal"/>
    <w:qFormat/>
    <w:rsid w:val="00f64089"/>
    <w:pPr>
      <w:keepNext w:val="true"/>
      <w:spacing w:before="40" w:after="40"/>
      <w:ind w:left="57" w:right="57" w:hanging="0"/>
    </w:pPr>
    <w:rPr>
      <w:sz w:val="22"/>
      <w:szCs w:val="26"/>
    </w:rPr>
  </w:style>
  <w:style w:type="paragraph" w:styleId="Style30" w:customStyle="1">
    <w:name w:val="Подподпункт"/>
    <w:basedOn w:val="Style22"/>
    <w:link w:val="Style9"/>
    <w:qFormat/>
    <w:rsid w:val="0025139e"/>
    <w:pPr>
      <w:tabs>
        <w:tab w:val="clear" w:pos="1134"/>
        <w:tab w:val="left" w:pos="5104" w:leader="none"/>
      </w:tabs>
      <w:snapToGrid w:val="true"/>
      <w:spacing w:lineRule="auto" w:line="240" w:before="120" w:after="0"/>
      <w:ind w:left="5104" w:hanging="567"/>
    </w:pPr>
    <w:rPr>
      <w:sz w:val="26"/>
      <w:szCs w:val="26"/>
      <w:lang w:val="ru-RU" w:eastAsia="ru-RU"/>
    </w:rPr>
  </w:style>
  <w:style w:type="paragraph" w:styleId="Style31" w:customStyle="1">
    <w:name w:val="УРОВЕНЬ_(а)"/>
    <w:basedOn w:val="ListParagraph"/>
    <w:qFormat/>
    <w:rsid w:val="00b56f46"/>
    <w:pPr>
      <w:numPr>
        <w:ilvl w:val="3"/>
        <w:numId w:val="4"/>
      </w:numPr>
      <w:spacing w:lineRule="exact" w:line="360" w:before="120" w:after="0"/>
      <w:contextualSpacing w:val="false"/>
      <w:jc w:val="both"/>
      <w:outlineLvl w:val="3"/>
    </w:pPr>
    <w:rPr>
      <w:sz w:val="26"/>
      <w:szCs w:val="28"/>
      <w:lang w:eastAsia="en-US"/>
    </w:rPr>
  </w:style>
  <w:style w:type="paragraph" w:styleId="-" w:customStyle="1">
    <w:name w:val="УРОВЕНЬ_-"/>
    <w:basedOn w:val="ListParagraph"/>
    <w:qFormat/>
    <w:rsid w:val="00b56f46"/>
    <w:pPr>
      <w:numPr>
        <w:ilvl w:val="4"/>
        <w:numId w:val="4"/>
      </w:numPr>
      <w:spacing w:lineRule="exact" w:line="360" w:before="120" w:after="0"/>
      <w:contextualSpacing w:val="false"/>
      <w:jc w:val="both"/>
      <w:outlineLvl w:val="4"/>
    </w:pPr>
    <w:rPr>
      <w:sz w:val="26"/>
      <w:szCs w:val="28"/>
      <w:lang w:eastAsia="en-US"/>
    </w:rPr>
  </w:style>
  <w:style w:type="paragraph" w:styleId="27" w:customStyle="1">
    <w:name w:val="УРОВЕНЬ_Абзац_тип2"/>
    <w:basedOn w:val="ListParagraph"/>
    <w:qFormat/>
    <w:rsid w:val="00b56f46"/>
    <w:pPr>
      <w:numPr>
        <w:ilvl w:val="6"/>
        <w:numId w:val="4"/>
      </w:numPr>
      <w:spacing w:lineRule="exact" w:line="360" w:before="120" w:after="0"/>
      <w:contextualSpacing w:val="false"/>
      <w:jc w:val="both"/>
    </w:pPr>
    <w:rPr>
      <w:sz w:val="26"/>
      <w:szCs w:val="28"/>
      <w:lang w:eastAsia="en-US"/>
    </w:rPr>
  </w:style>
  <w:style w:type="paragraph" w:styleId="36" w:customStyle="1">
    <w:name w:val="УРОВЕНЬ_Абзац_тип3"/>
    <w:basedOn w:val="ListParagraph"/>
    <w:link w:val="31"/>
    <w:qFormat/>
    <w:rsid w:val="00b56f46"/>
    <w:pPr>
      <w:numPr>
        <w:ilvl w:val="7"/>
        <w:numId w:val="4"/>
      </w:numPr>
      <w:spacing w:lineRule="exact" w:line="360" w:before="120" w:after="0"/>
      <w:contextualSpacing w:val="false"/>
      <w:jc w:val="both"/>
    </w:pPr>
    <w:rPr>
      <w:sz w:val="26"/>
      <w:szCs w:val="28"/>
      <w:lang w:eastAsia="en-US"/>
    </w:rPr>
  </w:style>
  <w:style w:type="paragraph" w:styleId="Style32" w:customStyle="1">
    <w:name w:val="УРОВЕНЬ_Подпись"/>
    <w:basedOn w:val="ListParagraph"/>
    <w:qFormat/>
    <w:rsid w:val="00b56f46"/>
    <w:pPr>
      <w:keepNext w:val="true"/>
      <w:numPr>
        <w:ilvl w:val="5"/>
        <w:numId w:val="4"/>
      </w:numPr>
      <w:spacing w:lineRule="exact" w:line="360" w:before="120" w:after="120"/>
      <w:contextualSpacing w:val="false"/>
      <w:jc w:val="right"/>
      <w:outlineLvl w:val="3"/>
    </w:pPr>
    <w:rPr>
      <w:sz w:val="26"/>
      <w:szCs w:val="28"/>
      <w:lang w:eastAsia="en-US"/>
    </w:rPr>
  </w:style>
  <w:style w:type="paragraph" w:styleId="19" w:customStyle="1">
    <w:name w:val="Стиль Заголовок 1 + по ширине"/>
    <w:basedOn w:val="Heading1"/>
    <w:qFormat/>
    <w:rsid w:val="005773b2"/>
    <w:pPr>
      <w:keepLines/>
      <w:tabs>
        <w:tab w:val="clear" w:pos="0"/>
        <w:tab w:val="left" w:pos="567" w:leader="none"/>
      </w:tabs>
      <w:spacing w:before="480" w:after="240"/>
      <w:ind w:left="567" w:hanging="567"/>
      <w:jc w:val="both"/>
    </w:pPr>
    <w:rPr>
      <w:rFonts w:ascii="Arial" w:hAnsi="Arial" w:eastAsia="Times New Roman"/>
      <w:bCs/>
      <w:kern w:val="2"/>
      <w:sz w:val="40"/>
      <w:szCs w:val="20"/>
      <w:lang w:val="ru-RU" w:eastAsia="ru-RU"/>
    </w:rPr>
  </w:style>
  <w:style w:type="paragraph" w:styleId="EndnoteText">
    <w:name w:val="Endnote Text"/>
    <w:basedOn w:val="Normal"/>
    <w:link w:val="Style12"/>
    <w:rsid w:val="003879d4"/>
    <w:pPr/>
    <w:rPr>
      <w:sz w:val="20"/>
      <w:szCs w:val="20"/>
    </w:rPr>
  </w:style>
  <w:style w:type="paragraph" w:styleId="28" w:customStyle="1">
    <w:name w:val="Заголовок 2 КВВ"/>
    <w:basedOn w:val="Normal"/>
    <w:qFormat/>
    <w:rsid w:val="00cb35e8"/>
    <w:pPr>
      <w:keepNext w:val="true"/>
      <w:numPr>
        <w:ilvl w:val="0"/>
        <w:numId w:val="5"/>
      </w:numPr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styleId="Style33" w:customStyle="1">
    <w:name w:val="Таблица текст"/>
    <w:basedOn w:val="Normal"/>
    <w:qFormat/>
    <w:rsid w:val="00343e95"/>
    <w:pPr>
      <w:spacing w:before="40" w:after="40"/>
      <w:ind w:left="57" w:right="57" w:hanging="0"/>
    </w:pPr>
    <w:rPr>
      <w:sz w:val="24"/>
      <w:szCs w:val="26"/>
    </w:rPr>
  </w:style>
  <w:style w:type="paragraph" w:styleId="NormalWeb">
    <w:name w:val="Normal (Web)"/>
    <w:basedOn w:val="Normal"/>
    <w:uiPriority w:val="99"/>
    <w:unhideWhenUsed/>
    <w:qFormat/>
    <w:rsid w:val="00265d9f"/>
    <w:pPr>
      <w:spacing w:beforeAutospacing="1" w:afterAutospacing="1"/>
    </w:pPr>
    <w:rPr>
      <w:sz w:val="24"/>
      <w:szCs w:val="24"/>
    </w:rPr>
  </w:style>
  <w:style w:type="paragraph" w:styleId="110" w:customStyle="1">
    <w:name w:val="УРОВЕНЬ_1."/>
    <w:basedOn w:val="ListParagraph"/>
    <w:link w:val="13"/>
    <w:qFormat/>
    <w:rsid w:val="004a17ae"/>
    <w:pPr>
      <w:keepNext w:val="true"/>
      <w:keepLines/>
      <w:spacing w:lineRule="auto" w:line="276" w:before="240" w:after="120"/>
      <w:ind w:left="0" w:hanging="0"/>
      <w:contextualSpacing w:val="false"/>
      <w:jc w:val="both"/>
      <w:outlineLvl w:val="0"/>
    </w:pPr>
    <w:rPr>
      <w:caps/>
      <w:sz w:val="28"/>
      <w:szCs w:val="28"/>
      <w:lang w:eastAsia="en-US"/>
    </w:rPr>
  </w:style>
  <w:style w:type="paragraph" w:styleId="TOC6">
    <w:name w:val="TOC 6"/>
    <w:basedOn w:val="Normal"/>
    <w:next w:val="Normal"/>
    <w:autoRedefine/>
    <w:unhideWhenUsed/>
    <w:rsid w:val="00d849aa"/>
    <w:pPr>
      <w:ind w:left="112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nhideWhenUsed/>
    <w:rsid w:val="00d849aa"/>
    <w:pPr>
      <w:ind w:left="140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nhideWhenUsed/>
    <w:rsid w:val="00d849aa"/>
    <w:pPr>
      <w:ind w:left="168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Style34" w:customStyle="1">
    <w:name w:val="Содержимое врезки"/>
    <w:basedOn w:val="Normal"/>
    <w:qFormat/>
    <w:pPr/>
    <w:rPr/>
  </w:style>
  <w:style w:type="paragraph" w:styleId="Style35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Style36" w:customStyle="1">
    <w:name w:val="Заголовок таблицы"/>
    <w:basedOn w:val="Style35"/>
    <w:qFormat/>
    <w:pPr>
      <w:jc w:val="center"/>
    </w:pPr>
    <w:rPr>
      <w:b/>
      <w:bCs/>
    </w:rPr>
  </w:style>
  <w:style w:type="paragraph" w:styleId="Style37">
    <w:name w:val="Заголовок списка"/>
    <w:basedOn w:val="Normal"/>
    <w:next w:val="Style38"/>
    <w:qFormat/>
    <w:pPr>
      <w:ind w:hanging="0"/>
    </w:pPr>
    <w:rPr/>
  </w:style>
  <w:style w:type="paragraph" w:styleId="Style38">
    <w:name w:val="Содержимое списка"/>
    <w:basedOn w:val="Normal"/>
    <w:qFormat/>
    <w:pPr>
      <w:ind w:left="567" w:hanging="0"/>
    </w:pPr>
    <w:rPr/>
  </w:style>
  <w:style w:type="numbering" w:styleId="NoList" w:default="1">
    <w:name w:val="No List"/>
    <w:uiPriority w:val="99"/>
    <w:semiHidden/>
    <w:unhideWhenUsed/>
    <w:qFormat/>
  </w:style>
  <w:style w:type="numbering" w:styleId="111" w:customStyle="1">
    <w:name w:val="Стиль1"/>
    <w:uiPriority w:val="99"/>
    <w:qFormat/>
    <w:rsid w:val="00f001e4"/>
  </w:style>
  <w:style w:type="numbering" w:styleId="29" w:customStyle="1">
    <w:name w:val="Стиль2"/>
    <w:uiPriority w:val="99"/>
    <w:qFormat/>
    <w:rsid w:val="006629c9"/>
  </w:style>
  <w:style w:type="table" w:default="1" w:styleId="a5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fff7">
    <w:name w:val="Table Grid"/>
    <w:basedOn w:val="a5"/>
    <w:uiPriority w:val="39"/>
    <w:rsid w:val="0076353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d">
    <w:name w:val="Сетка таблицы1"/>
    <w:basedOn w:val="a5"/>
    <w:uiPriority w:val="39"/>
    <w:rsid w:val="00214b9f"/>
    <w:rPr>
      <w:rFonts w:asciiTheme="minorHAnsi" w:hAnsiTheme="minorHAnsi" w:eastAsiaTheme="minorHAnsi" w:cstheme="minorBidi"/>
      <w:lang w:eastAsia="en-US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header" Target="header4.xml"/><Relationship Id="rId6" Type="http://schemas.openxmlformats.org/officeDocument/2006/relationships/header" Target="header5.xml"/><Relationship Id="rId7" Type="http://schemas.openxmlformats.org/officeDocument/2006/relationships/image" Target="media/image1.jpeg"/><Relationship Id="rId8" Type="http://schemas.openxmlformats.org/officeDocument/2006/relationships/header" Target="header6.xml"/><Relationship Id="rId9" Type="http://schemas.openxmlformats.org/officeDocument/2006/relationships/header" Target="header7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1E519-16B0-47BC-90EC-0C1703F0A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3391</TotalTime>
  <Application>AlterOffice/3.4.0.9$Linux_X86_64 LibreOffice_project/b8daf9e823b1a5463a2f48435ddc2e8696e7d4fc</Application>
  <AppVersion>15.0000</AppVersion>
  <Pages>10</Pages>
  <Words>991</Words>
  <Characters>6941</Characters>
  <CharactersWithSpaces>7748</CharactersWithSpaces>
  <Paragraphs>189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2023-10-31T01:55:00Z</dcterms:created>
  <dc:creator>Тимофеев Александр Викторович</dc:creator>
  <dc:description/>
  <dc:language>ru-RU</dc:language>
  <cp:lastModifiedBy>lvovaiyu</cp:lastModifiedBy>
  <cp:lastPrinted>2025-11-10T14:16:43Z</cp:lastPrinted>
  <dcterms:modified xsi:type="dcterms:W3CDTF">2026-03-27T16:23:16Z</dcterms:modified>
  <cp:revision>159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