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608556B"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Тел.: +7 (383) 202-45-65, доб. 5051</w:t>
            </w:r>
          </w:p>
          <w:p w14:paraId="48C1C9EE"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Моб. +7 (993) 023-10-90</w:t>
            </w:r>
          </w:p>
          <w:p w14:paraId="4D6C840E" w14:textId="77777777" w:rsidR="00F07D9B" w:rsidRPr="00D767F4" w:rsidRDefault="00BF6516" w:rsidP="00D767F4">
            <w:pPr>
              <w:tabs>
                <w:tab w:val="right" w:pos="9354"/>
              </w:tabs>
              <w:spacing w:after="0" w:line="240" w:lineRule="auto"/>
              <w:jc w:val="center"/>
              <w:rPr>
                <w:rFonts w:ascii="Times New Roman" w:eastAsia="Times New Roman" w:hAnsi="Times New Roman" w:cs="Times New Roman"/>
                <w:sz w:val="24"/>
                <w:szCs w:val="24"/>
                <w:lang w:eastAsia="ru-RU"/>
              </w:rPr>
            </w:pPr>
            <w:hyperlink r:id="rId8" w:history="1">
              <w:r w:rsidR="006A7CD6" w:rsidRPr="001414D6">
                <w:rPr>
                  <w:rStyle w:val="ad"/>
                  <w:rFonts w:ascii="Times New Roman" w:eastAsia="Times New Roman" w:hAnsi="Times New Roman" w:cs="Times New Roman"/>
                  <w:sz w:val="24"/>
                  <w:szCs w:val="24"/>
                  <w:lang w:eastAsia="ru-RU"/>
                </w:rPr>
                <w:t>Konstantin.Marmylo@russianpost.ru</w:t>
              </w:r>
            </w:hyperlink>
            <w:r w:rsidR="006A7CD6">
              <w:rPr>
                <w:rFonts w:ascii="Times New Roman" w:eastAsia="Times New Roman" w:hAnsi="Times New Roman" w:cs="Times New Roman"/>
                <w:sz w:val="24"/>
                <w:szCs w:val="24"/>
                <w:lang w:eastAsia="ru-RU"/>
              </w:rPr>
              <w:t xml:space="preserve"> </w:t>
            </w:r>
          </w:p>
          <w:p w14:paraId="5712E9B2"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Должность: Руководитель группы</w:t>
            </w:r>
          </w:p>
          <w:p w14:paraId="0B9C3EFD" w14:textId="77777777" w:rsidR="00F07D9B" w:rsidRPr="002B570F" w:rsidRDefault="00F07D9B" w:rsidP="00D767F4">
            <w:pPr>
              <w:tabs>
                <w:tab w:val="right" w:pos="9354"/>
              </w:tabs>
              <w:spacing w:after="0" w:line="240" w:lineRule="auto"/>
              <w:jc w:val="center"/>
              <w:rPr>
                <w:rFonts w:ascii="Times New Roman" w:eastAsia="Times New Roman" w:hAnsi="Times New Roman" w:cs="Times New Roman"/>
                <w:iCs/>
                <w:sz w:val="24"/>
                <w:szCs w:val="24"/>
                <w:lang w:eastAsia="ru-RU"/>
              </w:rPr>
            </w:pPr>
            <w:r w:rsidRPr="00D767F4">
              <w:rPr>
                <w:rFonts w:ascii="Times New Roman" w:eastAsia="Times New Roman" w:hAnsi="Times New Roman" w:cs="Times New Roman"/>
                <w:sz w:val="24"/>
                <w:szCs w:val="24"/>
                <w:lang w:eastAsia="ru-RU"/>
              </w:rPr>
              <w:t>ФИО: Мармыло Константин Юрьевич</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276CEB1B" w14:textId="39E52CAD" w:rsidR="006A7CD6" w:rsidRPr="002B570F" w:rsidRDefault="00BF6516"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9" w:history="1">
              <w:r w:rsidR="003F7222" w:rsidRPr="007A7232">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3 рабочих дня</w:t>
            </w:r>
            <w:r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08A42D0A" w:rsidR="00F07D9B" w:rsidRPr="00150309" w:rsidRDefault="00D52AE3" w:rsidP="002B570F">
            <w:pPr>
              <w:tabs>
                <w:tab w:val="right" w:pos="9354"/>
              </w:tabs>
              <w:spacing w:after="0" w:line="240" w:lineRule="auto"/>
              <w:jc w:val="center"/>
              <w:rPr>
                <w:rFonts w:ascii="Times New Roman" w:eastAsia="Times New Roman" w:hAnsi="Times New Roman" w:cs="Times New Roman"/>
                <w:b/>
                <w:bCs/>
                <w:iCs/>
                <w:sz w:val="24"/>
                <w:szCs w:val="24"/>
                <w:lang w:eastAsia="ru-RU"/>
              </w:rPr>
            </w:pPr>
            <w:r w:rsidRPr="00D52AE3">
              <w:rPr>
                <w:rFonts w:ascii="Times New Roman" w:eastAsia="Times New Roman" w:hAnsi="Times New Roman" w:cs="Times New Roman"/>
                <w:b/>
                <w:bCs/>
                <w:iCs/>
                <w:sz w:val="24"/>
                <w:szCs w:val="24"/>
                <w:lang w:eastAsia="ru-RU"/>
              </w:rPr>
              <w:t>Поставка расходных материалов к печатной технике для нужд УФПС Новосибирской области</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proofErr w:type="gramEnd"/>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79251696"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EE06C7C"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22AE8B6B"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Порядок и условия предоставления национального режима при осуществлении закупки установлены п. 11 Части I настоящей документации.</w:t>
            </w:r>
          </w:p>
          <w:p w14:paraId="1D274E75"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0B7FC8C3" w14:textId="07F99608" w:rsidR="00F07D9B" w:rsidRPr="007174C2"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379DE7B1" w:rsidR="00F07D9B" w:rsidRPr="00D52AE3" w:rsidRDefault="00F07D9B" w:rsidP="00403F4E">
            <w:pPr>
              <w:tabs>
                <w:tab w:val="right" w:pos="9354"/>
              </w:tabs>
              <w:spacing w:after="0" w:line="240" w:lineRule="auto"/>
              <w:jc w:val="center"/>
              <w:rPr>
                <w:rFonts w:ascii="Times New Roman" w:eastAsia="Times New Roman" w:hAnsi="Times New Roman" w:cs="Times New Roman"/>
                <w:b/>
                <w:bCs/>
                <w:sz w:val="24"/>
                <w:szCs w:val="24"/>
                <w:lang w:eastAsia="ru-RU"/>
              </w:rPr>
            </w:pPr>
            <w:r w:rsidRPr="00D52AE3">
              <w:rPr>
                <w:rFonts w:ascii="Times New Roman" w:eastAsia="Times New Roman" w:hAnsi="Times New Roman" w:cs="Times New Roman"/>
                <w:b/>
                <w:bCs/>
                <w:sz w:val="24"/>
                <w:szCs w:val="24"/>
                <w:lang w:eastAsia="ru-RU"/>
              </w:rPr>
              <w:t xml:space="preserve"> НМЦ </w:t>
            </w:r>
            <w:r w:rsidR="00D52AE3" w:rsidRPr="00D52AE3">
              <w:rPr>
                <w:rFonts w:ascii="Times New Roman" w:eastAsia="Times New Roman" w:hAnsi="Times New Roman" w:cs="Times New Roman"/>
                <w:b/>
                <w:bCs/>
                <w:sz w:val="24"/>
                <w:szCs w:val="24"/>
                <w:lang w:eastAsia="ru-RU"/>
              </w:rPr>
              <w:t>1 679 732,00</w:t>
            </w:r>
            <w:r w:rsidR="00D52AE3" w:rsidRPr="00D52AE3">
              <w:rPr>
                <w:rFonts w:ascii="Times New Roman" w:eastAsia="Times New Roman" w:hAnsi="Times New Roman" w:cs="Times New Roman"/>
                <w:b/>
                <w:bCs/>
                <w:sz w:val="24"/>
                <w:szCs w:val="24"/>
                <w:lang w:eastAsia="ru-RU"/>
              </w:rPr>
              <w:t xml:space="preserve"> </w:t>
            </w:r>
            <w:r w:rsidRPr="00D52AE3">
              <w:rPr>
                <w:rFonts w:ascii="Times New Roman" w:eastAsia="Times New Roman" w:hAnsi="Times New Roman" w:cs="Times New Roman"/>
                <w:b/>
                <w:bCs/>
                <w:sz w:val="24"/>
                <w:szCs w:val="24"/>
                <w:lang w:eastAsia="ru-RU"/>
              </w:rPr>
              <w:t>руб.</w:t>
            </w:r>
            <w:r w:rsidR="0012490A" w:rsidRPr="00D52AE3">
              <w:rPr>
                <w:rStyle w:val="a5"/>
                <w:rFonts w:ascii="Times New Roman" w:eastAsia="Times New Roman" w:hAnsi="Times New Roman" w:cs="Times New Roman"/>
                <w:b/>
                <w:bCs/>
                <w:sz w:val="24"/>
                <w:szCs w:val="24"/>
                <w:lang w:eastAsia="ru-RU"/>
              </w:rPr>
              <w:footnoteReference w:id="1"/>
            </w:r>
          </w:p>
          <w:p w14:paraId="156C5C31" w14:textId="7777777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2B570F">
              <w:rPr>
                <w:rFonts w:ascii="Times New Roman" w:eastAsia="Times New Roman" w:hAnsi="Times New Roman" w:cs="Times New Roman"/>
                <w:sz w:val="24"/>
                <w:szCs w:val="24"/>
                <w:lang w:eastAsia="ru-RU"/>
              </w:rPr>
              <w:t>с возможностью корректировки)</w:t>
            </w: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16B94A3C" w:rsidR="00F07D9B" w:rsidRPr="00B44BE6" w:rsidRDefault="00D52AE3"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D52AE3">
              <w:rPr>
                <w:rFonts w:ascii="Times New Roman" w:eastAsia="Times New Roman" w:hAnsi="Times New Roman" w:cs="Times New Roman"/>
                <w:iCs/>
                <w:sz w:val="24"/>
                <w:szCs w:val="24"/>
                <w:lang w:eastAsia="ru-RU"/>
              </w:rPr>
              <w:t>28.23.25.000</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w:t>
      </w:r>
      <w:proofErr w:type="spellStart"/>
      <w:r w:rsidRPr="00834283">
        <w:rPr>
          <w:rFonts w:ascii="Times New Roman" w:eastAsia="Calibri" w:hAnsi="Times New Roman" w:cs="Times New Roman"/>
          <w:bCs/>
          <w:iCs/>
          <w:sz w:val="28"/>
          <w:szCs w:val="28"/>
        </w:rPr>
        <w:t>незаключения</w:t>
      </w:r>
      <w:proofErr w:type="spellEnd"/>
      <w:r w:rsidRPr="00834283">
        <w:rPr>
          <w:rFonts w:ascii="Times New Roman" w:eastAsia="Calibri" w:hAnsi="Times New Roman" w:cs="Times New Roman"/>
          <w:bCs/>
          <w:iCs/>
          <w:sz w:val="28"/>
          <w:szCs w:val="28"/>
        </w:rPr>
        <w:t xml:space="preserve">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 xml:space="preserve">ППРФ № 1875 (в том числе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xml:space="preserve">. «т» - «ц», «ш» п. 4,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2FF2" w14:textId="77777777" w:rsidR="00BF6516" w:rsidRDefault="00BF6516" w:rsidP="002B570F">
      <w:pPr>
        <w:spacing w:after="0" w:line="240" w:lineRule="auto"/>
      </w:pPr>
      <w:r>
        <w:separator/>
      </w:r>
    </w:p>
  </w:endnote>
  <w:endnote w:type="continuationSeparator" w:id="0">
    <w:p w14:paraId="241510B5" w14:textId="77777777" w:rsidR="00BF6516" w:rsidRDefault="00BF6516"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FF14" w14:textId="77777777" w:rsidR="00BF6516" w:rsidRDefault="00BF6516" w:rsidP="002B570F">
      <w:pPr>
        <w:spacing w:after="0" w:line="240" w:lineRule="auto"/>
      </w:pPr>
      <w:r>
        <w:separator/>
      </w:r>
    </w:p>
  </w:footnote>
  <w:footnote w:type="continuationSeparator" w:id="0">
    <w:p w14:paraId="33261F65" w14:textId="77777777" w:rsidR="00BF6516" w:rsidRDefault="00BF6516" w:rsidP="002B570F">
      <w:pPr>
        <w:spacing w:after="0" w:line="240" w:lineRule="auto"/>
      </w:pPr>
      <w:r>
        <w:continuationSeparator/>
      </w:r>
    </w:p>
  </w:footnote>
  <w:footnote w:id="1">
    <w:p w14:paraId="762F84B2" w14:textId="77777777" w:rsidR="0012490A" w:rsidRDefault="0012490A">
      <w:pPr>
        <w:pStyle w:val="a3"/>
      </w:pPr>
      <w:r>
        <w:rPr>
          <w:rStyle w:val="a5"/>
        </w:rPr>
        <w:footnoteRef/>
      </w:r>
      <w:r>
        <w:t xml:space="preserve"> </w:t>
      </w:r>
      <w:r w:rsidRPr="0012490A">
        <w:t>в т.ч. НДС</w:t>
      </w:r>
      <w:r>
        <w:t xml:space="preserve"> 20%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E3803"/>
    <w:rsid w:val="0012490A"/>
    <w:rsid w:val="00133F6D"/>
    <w:rsid w:val="001477FD"/>
    <w:rsid w:val="00150309"/>
    <w:rsid w:val="0017036D"/>
    <w:rsid w:val="00193F05"/>
    <w:rsid w:val="001A3593"/>
    <w:rsid w:val="001B5BA9"/>
    <w:rsid w:val="001E0288"/>
    <w:rsid w:val="001E0B09"/>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94FCC"/>
    <w:rsid w:val="005A0B48"/>
    <w:rsid w:val="006A7CD6"/>
    <w:rsid w:val="006B0377"/>
    <w:rsid w:val="006B1C9C"/>
    <w:rsid w:val="006E3AC1"/>
    <w:rsid w:val="007174C2"/>
    <w:rsid w:val="00751D7C"/>
    <w:rsid w:val="00756AF1"/>
    <w:rsid w:val="007700A9"/>
    <w:rsid w:val="00782064"/>
    <w:rsid w:val="0078369D"/>
    <w:rsid w:val="007E428D"/>
    <w:rsid w:val="008504A6"/>
    <w:rsid w:val="00893751"/>
    <w:rsid w:val="008B374B"/>
    <w:rsid w:val="008E452F"/>
    <w:rsid w:val="0094282D"/>
    <w:rsid w:val="00962050"/>
    <w:rsid w:val="00993FF8"/>
    <w:rsid w:val="009A6676"/>
    <w:rsid w:val="009B4B24"/>
    <w:rsid w:val="009D444F"/>
    <w:rsid w:val="00A02239"/>
    <w:rsid w:val="00A30676"/>
    <w:rsid w:val="00A328B9"/>
    <w:rsid w:val="00AB0AC5"/>
    <w:rsid w:val="00AC633E"/>
    <w:rsid w:val="00AE43EA"/>
    <w:rsid w:val="00AF75F8"/>
    <w:rsid w:val="00B16134"/>
    <w:rsid w:val="00B44BE6"/>
    <w:rsid w:val="00B50D47"/>
    <w:rsid w:val="00B707A1"/>
    <w:rsid w:val="00B95B09"/>
    <w:rsid w:val="00BD551A"/>
    <w:rsid w:val="00BF6516"/>
    <w:rsid w:val="00C004DB"/>
    <w:rsid w:val="00CE25B4"/>
    <w:rsid w:val="00CF5E78"/>
    <w:rsid w:val="00D4535E"/>
    <w:rsid w:val="00D52AE3"/>
    <w:rsid w:val="00D71EC9"/>
    <w:rsid w:val="00D767F4"/>
    <w:rsid w:val="00D93D9B"/>
    <w:rsid w:val="00DB4504"/>
    <w:rsid w:val="00DC587E"/>
    <w:rsid w:val="00DD52AF"/>
    <w:rsid w:val="00DF0929"/>
    <w:rsid w:val="00DF3582"/>
    <w:rsid w:val="00E04657"/>
    <w:rsid w:val="00E25814"/>
    <w:rsid w:val="00E67C5D"/>
    <w:rsid w:val="00E73DA0"/>
    <w:rsid w:val="00E87E87"/>
    <w:rsid w:val="00EF333F"/>
    <w:rsid w:val="00F07D9B"/>
    <w:rsid w:val="00F17F75"/>
    <w:rsid w:val="00F3109A"/>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Marmyl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1817</Words>
  <Characters>10360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Мармыло Константин Юрьевич</cp:lastModifiedBy>
  <cp:revision>5</cp:revision>
  <dcterms:created xsi:type="dcterms:W3CDTF">2026-03-04T03:08:00Z</dcterms:created>
  <dcterms:modified xsi:type="dcterms:W3CDTF">2026-05-19T08:57:00Z</dcterms:modified>
</cp:coreProperties>
</file>