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11"/>
        <w:gridCol w:w="6878"/>
        <w:gridCol w:w="1365"/>
        <w:gridCol w:w="1511"/>
      </w:tblGrid>
      <w:tr>
        <w:trPr>
          <w:trHeight w:val="735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(не менее)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Швеллер стальной г/к с параллельными гранями полок 12П (120х52х4,8х7,8х4000 мм) ГОСТ 8240-97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м/</w:t>
            </w: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112/</w:t>
            </w:r>
            <w:r>
              <w:rPr>
                <w:kern w:val="0"/>
                <w:sz w:val="24"/>
                <w:szCs w:val="24"/>
                <w:lang w:val="ru-RU" w:bidi="ar-SA"/>
              </w:rPr>
              <w:t>28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Труба профильная 09Г2С  (100х40х3х4000мм)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ГОСТ Р 54157-2010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м/</w:t>
            </w: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340/</w:t>
            </w:r>
            <w:r>
              <w:rPr>
                <w:sz w:val="24"/>
                <w:szCs w:val="24"/>
              </w:rPr>
              <w:t>85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Уголок равнополочный Ст3  (50х50х5х4000мм)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м/</w:t>
            </w: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316/</w:t>
            </w:r>
            <w:r>
              <w:rPr>
                <w:sz w:val="24"/>
                <w:szCs w:val="24"/>
              </w:rPr>
              <w:t>79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Уголок равнополочный Ст3сп  (80х50х5х6000 мм)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м/</w:t>
            </w: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Двутавровая балка 30Б2 марка стали 09г2с  (150х300х6.5х6000мм)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м/</w:t>
            </w: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66/</w:t>
            </w:r>
            <w:r>
              <w:rPr>
                <w:kern w:val="0"/>
                <w:sz w:val="24"/>
                <w:szCs w:val="24"/>
                <w:lang w:val="ru-RU" w:bidi="ar-SA"/>
              </w:rPr>
              <w:t>11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Уголок равнополочный Ст3  (80х80х6)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м/</w:t>
            </w: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Пруток стальной горячекатанный Ст45 d 70мм  (70х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000мм)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м/</w:t>
            </w: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4"/>
                <w:lang w:val="ru-RU" w:eastAsia="ru-RU" w:bidi="ar-SA"/>
              </w:rPr>
              <w:t>Сталь листовая нержавеющая 5 мм 08Х18Н10, (1250х2500 мм)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Круг нержавеющий 40 мм, 08Х18Н10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Труба 8х1 нержавеющая 08Х18Н10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4"/>
                <w:lang w:val="ru-RU" w:eastAsia="ru-RU" w:bidi="ar-SA"/>
              </w:rPr>
              <w:t>Сталь листовая 1 мм нержавеющая  08Х18Н10 (1500х3000 мм) шлифованная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4"/>
                <w:lang w:val="ru-RU" w:eastAsia="ru-RU" w:bidi="ar-SA"/>
              </w:rPr>
              <w:t>Сталь листовая 1,2 мм нержавеющая  08Х18Н10 (1500х3000 мм) шлифованная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4"/>
                <w:lang w:val="ru-RU" w:eastAsia="ru-RU" w:bidi="ar-SA"/>
              </w:rPr>
              <w:t>Сталь листовая 3 мм нержавеющая  08Х18Н10 (1500х3000 мм) шлифованная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Пруток нержавеющий 16 мм 20Х13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 xml:space="preserve">Пруток нержавеющий </w:t>
            </w:r>
            <w:r>
              <w:rPr>
                <w:rFonts w:eastAsia="" w:eastAsiaTheme="minorEastAsia"/>
                <w:sz w:val="24"/>
                <w:szCs w:val="24"/>
              </w:rPr>
              <w:t>20</w:t>
            </w:r>
            <w:r>
              <w:rPr>
                <w:rFonts w:eastAsia="" w:eastAsiaTheme="minorEastAsia"/>
                <w:sz w:val="24"/>
                <w:szCs w:val="24"/>
              </w:rPr>
              <w:t xml:space="preserve"> мм 20Х13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46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 xml:space="preserve">Шестигранник стальной конструкционный  г/к  25 мм 40Х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060"/>
        <w:gridCol w:w="7405"/>
      </w:tblGrid>
      <w:tr>
        <w:trPr>
          <w:trHeight w:val="21" w:hRule="atLeast"/>
          <w:cantSplit w:val="true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676731, Амурская область, пгт Талакан, Склад ТМЦ Филиа</w:t>
            </w:r>
            <w:bookmarkStart w:id="0" w:name="_GoBack"/>
            <w:bookmarkEnd w:id="0"/>
            <w:r>
              <w:rPr>
                <w:sz w:val="24"/>
                <w:szCs w:val="24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paragraph" w:styleId="Style1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41366045091">
    <w:name w:val="413660450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AlterOffice/3.4.0.9$Linux_X86_64 LibreOffice_project/b8daf9e823b1a5463a2f48435ddc2e8696e7d4fc</Application>
  <AppVersion>15.0000</AppVersion>
  <Pages>1</Pages>
  <Words>233</Words>
  <Characters>1369</Characters>
  <CharactersWithSpaces>1549</CharactersWithSpaces>
  <Paragraphs>78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Иляна Алексеевна Кузьменко</cp:lastModifiedBy>
  <cp:lastPrinted>2024-10-04T02:27:00Z</cp:lastPrinted>
  <dcterms:modified xsi:type="dcterms:W3CDTF">2026-05-20T13:31:55Z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