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rPr>
      </w:pPr>
      <w:r>
        <w:rPr>
          <w:lang w:val="en-US"/>
        </w:rPr>
      </w:r>
    </w:p>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_________</w:t>
        <w:tab/>
        <w:t xml:space="preserve">   «___» 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__________________________,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lang w:eastAsia="en-US"/>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закупочной процедуры по лоту № ___________</w:t>
      </w:r>
    </w:p>
    <w:p>
      <w:pPr>
        <w:pStyle w:val="Normal"/>
        <w:ind w:firstLine="709"/>
        <w:jc w:val="both"/>
        <w:rPr>
          <w:sz w:val="24"/>
          <w:szCs w:val="24"/>
        </w:rPr>
      </w:pPr>
      <w:r>
        <w:rPr>
          <w:sz w:val="24"/>
          <w:szCs w:val="24"/>
          <w:lang w:eastAsia="en-US"/>
        </w:rPr>
        <w:t xml:space="preserve"> </w:t>
      </w:r>
      <w:r>
        <w:rPr>
          <w:sz w:val="24"/>
          <w:szCs w:val="24"/>
          <w:lang w:eastAsia="en-US"/>
        </w:rPr>
        <w:t>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ind w:left="0" w:firstLine="709"/>
        <w:jc w:val="both"/>
        <w:textAlignment w:val="baseline"/>
        <w:rPr>
          <w:b/>
          <w:sz w:val="24"/>
          <w:szCs w:val="24"/>
          <w:lang w:eastAsia="en-US"/>
        </w:rPr>
      </w:pPr>
      <w:r>
        <w:rPr>
          <w:b/>
          <w:sz w:val="24"/>
          <w:szCs w:val="24"/>
          <w:lang w:eastAsia="en-US"/>
        </w:rPr>
        <w:t xml:space="preserve">«Универсальный передаточный документ (УПД)» – </w:t>
      </w:r>
      <w:r>
        <w:rPr>
          <w:sz w:val="24"/>
          <w:szCs w:val="24"/>
          <w:lang w:eastAsia="en-US"/>
        </w:rPr>
        <w:t xml:space="preserve">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bCs/>
          <w:sz w:val="24"/>
          <w:szCs w:val="24"/>
          <w:lang w:eastAsia="en-US"/>
        </w:rPr>
        <w:t>«Применимое право»</w:t>
      </w:r>
      <w:r>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139"/>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shd w:val="clear" w:color="auto" w:fill="FFFFFF"/>
        <w:tabs>
          <w:tab w:val="clear" w:pos="708"/>
          <w:tab w:val="left" w:pos="1134" w:leader="none"/>
        </w:tabs>
        <w:ind w:firstLine="680"/>
        <w:jc w:val="both"/>
        <w:rPr>
          <w:bCs/>
          <w:sz w:val="24"/>
          <w:szCs w:val="24"/>
        </w:rPr>
      </w:pPr>
      <w:r>
        <w:rPr>
          <w:bCs/>
          <w:sz w:val="24"/>
          <w:szCs w:val="24"/>
        </w:rPr>
        <w:t>1.1. 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sz w:val="25"/>
          <w:szCs w:val="25"/>
        </w:rPr>
        <w:t>МТР на эксплуатационные нужды службы мониторинга оборудования и гидротехнических сооружений филиала ПАО "РусГидро"-"Каскад Кубанских ГЭС"</w:t>
      </w:r>
      <w:r>
        <w:rPr>
          <w:b/>
          <w:bCs/>
          <w:sz w:val="24"/>
          <w:szCs w:val="24"/>
        </w:rPr>
        <w:t>»</w:t>
      </w:r>
      <w:r>
        <w:rPr>
          <w:b/>
          <w:sz w:val="25"/>
          <w:szCs w:val="25"/>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shd w:val="clear" w:color="auto" w:fill="FFFFFF"/>
        <w:tabs>
          <w:tab w:val="clear" w:pos="708"/>
          <w:tab w:val="left" w:pos="0" w:leader="none"/>
          <w:tab w:val="left" w:pos="1134" w:leader="none"/>
        </w:tabs>
        <w:ind w:firstLine="709"/>
        <w:jc w:val="both"/>
        <w:rPr>
          <w:bCs/>
          <w:sz w:val="24"/>
          <w:szCs w:val="24"/>
        </w:rPr>
      </w:pPr>
      <w:r>
        <w:rPr>
          <w:bCs/>
          <w:sz w:val="24"/>
          <w:szCs w:val="24"/>
        </w:rPr>
        <w:t>1.2. Поставка Товара по Договору осуществляется для нужд филиала ПАО «РусГидро»-«Каскад Кубанских ГЭС».</w:t>
      </w:r>
    </w:p>
    <w:p>
      <w:pPr>
        <w:pStyle w:val="Normal"/>
        <w:shd w:val="clear" w:color="auto" w:fill="FFFFFF"/>
        <w:tabs>
          <w:tab w:val="clear" w:pos="708"/>
          <w:tab w:val="left" w:pos="0" w:leader="none"/>
          <w:tab w:val="left" w:pos="1134" w:leader="none"/>
        </w:tabs>
        <w:ind w:firstLine="709"/>
        <w:jc w:val="both"/>
        <w:rPr>
          <w:bCs/>
          <w:sz w:val="24"/>
          <w:szCs w:val="24"/>
        </w:rPr>
      </w:pPr>
      <w:r>
        <w:rPr>
          <w:bCs/>
          <w:sz w:val="24"/>
          <w:szCs w:val="24"/>
        </w:rPr>
        <w:t xml:space="preserve">1.3. Место поставки Товара: ____________________  </w:t>
      </w:r>
      <w:r>
        <w:rPr>
          <w:sz w:val="24"/>
          <w:szCs w:val="24"/>
        </w:rPr>
        <w:t>(далее – «Место поставки»).</w:t>
      </w:r>
    </w:p>
    <w:p>
      <w:pPr>
        <w:pStyle w:val="Normal"/>
        <w:shd w:val="clear" w:color="auto" w:fill="FFFFFF"/>
        <w:tabs>
          <w:tab w:val="clear" w:pos="708"/>
          <w:tab w:val="left" w:pos="0" w:leader="none"/>
          <w:tab w:val="left" w:pos="540" w:leader="none"/>
          <w:tab w:val="left" w:pos="1134" w:leader="none"/>
        </w:tabs>
        <w:ind w:firstLine="709"/>
        <w:jc w:val="both"/>
        <w:rPr>
          <w:bCs/>
          <w:sz w:val="24"/>
          <w:szCs w:val="24"/>
        </w:rPr>
      </w:pPr>
      <w:r>
        <w:rPr>
          <w:bCs/>
          <w:sz w:val="24"/>
          <w:szCs w:val="24"/>
        </w:rPr>
        <w:t>1.4. Общий срок поставки Товара:</w:t>
      </w:r>
    </w:p>
    <w:p>
      <w:pPr>
        <w:pStyle w:val="Normal"/>
        <w:shd w:val="clear" w:color="auto" w:fill="FFFFFF"/>
        <w:tabs>
          <w:tab w:val="clear" w:pos="708"/>
          <w:tab w:val="left" w:pos="0" w:leader="none"/>
          <w:tab w:val="left" w:pos="1134" w:leader="none"/>
          <w:tab w:val="left" w:pos="1418" w:leader="none"/>
        </w:tabs>
        <w:ind w:firstLine="709"/>
        <w:jc w:val="both"/>
        <w:rPr>
          <w:bCs/>
          <w:sz w:val="24"/>
          <w:szCs w:val="24"/>
        </w:rPr>
      </w:pPr>
      <w:r>
        <w:rPr>
          <w:bCs/>
          <w:sz w:val="24"/>
          <w:szCs w:val="24"/>
        </w:rPr>
        <w:t>1.4.1. Начало – с даты</w:t>
      </w:r>
      <w:r>
        <w:rPr>
          <w:bCs/>
          <w:sz w:val="24"/>
          <w:szCs w:val="24"/>
          <w:lang w:val="en-US"/>
        </w:rPr>
        <w:t>, следующей за датой</w:t>
      </w:r>
      <w:bookmarkStart w:id="0" w:name="_GoBack"/>
      <w:bookmarkEnd w:id="0"/>
      <w:r>
        <w:rPr>
          <w:bCs/>
          <w:sz w:val="24"/>
          <w:szCs w:val="24"/>
        </w:rPr>
        <w:t xml:space="preserve"> заключения Договора.</w:t>
      </w:r>
    </w:p>
    <w:p>
      <w:pPr>
        <w:pStyle w:val="Normal"/>
        <w:shd w:val="clear" w:color="auto" w:fill="FFFFFF"/>
        <w:tabs>
          <w:tab w:val="clear" w:pos="708"/>
          <w:tab w:val="left" w:pos="0" w:leader="none"/>
          <w:tab w:val="left" w:pos="1134" w:leader="none"/>
          <w:tab w:val="left" w:pos="1418" w:leader="none"/>
        </w:tabs>
        <w:ind w:firstLine="709"/>
        <w:jc w:val="both"/>
        <w:rPr>
          <w:bCs/>
          <w:sz w:val="24"/>
          <w:szCs w:val="24"/>
        </w:rPr>
      </w:pPr>
      <w:r>
        <w:rPr>
          <w:bCs/>
          <w:sz w:val="24"/>
          <w:szCs w:val="24"/>
        </w:rPr>
        <w:t>1.4.2. Окончание – 10 ноября 2026 г.</w:t>
      </w:r>
    </w:p>
    <w:p>
      <w:pPr>
        <w:pStyle w:val="ListParagraph"/>
        <w:shd w:val="clear" w:color="auto" w:fill="FFFFFF"/>
        <w:tabs>
          <w:tab w:val="clear" w:pos="708"/>
          <w:tab w:val="left" w:pos="1134" w:leader="none"/>
          <w:tab w:val="left" w:pos="3196" w:leader="none"/>
        </w:tabs>
        <w:ind w:left="0" w:firstLine="680"/>
        <w:jc w:val="both"/>
        <w:rPr>
          <w:bCs/>
          <w:sz w:val="24"/>
          <w:szCs w:val="24"/>
        </w:rPr>
      </w:pPr>
      <w:r>
        <w:rPr>
          <w:bCs/>
          <w:sz w:val="24"/>
          <w:szCs w:val="24"/>
        </w:rPr>
        <w:t>1.5.  Поставка осуществляется единовременно.</w:t>
      </w:r>
    </w:p>
    <w:p>
      <w:pPr>
        <w:pStyle w:val="Normal"/>
        <w:shd w:val="clear" w:color="auto" w:fill="FFFFFF"/>
        <w:tabs>
          <w:tab w:val="clear" w:pos="708"/>
          <w:tab w:val="left" w:pos="1134" w:leader="none"/>
          <w:tab w:val="left" w:pos="1851" w:leader="none"/>
        </w:tabs>
        <w:ind w:left="709" w:hanging="0"/>
        <w:jc w:val="both"/>
        <w:rPr>
          <w:bCs/>
          <w:sz w:val="24"/>
          <w:szCs w:val="24"/>
        </w:rPr>
      </w:pPr>
      <w:r>
        <w:rPr>
          <w:bCs/>
          <w:sz w:val="24"/>
          <w:szCs w:val="24"/>
        </w:rPr>
      </w:r>
    </w:p>
    <w:p>
      <w:pPr>
        <w:pStyle w:val="Normal"/>
        <w:numPr>
          <w:ilvl w:val="0"/>
          <w:numId w:val="140"/>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141"/>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14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143"/>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44"/>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14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14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14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4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149"/>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150"/>
        </w:numPr>
        <w:shd w:val="clear" w:color="auto" w:fill="FFFFFF"/>
        <w:tabs>
          <w:tab w:val="clear" w:pos="708"/>
          <w:tab w:val="left" w:pos="0" w:leader="none"/>
          <w:tab w:val="left" w:pos="1418" w:leader="none"/>
        </w:tabs>
        <w:ind w:left="0" w:firstLine="709"/>
        <w:jc w:val="both"/>
        <w:rPr>
          <w:sz w:val="24"/>
          <w:szCs w:val="24"/>
        </w:rPr>
      </w:pPr>
      <w:r>
        <w:rPr>
          <w:sz w:val="24"/>
          <w:szCs w:val="24"/>
        </w:rPr>
        <w:t>Авансовый платеж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151"/>
        </w:numPr>
        <w:shd w:val="clear" w:color="auto" w:fill="FFFFFF"/>
        <w:tabs>
          <w:tab w:val="clear" w:pos="708"/>
          <w:tab w:val="left" w:pos="0" w:leader="none"/>
          <w:tab w:val="left" w:pos="1418" w:leader="none"/>
        </w:tabs>
        <w:ind w:left="0" w:firstLine="709"/>
        <w:jc w:val="both"/>
        <w:rPr>
          <w:sz w:val="24"/>
          <w:szCs w:val="24"/>
        </w:rPr>
      </w:pPr>
      <w:r>
        <w:rPr>
          <w:sz w:val="24"/>
          <w:szCs w:val="24"/>
        </w:rPr>
        <w:t>Окончательный платеж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15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дополнительного счета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153"/>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5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155"/>
        </w:numPr>
        <w:tabs>
          <w:tab w:val="clear" w:pos="708"/>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6"/>
        </w:numPr>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157"/>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158"/>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159"/>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shd w:val="clear" w:color="auto" w:fill="FFFFFF"/>
        <w:tabs>
          <w:tab w:val="clear" w:pos="708"/>
          <w:tab w:val="left" w:pos="1134" w:leader="none"/>
        </w:tabs>
        <w:ind w:left="0" w:firstLine="709"/>
        <w:jc w:val="both"/>
        <w:rPr>
          <w:bCs/>
          <w:sz w:val="24"/>
          <w:szCs w:val="24"/>
        </w:rPr>
      </w:pPr>
      <w:r>
        <w:rPr>
          <w:sz w:val="24"/>
          <w:szCs w:val="24"/>
        </w:rPr>
        <w:t xml:space="preserve">По окончании поставки Товара Исполнитель предоставляет Заказчику на бумажном носителе или в электронной форме с использованием программно-аппаратных средств информационной системы электронного документооборота общего пользования накладную ТОРГ-12, либо УПД. </w:t>
      </w:r>
    </w:p>
    <w:p>
      <w:pPr>
        <w:pStyle w:val="Normal"/>
        <w:shd w:val="clear" w:color="auto" w:fill="FFFFFF"/>
        <w:tabs>
          <w:tab w:val="clear" w:pos="708"/>
          <w:tab w:val="left" w:pos="1134" w:leader="none"/>
          <w:tab w:val="left" w:pos="1410" w:leader="none"/>
        </w:tabs>
        <w:spacing w:before="0" w:after="0"/>
        <w:ind w:firstLine="737"/>
        <w:contextualSpacing/>
        <w:jc w:val="both"/>
        <w:rPr/>
      </w:pPr>
      <w:r>
        <w:rPr>
          <w:bCs/>
          <w:sz w:val="24"/>
          <w:szCs w:val="24"/>
        </w:rPr>
        <w:t>ТОРГ-12/УПД, подписанный с использованием усиленных квалифицированных электронных подписей (далее – УКЭП) уполномоченных представителей Сторон,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160"/>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8"/>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161"/>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16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2"/>
        </w:numPr>
        <w:tabs>
          <w:tab w:val="clear" w:pos="708"/>
          <w:tab w:val="left" w:pos="1418" w:leader="none"/>
        </w:tabs>
        <w:ind w:left="0" w:firstLine="709"/>
        <w:jc w:val="both"/>
        <w:rPr>
          <w:sz w:val="24"/>
          <w:szCs w:val="24"/>
        </w:rPr>
      </w:pPr>
      <w:r>
        <w:rPr>
          <w:sz w:val="24"/>
          <w:szCs w:val="24"/>
        </w:rPr>
        <w:t>сертификат качества в __(____) экз.;</w:t>
      </w:r>
    </w:p>
    <w:p>
      <w:pPr>
        <w:pStyle w:val="Normal"/>
        <w:numPr>
          <w:ilvl w:val="0"/>
          <w:numId w:val="2"/>
        </w:numPr>
        <w:tabs>
          <w:tab w:val="clear" w:pos="708"/>
          <w:tab w:val="left" w:pos="1418" w:leader="none"/>
        </w:tabs>
        <w:ind w:left="0" w:firstLine="709"/>
        <w:jc w:val="both"/>
        <w:rPr>
          <w:sz w:val="24"/>
          <w:szCs w:val="24"/>
        </w:rPr>
      </w:pPr>
      <w:r>
        <w:rPr>
          <w:sz w:val="24"/>
          <w:szCs w:val="24"/>
        </w:rPr>
        <w:t>технический паспорт на русском языке в __(____) экз.;</w:t>
      </w:r>
    </w:p>
    <w:p>
      <w:pPr>
        <w:pStyle w:val="Normal"/>
        <w:numPr>
          <w:ilvl w:val="0"/>
          <w:numId w:val="2"/>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__(____) экз.;</w:t>
      </w:r>
    </w:p>
    <w:p>
      <w:pPr>
        <w:pStyle w:val="Normal"/>
        <w:numPr>
          <w:ilvl w:val="0"/>
          <w:numId w:val="2"/>
        </w:numPr>
        <w:tabs>
          <w:tab w:val="clear" w:pos="708"/>
          <w:tab w:val="left" w:pos="1418" w:leader="none"/>
        </w:tabs>
        <w:ind w:left="0" w:firstLine="709"/>
        <w:jc w:val="both"/>
        <w:rPr>
          <w:sz w:val="24"/>
          <w:szCs w:val="24"/>
        </w:rPr>
      </w:pPr>
      <w:r>
        <w:rPr>
          <w:sz w:val="24"/>
          <w:szCs w:val="24"/>
        </w:rPr>
        <w:t>упаковочный лист в __(____)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__(____) экз.</w:t>
      </w:r>
    </w:p>
    <w:p>
      <w:pPr>
        <w:pStyle w:val="ListParagraph"/>
        <w:widowControl/>
        <w:numPr>
          <w:ilvl w:val="1"/>
          <w:numId w:val="163"/>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164"/>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165"/>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166"/>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167"/>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68"/>
        </w:numPr>
        <w:shd w:val="clear" w:color="auto" w:fill="FFFFFF"/>
        <w:tabs>
          <w:tab w:val="clear" w:pos="708"/>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169"/>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170"/>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171"/>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Normal"/>
        <w:numPr>
          <w:ilvl w:val="1"/>
          <w:numId w:val="17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w:t>
      </w:r>
    </w:p>
    <w:p>
      <w:pPr>
        <w:pStyle w:val="Normal"/>
        <w:numPr>
          <w:ilvl w:val="1"/>
          <w:numId w:val="173"/>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74"/>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175"/>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ind w:firstLine="709"/>
        <w:jc w:val="both"/>
        <w:rPr>
          <w:sz w:val="24"/>
          <w:szCs w:val="24"/>
        </w:rPr>
      </w:pPr>
      <w:r>
        <w:rPr>
          <w:sz w:val="24"/>
          <w:szCs w:val="24"/>
        </w:rPr>
      </w:r>
    </w:p>
    <w:p>
      <w:pPr>
        <w:pStyle w:val="ListParagraph"/>
        <w:numPr>
          <w:ilvl w:val="0"/>
          <w:numId w:val="176"/>
        </w:numPr>
        <w:shd w:val="clear" w:color="auto" w:fill="FFFFFF"/>
        <w:tabs>
          <w:tab w:val="clear" w:pos="708"/>
          <w:tab w:val="left" w:pos="993" w:leader="none"/>
        </w:tabs>
        <w:ind w:left="0" w:firstLine="709"/>
        <w:jc w:val="center"/>
        <w:rPr>
          <w:b/>
          <w:sz w:val="24"/>
          <w:szCs w:val="24"/>
        </w:rPr>
      </w:pPr>
      <w:r>
        <w:rPr>
          <w:b/>
          <w:sz w:val="24"/>
          <w:szCs w:val="24"/>
        </w:rPr>
        <w:t>Гарантийный срок</w:t>
      </w:r>
    </w:p>
    <w:p>
      <w:pPr>
        <w:pStyle w:val="ListParagraph"/>
        <w:numPr>
          <w:ilvl w:val="1"/>
          <w:numId w:val="177"/>
        </w:numPr>
        <w:tabs>
          <w:tab w:val="clear" w:pos="708"/>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78"/>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179"/>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180"/>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181"/>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8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183"/>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rPr>
          <w:b/>
          <w:sz w:val="24"/>
          <w:szCs w:val="24"/>
        </w:rPr>
      </w:pPr>
      <w:r>
        <w:rPr>
          <w:b/>
          <w:sz w:val="24"/>
          <w:szCs w:val="24"/>
        </w:rPr>
      </w:r>
    </w:p>
    <w:p>
      <w:pPr>
        <w:pStyle w:val="Normal"/>
        <w:numPr>
          <w:ilvl w:val="0"/>
          <w:numId w:val="184"/>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185"/>
        </w:numPr>
        <w:tabs>
          <w:tab w:val="clear" w:pos="708"/>
          <w:tab w:val="left" w:pos="1276" w:leader="none"/>
          <w:tab w:val="left" w:pos="1851"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86"/>
        </w:numPr>
        <w:shd w:val="clear" w:color="auto" w:fill="FFFFFF"/>
        <w:tabs>
          <w:tab w:val="clear" w:pos="708"/>
          <w:tab w:val="left" w:pos="1276" w:leader="none"/>
          <w:tab w:val="left" w:pos="1851"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187"/>
        </w:numPr>
        <w:tabs>
          <w:tab w:val="clear" w:pos="708"/>
          <w:tab w:val="left" w:pos="1276" w:leader="none"/>
          <w:tab w:val="left" w:pos="1851"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w:t>
      </w:r>
    </w:p>
    <w:p>
      <w:pPr>
        <w:pStyle w:val="Normal"/>
        <w:widowControl/>
        <w:numPr>
          <w:ilvl w:val="1"/>
          <w:numId w:val="188"/>
        </w:numPr>
        <w:tabs>
          <w:tab w:val="clear" w:pos="708"/>
          <w:tab w:val="left" w:pos="1276" w:leader="none"/>
          <w:tab w:val="left" w:pos="1851"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w:t>
      </w:r>
      <w:r>
        <w:rPr>
          <w:rFonts w:eastAsia="Calibri"/>
          <w:bCs/>
          <w:sz w:val="24"/>
          <w:szCs w:val="24"/>
        </w:rPr>
        <w:t xml:space="preserve"> и одна десятая) </w:t>
      </w:r>
      <w:r>
        <w:rPr>
          <w:bCs/>
          <w:sz w:val="24"/>
          <w:szCs w:val="24"/>
        </w:rPr>
        <w:t xml:space="preserve">процента от цены </w:t>
      </w:r>
      <w:r>
        <w:rPr>
          <w:rFonts w:eastAsia="Calibri"/>
          <w:bCs/>
          <w:sz w:val="24"/>
          <w:szCs w:val="24"/>
        </w:rPr>
        <w:t>Договора за каждый день просрочки.</w:t>
      </w:r>
    </w:p>
    <w:p>
      <w:pPr>
        <w:pStyle w:val="Normal"/>
        <w:widowControl/>
        <w:numPr>
          <w:ilvl w:val="1"/>
          <w:numId w:val="189"/>
        </w:numPr>
        <w:tabs>
          <w:tab w:val="clear" w:pos="708"/>
          <w:tab w:val="left" w:pos="1276" w:leader="none"/>
          <w:tab w:val="left" w:pos="1851" w:leader="none"/>
        </w:tabs>
        <w:ind w:left="0" w:firstLine="709"/>
        <w:jc w:val="both"/>
        <w:rPr>
          <w:bCs/>
          <w:sz w:val="24"/>
          <w:szCs w:val="24"/>
        </w:rPr>
      </w:pPr>
      <w:r>
        <w:rPr>
          <w:bCs/>
          <w:sz w:val="24"/>
          <w:szCs w:val="24"/>
        </w:rPr>
        <w:t xml:space="preserve">В случае </w:t>
      </w:r>
      <w:r>
        <w:rPr>
          <w:sz w:val="24"/>
          <w:szCs w:val="24"/>
        </w:rPr>
        <w:t xml:space="preserve">несвоевременного устранения Поставщиком выявленных недостатков Товара, Покупатель вправе потребовать уплаты Поставщиком: </w:t>
      </w:r>
    </w:p>
    <w:p>
      <w:pPr>
        <w:pStyle w:val="ListParagraph"/>
        <w:widowControl/>
        <w:numPr>
          <w:ilvl w:val="2"/>
          <w:numId w:val="190"/>
        </w:numPr>
        <w:tabs>
          <w:tab w:val="clear" w:pos="708"/>
          <w:tab w:val="left" w:pos="1276" w:leader="none"/>
        </w:tabs>
        <w:ind w:left="0" w:firstLine="709"/>
        <w:jc w:val="both"/>
        <w:rPr>
          <w:bCs/>
          <w:sz w:val="24"/>
          <w:szCs w:val="24"/>
        </w:rPr>
      </w:pPr>
      <w:r>
        <w:rPr>
          <w:sz w:val="24"/>
          <w:szCs w:val="24"/>
        </w:rPr>
        <w:t>Неустойки в размере</w:t>
      </w:r>
      <w:r>
        <w:rPr>
          <w:bCs/>
          <w:sz w:val="24"/>
          <w:szCs w:val="24"/>
        </w:rPr>
        <w:t xml:space="preserve">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191"/>
        </w:numPr>
        <w:tabs>
          <w:tab w:val="clear" w:pos="708"/>
          <w:tab w:val="left" w:pos="1276" w:leader="none"/>
        </w:tabs>
        <w:ind w:left="0" w:firstLine="709"/>
        <w:jc w:val="both"/>
        <w:rPr>
          <w:bCs/>
          <w:sz w:val="24"/>
          <w:szCs w:val="24"/>
        </w:rPr>
      </w:pPr>
      <w:r>
        <w:rPr>
          <w:sz w:val="24"/>
          <w:szCs w:val="24"/>
        </w:rPr>
        <w:t>Неустойки в</w:t>
      </w:r>
      <w:r>
        <w:rPr>
          <w:bCs/>
          <w:sz w:val="24"/>
          <w:szCs w:val="24"/>
        </w:rPr>
        <w:t xml:space="preserve">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192"/>
        </w:numPr>
        <w:tabs>
          <w:tab w:val="clear" w:pos="708"/>
          <w:tab w:val="left" w:pos="1276" w:leader="none"/>
          <w:tab w:val="left" w:pos="1701" w:leader="none"/>
          <w:tab w:val="left" w:pos="185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193"/>
        </w:numPr>
        <w:shd w:val="clear" w:color="auto" w:fill="FFFFFF"/>
        <w:tabs>
          <w:tab w:val="clear" w:pos="708"/>
          <w:tab w:val="left" w:pos="1276" w:leader="none"/>
          <w:tab w:val="left" w:pos="1851"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194"/>
        </w:numPr>
        <w:shd w:val="clear" w:color="auto" w:fill="FFFFFF"/>
        <w:tabs>
          <w:tab w:val="clear" w:pos="708"/>
          <w:tab w:val="left" w:pos="1276" w:leader="none"/>
          <w:tab w:val="left" w:pos="1851"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счетов-фактур/УПД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95"/>
        </w:numPr>
        <w:shd w:val="clear" w:color="auto" w:fill="FFFFFF"/>
        <w:tabs>
          <w:tab w:val="clear" w:pos="708"/>
          <w:tab w:val="left" w:pos="1851" w:leader="none"/>
        </w:tabs>
        <w:ind w:left="0" w:firstLine="709"/>
        <w:jc w:val="both"/>
        <w:rPr>
          <w:bCs/>
          <w:sz w:val="24"/>
          <w:szCs w:val="24"/>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96"/>
        </w:numPr>
        <w:shd w:val="clear" w:color="auto" w:fill="FFFFFF"/>
        <w:tabs>
          <w:tab w:val="clear" w:pos="708"/>
          <w:tab w:val="left" w:pos="1851"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97"/>
        </w:numPr>
        <w:shd w:val="clear" w:color="auto" w:fill="FFFFFF"/>
        <w:tabs>
          <w:tab w:val="clear" w:pos="708"/>
          <w:tab w:val="left" w:pos="1851"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98"/>
        </w:numPr>
        <w:shd w:val="clear" w:color="auto" w:fill="FFFFFF"/>
        <w:tabs>
          <w:tab w:val="clear" w:pos="708"/>
          <w:tab w:val="left" w:pos="1851"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99"/>
        </w:numPr>
        <w:shd w:val="clear" w:color="auto" w:fill="FFFFFF"/>
        <w:tabs>
          <w:tab w:val="clear" w:pos="708"/>
          <w:tab w:val="left" w:pos="1851"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shd w:val="clear" w:color="auto" w:fill="FFFFFF"/>
        <w:tabs>
          <w:tab w:val="clear" w:pos="708"/>
          <w:tab w:val="left" w:pos="0" w:leader="none"/>
        </w:tabs>
        <w:ind w:left="480" w:firstLine="3348"/>
        <w:rPr>
          <w:b/>
          <w:bCs/>
          <w:sz w:val="24"/>
          <w:szCs w:val="24"/>
        </w:rPr>
      </w:pPr>
      <w:r>
        <w:rPr>
          <w:b/>
          <w:bCs/>
          <w:sz w:val="24"/>
          <w:szCs w:val="24"/>
        </w:rPr>
        <w:t>6. Конфиденциальность</w:t>
      </w:r>
    </w:p>
    <w:p>
      <w:pPr>
        <w:pStyle w:val="ListParagraph"/>
        <w:widowControl/>
        <w:numPr>
          <w:ilvl w:val="1"/>
          <w:numId w:val="200"/>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 </w:t>
      </w: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0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0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03"/>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04"/>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05"/>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06"/>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07"/>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08"/>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09"/>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10"/>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11"/>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12"/>
        </w:numPr>
        <w:shd w:val="clear" w:color="auto" w:fill="FFFFFF"/>
        <w:tabs>
          <w:tab w:val="clear" w:pos="708"/>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13"/>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14"/>
        </w:numPr>
        <w:shd w:val="clear" w:color="auto" w:fill="FFFFFF"/>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15"/>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16"/>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17"/>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18"/>
        </w:numPr>
        <w:shd w:val="clear" w:color="auto" w:fill="FFFFFF"/>
        <w:tabs>
          <w:tab w:val="clear" w:pos="708"/>
          <w:tab w:val="left" w:pos="0"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 </w:t>
      </w:r>
    </w:p>
    <w:p>
      <w:pPr>
        <w:pStyle w:val="ListParagraph"/>
        <w:widowControl/>
        <w:numPr>
          <w:ilvl w:val="1"/>
          <w:numId w:val="219"/>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2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2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2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23"/>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24"/>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25"/>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26"/>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27"/>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28"/>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29"/>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30"/>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31"/>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32"/>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33"/>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34"/>
        </w:numPr>
        <w:shd w:val="clear" w:color="auto" w:fill="FFFFFF"/>
        <w:tabs>
          <w:tab w:val="clear" w:pos="708"/>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35"/>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36"/>
        </w:numPr>
        <w:shd w:val="clear" w:color="auto" w:fill="FFFFFF"/>
        <w:tabs>
          <w:tab w:val="clear" w:pos="708"/>
          <w:tab w:val="left" w:pos="0" w:leader="none"/>
          <w:tab w:val="left" w:pos="56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37"/>
        </w:numPr>
        <w:shd w:val="clear" w:color="auto" w:fill="FFFFFF"/>
        <w:tabs>
          <w:tab w:val="clear" w:pos="708"/>
          <w:tab w:val="left" w:pos="0" w:leader="none"/>
          <w:tab w:val="left" w:pos="56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38"/>
        </w:numPr>
        <w:shd w:val="clear" w:color="auto" w:fill="FFFFFF"/>
        <w:tabs>
          <w:tab w:val="clear" w:pos="708"/>
          <w:tab w:val="left" w:pos="0" w:leader="none"/>
          <w:tab w:val="left" w:pos="56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firstLine="709"/>
        <w:jc w:val="both"/>
        <w:rPr>
          <w:bCs/>
          <w:sz w:val="24"/>
          <w:szCs w:val="24"/>
        </w:rPr>
      </w:pPr>
      <w:r>
        <w:rPr>
          <w:bCs/>
          <w:sz w:val="24"/>
          <w:szCs w:val="24"/>
        </w:rPr>
      </w:r>
    </w:p>
    <w:p>
      <w:pPr>
        <w:pStyle w:val="ListParagraph"/>
        <w:widowControl/>
        <w:numPr>
          <w:ilvl w:val="0"/>
          <w:numId w:val="239"/>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40"/>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41"/>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6"/>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6"/>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6"/>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6"/>
        </w:numPr>
        <w:shd w:val="clear" w:color="auto" w:fill="FFFFFF"/>
        <w:tabs>
          <w:tab w:val="clear" w:pos="708"/>
          <w:tab w:val="left" w:pos="0" w:leader="none"/>
          <w:tab w:val="left" w:pos="709" w:leader="none"/>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42"/>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43"/>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44"/>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245"/>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46"/>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47"/>
        </w:numPr>
        <w:shd w:val="clear" w:color="auto" w:fill="FFFFFF"/>
        <w:tabs>
          <w:tab w:val="clear" w:pos="708"/>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48"/>
        </w:numPr>
        <w:shd w:val="clear" w:color="auto" w:fill="FFFFFF"/>
        <w:tabs>
          <w:tab w:val="clear" w:pos="708"/>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8"/>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ListParagraph"/>
        <w:widowControl/>
        <w:numPr>
          <w:ilvl w:val="0"/>
          <w:numId w:val="8"/>
        </w:numPr>
        <w:tabs>
          <w:tab w:val="clear" w:pos="708"/>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8"/>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8"/>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49"/>
        </w:numPr>
        <w:shd w:val="clear" w:color="auto" w:fill="FFFFFF"/>
        <w:tabs>
          <w:tab w:val="clear" w:pos="708"/>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50"/>
        </w:numPr>
        <w:shd w:val="clear" w:color="auto" w:fill="FFFFFF"/>
        <w:tabs>
          <w:tab w:val="clear" w:pos="708"/>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51"/>
        </w:numPr>
        <w:shd w:val="clear" w:color="auto" w:fill="FFFFFF"/>
        <w:tabs>
          <w:tab w:val="clear" w:pos="708"/>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0" w:hanging="0"/>
        <w:jc w:val="both"/>
        <w:rPr>
          <w:sz w:val="24"/>
          <w:szCs w:val="24"/>
        </w:rPr>
      </w:pPr>
      <w:r>
        <w:rPr>
          <w:sz w:val="24"/>
          <w:szCs w:val="24"/>
        </w:rPr>
      </w:r>
    </w:p>
    <w:p>
      <w:pPr>
        <w:pStyle w:val="ListParagraph"/>
        <w:widowControl/>
        <w:numPr>
          <w:ilvl w:val="0"/>
          <w:numId w:val="25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53"/>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Normal"/>
        <w:widowControl/>
        <w:numPr>
          <w:ilvl w:val="1"/>
          <w:numId w:val="254"/>
        </w:numPr>
        <w:snapToGrid w:val="false"/>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8"/>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55"/>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56"/>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57"/>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58"/>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59"/>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6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61"/>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6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63"/>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64"/>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65"/>
        </w:numPr>
        <w:tabs>
          <w:tab w:val="clear" w:pos="708"/>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66"/>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67"/>
        </w:numPr>
        <w:shd w:val="clear" w:color="auto" w:fill="FFFFFF"/>
        <w:tabs>
          <w:tab w:val="clear" w:pos="708"/>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68"/>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3"/>
        <w:gridCol w:w="155"/>
        <w:gridCol w:w="4631"/>
        <w:gridCol w:w="331"/>
      </w:tblGrid>
      <w:tr>
        <w:trPr/>
        <w:tc>
          <w:tcPr>
            <w:tcW w:w="4928" w:type="dxa"/>
            <w:gridSpan w:val="2"/>
            <w:tcBorders/>
          </w:tcPr>
          <w:p>
            <w:pPr>
              <w:pStyle w:val="Normal"/>
              <w:widowControl w:val="false"/>
              <w:spacing w:lineRule="auto" w:line="252"/>
              <w:rPr>
                <w:sz w:val="24"/>
                <w:szCs w:val="24"/>
                <w:lang w:eastAsia="en-US"/>
              </w:rPr>
            </w:pPr>
            <w:r>
              <w:rPr>
                <w:sz w:val="24"/>
                <w:szCs w:val="24"/>
                <w:lang w:eastAsia="en-US"/>
              </w:rPr>
              <w:t>ПОКУПАТЕЛЬ:</w:t>
            </w:r>
          </w:p>
        </w:tc>
        <w:tc>
          <w:tcPr>
            <w:tcW w:w="4962" w:type="dxa"/>
            <w:gridSpan w:val="2"/>
            <w:tcBorders/>
          </w:tcPr>
          <w:p>
            <w:pPr>
              <w:pStyle w:val="Normal"/>
              <w:widowControl w:val="false"/>
              <w:spacing w:lineRule="auto" w:line="252"/>
              <w:rPr>
                <w:sz w:val="24"/>
                <w:szCs w:val="24"/>
                <w:lang w:eastAsia="en-US"/>
              </w:rPr>
            </w:pPr>
            <w:r>
              <w:rPr>
                <w:sz w:val="24"/>
                <w:szCs w:val="24"/>
                <w:lang w:eastAsia="en-US"/>
              </w:rPr>
              <w:t>ПОСТАВЩИК:</w:t>
            </w:r>
          </w:p>
        </w:tc>
      </w:tr>
      <w:tr>
        <w:trPr/>
        <w:tc>
          <w:tcPr>
            <w:tcW w:w="4928" w:type="dxa"/>
            <w:gridSpan w:val="2"/>
            <w:tcBorders/>
          </w:tcPr>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b/>
                <w:sz w:val="24"/>
                <w:szCs w:val="24"/>
                <w:lang w:eastAsia="en-US"/>
              </w:rPr>
            </w:pPr>
            <w:r>
              <w:rPr>
                <w:b/>
                <w:sz w:val="24"/>
                <w:szCs w:val="24"/>
                <w:lang w:eastAsia="en-US"/>
              </w:rPr>
              <w:t>Публичное акционерное общество</w:t>
            </w:r>
          </w:p>
          <w:p>
            <w:pPr>
              <w:pStyle w:val="Normal"/>
              <w:widowControl w:val="false"/>
              <w:spacing w:lineRule="auto" w:line="252"/>
              <w:rPr>
                <w:b/>
                <w:sz w:val="24"/>
                <w:szCs w:val="24"/>
                <w:lang w:eastAsia="en-US"/>
              </w:rPr>
            </w:pPr>
            <w:r>
              <w:rPr>
                <w:b/>
                <w:sz w:val="24"/>
                <w:szCs w:val="24"/>
                <w:lang w:eastAsia="en-US"/>
              </w:rPr>
              <w:t>«Федеральная гидрогенерирующая компания - РусГидро» (ПАО «РусГидро»)</w:t>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t xml:space="preserve">Место нахождения: </w:t>
            </w:r>
          </w:p>
          <w:p>
            <w:pPr>
              <w:pStyle w:val="Normal"/>
              <w:widowControl w:val="false"/>
              <w:spacing w:lineRule="auto" w:line="252"/>
              <w:rPr>
                <w:sz w:val="24"/>
                <w:szCs w:val="24"/>
                <w:lang w:eastAsia="en-US"/>
              </w:rPr>
            </w:pPr>
            <w:r>
              <w:rPr>
                <w:sz w:val="24"/>
                <w:szCs w:val="24"/>
                <w:lang w:eastAsia="en-US"/>
              </w:rPr>
              <w:t xml:space="preserve">Красноярский край, г. Красноярск </w:t>
            </w:r>
          </w:p>
          <w:p>
            <w:pPr>
              <w:pStyle w:val="Normal"/>
              <w:widowControl w:val="false"/>
              <w:spacing w:lineRule="auto" w:line="252"/>
              <w:rPr>
                <w:sz w:val="24"/>
                <w:szCs w:val="24"/>
                <w:lang w:eastAsia="en-US"/>
              </w:rPr>
            </w:pPr>
            <w:r>
              <w:rPr>
                <w:sz w:val="24"/>
                <w:szCs w:val="24"/>
                <w:lang w:eastAsia="en-US"/>
              </w:rPr>
              <w:t xml:space="preserve">Адрес: 660049, Красноярский край, </w:t>
            </w:r>
          </w:p>
          <w:p>
            <w:pPr>
              <w:pStyle w:val="Normal"/>
              <w:widowControl w:val="false"/>
              <w:spacing w:lineRule="auto" w:line="252"/>
              <w:rPr>
                <w:sz w:val="24"/>
                <w:szCs w:val="24"/>
                <w:lang w:eastAsia="en-US"/>
              </w:rPr>
            </w:pPr>
            <w:r>
              <w:rPr>
                <w:sz w:val="24"/>
                <w:szCs w:val="24"/>
                <w:lang w:eastAsia="en-US"/>
              </w:rPr>
              <w:t>г. Красноярск, ул. Перенсона, зд.2а пом.1</w:t>
            </w:r>
          </w:p>
          <w:p>
            <w:pPr>
              <w:pStyle w:val="Normal"/>
              <w:widowControl w:val="false"/>
              <w:spacing w:lineRule="auto" w:line="252"/>
              <w:rPr>
                <w:sz w:val="24"/>
                <w:szCs w:val="24"/>
                <w:lang w:eastAsia="en-US"/>
              </w:rPr>
            </w:pPr>
            <w:r>
              <w:rPr>
                <w:sz w:val="24"/>
                <w:szCs w:val="24"/>
                <w:lang w:eastAsia="en-US"/>
              </w:rPr>
              <w:t xml:space="preserve">Почтовый адрес: </w:t>
            </w:r>
          </w:p>
          <w:p>
            <w:pPr>
              <w:pStyle w:val="Normal"/>
              <w:widowControl w:val="false"/>
              <w:spacing w:lineRule="auto" w:line="252"/>
              <w:rPr>
                <w:sz w:val="24"/>
                <w:szCs w:val="24"/>
                <w:lang w:eastAsia="en-US"/>
              </w:rPr>
            </w:pPr>
            <w:r>
              <w:rPr>
                <w:sz w:val="24"/>
                <w:szCs w:val="24"/>
                <w:lang w:eastAsia="en-US"/>
              </w:rPr>
              <w:t>________________________</w:t>
            </w:r>
          </w:p>
          <w:p>
            <w:pPr>
              <w:pStyle w:val="Normal"/>
              <w:widowControl w:val="false"/>
              <w:spacing w:lineRule="auto" w:line="252"/>
              <w:rPr>
                <w:sz w:val="24"/>
                <w:szCs w:val="24"/>
                <w:lang w:eastAsia="en-US"/>
              </w:rPr>
            </w:pPr>
            <w:r>
              <w:rPr>
                <w:sz w:val="24"/>
                <w:szCs w:val="24"/>
                <w:lang w:eastAsia="en-US"/>
              </w:rPr>
              <w:t xml:space="preserve">ОГРН 1042401810494, </w:t>
            </w:r>
          </w:p>
          <w:p>
            <w:pPr>
              <w:pStyle w:val="Normal"/>
              <w:widowControl w:val="false"/>
              <w:spacing w:lineRule="auto" w:line="252"/>
              <w:rPr>
                <w:sz w:val="24"/>
                <w:szCs w:val="24"/>
                <w:lang w:eastAsia="en-US"/>
              </w:rPr>
            </w:pPr>
            <w:r>
              <w:rPr>
                <w:sz w:val="24"/>
                <w:szCs w:val="24"/>
                <w:lang w:eastAsia="en-US"/>
              </w:rPr>
              <w:t>ИНН 2460066195 / КПП 997650001</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(номер расчетного счета)</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(наименование банка, в котором</w:t>
            </w:r>
          </w:p>
          <w:p>
            <w:pPr>
              <w:pStyle w:val="Normal"/>
              <w:widowControl w:val="false"/>
              <w:spacing w:lineRule="auto" w:line="252"/>
              <w:rPr>
                <w:sz w:val="24"/>
                <w:szCs w:val="24"/>
                <w:lang w:eastAsia="en-US"/>
              </w:rPr>
            </w:pPr>
            <w:r>
              <w:rPr>
                <w:sz w:val="24"/>
                <w:szCs w:val="24"/>
                <w:lang w:eastAsia="en-US"/>
              </w:rPr>
              <w:t>открыт расчетный счет)</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(номер корреспондентского счета банка)</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(БИК банка)</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(номер телефона)</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(номер факса)</w:t>
            </w:r>
          </w:p>
          <w:p>
            <w:pPr>
              <w:pStyle w:val="Normal"/>
              <w:widowControl w:val="false"/>
              <w:spacing w:lineRule="auto" w:line="252"/>
              <w:rPr>
                <w:sz w:val="24"/>
                <w:szCs w:val="24"/>
                <w:lang w:eastAsia="en-US"/>
              </w:rPr>
            </w:pPr>
            <w:r>
              <w:rPr>
                <w:sz w:val="24"/>
                <w:szCs w:val="24"/>
                <w:lang w:eastAsia="en-US"/>
              </w:rPr>
            </w:r>
          </w:p>
        </w:tc>
        <w:tc>
          <w:tcPr>
            <w:tcW w:w="4962" w:type="dxa"/>
            <w:gridSpan w:val="2"/>
            <w:tcBorders/>
          </w:tcPr>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(наименование юридического лица)</w:t>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t>Место нахождения:</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t>Почтовый адрес:</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ОГРН ___________________________</w:t>
            </w:r>
          </w:p>
          <w:p>
            <w:pPr>
              <w:pStyle w:val="Normal"/>
              <w:widowControl w:val="false"/>
              <w:spacing w:lineRule="auto" w:line="252"/>
              <w:rPr>
                <w:sz w:val="24"/>
                <w:szCs w:val="24"/>
                <w:lang w:eastAsia="en-US"/>
              </w:rPr>
            </w:pPr>
            <w:r>
              <w:rPr>
                <w:sz w:val="24"/>
                <w:szCs w:val="24"/>
                <w:lang w:eastAsia="en-US"/>
              </w:rPr>
              <w:t>ИНН ____________ / КПП___________</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(номер расчетного счета)</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(наименование банка, в котором</w:t>
            </w:r>
          </w:p>
          <w:p>
            <w:pPr>
              <w:pStyle w:val="Normal"/>
              <w:widowControl w:val="false"/>
              <w:spacing w:lineRule="auto" w:line="252"/>
              <w:rPr>
                <w:sz w:val="24"/>
                <w:szCs w:val="24"/>
                <w:lang w:eastAsia="en-US"/>
              </w:rPr>
            </w:pPr>
            <w:r>
              <w:rPr>
                <w:sz w:val="24"/>
                <w:szCs w:val="24"/>
                <w:lang w:eastAsia="en-US"/>
              </w:rPr>
              <w:t>открыт расчетный счет)</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(номер корреспондентского счета банка)</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(БИК банка)</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(номер телефона)</w:t>
            </w:r>
          </w:p>
          <w:p>
            <w:pPr>
              <w:pStyle w:val="Normal"/>
              <w:widowControl w:val="false"/>
              <w:spacing w:lineRule="auto" w:line="252"/>
              <w:rPr>
                <w:sz w:val="24"/>
                <w:szCs w:val="24"/>
                <w:lang w:eastAsia="en-US"/>
              </w:rPr>
            </w:pPr>
            <w:r>
              <w:rPr>
                <w:sz w:val="24"/>
                <w:szCs w:val="24"/>
                <w:lang w:eastAsia="en-US"/>
              </w:rPr>
              <w:t>_________________________________</w:t>
            </w:r>
          </w:p>
          <w:p>
            <w:pPr>
              <w:pStyle w:val="Normal"/>
              <w:widowControl w:val="false"/>
              <w:spacing w:lineRule="auto" w:line="252"/>
              <w:rPr>
                <w:sz w:val="24"/>
                <w:szCs w:val="24"/>
                <w:lang w:eastAsia="en-US"/>
              </w:rPr>
            </w:pPr>
            <w:r>
              <w:rPr>
                <w:sz w:val="24"/>
                <w:szCs w:val="24"/>
                <w:lang w:eastAsia="en-US"/>
              </w:rPr>
              <w:t>(номер факса)</w:t>
            </w:r>
          </w:p>
          <w:p>
            <w:pPr>
              <w:pStyle w:val="Normal"/>
              <w:widowControl w:val="false"/>
              <w:spacing w:lineRule="auto" w:line="252"/>
              <w:rPr>
                <w:sz w:val="24"/>
                <w:szCs w:val="24"/>
                <w:lang w:eastAsia="en-US"/>
              </w:rPr>
            </w:pPr>
            <w:r>
              <w:rPr>
                <w:sz w:val="24"/>
                <w:szCs w:val="24"/>
                <w:lang w:eastAsia="en-US"/>
              </w:rPr>
            </w:r>
          </w:p>
        </w:tc>
      </w:tr>
      <w:tr>
        <w:trPr/>
        <w:tc>
          <w:tcPr>
            <w:tcW w:w="4773" w:type="dxa"/>
            <w:tcBorders/>
          </w:tcPr>
          <w:p>
            <w:pPr>
              <w:pStyle w:val="Normal"/>
              <w:widowControl w:val="false"/>
              <w:spacing w:lineRule="auto" w:line="252"/>
              <w:rPr>
                <w:sz w:val="24"/>
                <w:szCs w:val="24"/>
                <w:lang w:eastAsia="en-US"/>
              </w:rPr>
            </w:pPr>
            <w:r>
              <w:rPr>
                <w:sz w:val="24"/>
                <w:szCs w:val="24"/>
                <w:lang w:eastAsia="en-US"/>
              </w:rPr>
              <w:t xml:space="preserve">_______________ / _______________ </w:t>
            </w:r>
          </w:p>
          <w:p>
            <w:pPr>
              <w:pStyle w:val="Normal"/>
              <w:widowControl w:val="false"/>
              <w:spacing w:lineRule="auto" w:line="252"/>
              <w:rPr>
                <w:sz w:val="24"/>
                <w:szCs w:val="24"/>
                <w:highlight w:val="lightGray"/>
                <w:lang w:eastAsia="en-US"/>
              </w:rPr>
            </w:pPr>
            <w:r>
              <w:rPr>
                <w:sz w:val="24"/>
                <w:szCs w:val="24"/>
                <w:highlight w:val="lightGray"/>
                <w:lang w:eastAsia="en-US"/>
              </w:rPr>
            </w:r>
          </w:p>
        </w:tc>
        <w:tc>
          <w:tcPr>
            <w:tcW w:w="4786" w:type="dxa"/>
            <w:gridSpan w:val="2"/>
            <w:tcBorders/>
          </w:tcPr>
          <w:p>
            <w:pPr>
              <w:pStyle w:val="Normal"/>
              <w:widowControl w:val="false"/>
              <w:spacing w:lineRule="auto" w:line="252"/>
              <w:rPr>
                <w:sz w:val="24"/>
                <w:szCs w:val="24"/>
                <w:lang w:eastAsia="en-US"/>
              </w:rPr>
            </w:pPr>
            <w:r>
              <w:rPr>
                <w:sz w:val="24"/>
                <w:szCs w:val="24"/>
                <w:lang w:eastAsia="en-US"/>
              </w:rPr>
              <w:t xml:space="preserve">_______________ / _______________ </w:t>
            </w:r>
          </w:p>
        </w:tc>
        <w:tc>
          <w:tcPr>
            <w:tcW w:w="331" w:type="dxa"/>
            <w:tcBorders/>
          </w:tcPr>
          <w:p>
            <w:pPr>
              <w:pStyle w:val="Normal"/>
              <w:widowControl w:val="false"/>
              <w:rPr/>
            </w:pPr>
            <w:r>
              <w:rPr/>
            </w:r>
          </w:p>
        </w:tc>
      </w:tr>
    </w:tbl>
    <w:p>
      <w:pPr>
        <w:sectPr>
          <w:type w:val="nextPage"/>
          <w:pgSz w:w="11906" w:h="16838"/>
          <w:pgMar w:left="1418" w:right="851" w:gutter="0" w:header="0" w:top="1134" w:footer="0" w:bottom="1134"/>
          <w:pgNumType w:fmt="decimal"/>
          <w:formProt w:val="false"/>
          <w:textDirection w:val="lrTb"/>
          <w:docGrid w:type="default" w:linePitch="100" w:charSpace="0"/>
        </w:sectPr>
      </w:pPr>
    </w:p>
    <w:p>
      <w:pPr>
        <w:pStyle w:val="Normal"/>
        <w:ind w:left="5103" w:hanging="0"/>
        <w:jc w:val="right"/>
        <w:rPr>
          <w:sz w:val="22"/>
          <w:szCs w:val="22"/>
        </w:rPr>
      </w:pPr>
      <w:r>
        <w:rPr>
          <w:sz w:val="22"/>
          <w:szCs w:val="22"/>
        </w:rPr>
        <w:t>Приложение № 1</w:t>
      </w:r>
    </w:p>
    <w:p>
      <w:pPr>
        <w:pStyle w:val="Normal"/>
        <w:ind w:left="5103" w:hanging="0"/>
        <w:jc w:val="right"/>
        <w:rPr>
          <w:sz w:val="22"/>
          <w:szCs w:val="22"/>
        </w:rPr>
      </w:pPr>
      <w:r>
        <w:rPr>
          <w:sz w:val="22"/>
          <w:szCs w:val="22"/>
        </w:rPr>
        <w:t>к Договору поставки</w:t>
      </w:r>
    </w:p>
    <w:p>
      <w:pPr>
        <w:pStyle w:val="Normal"/>
        <w:ind w:left="5103" w:hanging="0"/>
        <w:jc w:val="right"/>
        <w:rPr>
          <w:sz w:val="22"/>
          <w:szCs w:val="22"/>
        </w:rPr>
      </w:pPr>
      <w:r>
        <w:rPr>
          <w:sz w:val="22"/>
          <w:szCs w:val="22"/>
        </w:rPr>
        <w:t xml:space="preserve">от «____» ________ 2026г. </w:t>
      </w:r>
    </w:p>
    <w:p>
      <w:pPr>
        <w:pStyle w:val="Normal"/>
        <w:ind w:left="6519" w:firstLine="561"/>
        <w:jc w:val="center"/>
        <w:rPr>
          <w:sz w:val="22"/>
          <w:szCs w:val="22"/>
        </w:rPr>
      </w:pPr>
      <w:r>
        <w:rPr>
          <w:sz w:val="22"/>
          <w:szCs w:val="22"/>
        </w:rPr>
        <w:t xml:space="preserve">                                                № </w:t>
      </w:r>
    </w:p>
    <w:p>
      <w:pPr>
        <w:pStyle w:val="Normal"/>
        <w:widowControl/>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578"/>
        <w:gridCol w:w="197"/>
        <w:gridCol w:w="1158"/>
        <w:gridCol w:w="1030"/>
        <w:gridCol w:w="1166"/>
        <w:gridCol w:w="1159"/>
        <w:gridCol w:w="1285"/>
        <w:gridCol w:w="774"/>
        <w:gridCol w:w="1036"/>
        <w:gridCol w:w="644"/>
        <w:gridCol w:w="1032"/>
        <w:gridCol w:w="901"/>
        <w:gridCol w:w="902"/>
        <w:gridCol w:w="1160"/>
        <w:gridCol w:w="1547"/>
      </w:tblGrid>
      <w:tr>
        <w:trPr>
          <w:trHeight w:val="1463"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 xml:space="preserve">№ </w:t>
            </w:r>
            <w:r>
              <w:rPr>
                <w:bCs/>
                <w:color w:val="000000"/>
                <w:lang w:eastAsia="en-US"/>
              </w:rPr>
              <w:t>поз.</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Наименование Товара</w:t>
            </w:r>
          </w:p>
        </w:tc>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t>Артикул тип марка</w:t>
            </w:r>
          </w:p>
        </w:tc>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sz w:val="18"/>
                <w:szCs w:val="18"/>
                <w:lang w:eastAsia="en-US"/>
              </w:rPr>
            </w:pPr>
            <w:r>
              <w:rPr>
                <w:bCs/>
                <w:color w:val="000000"/>
                <w:sz w:val="18"/>
                <w:szCs w:val="18"/>
                <w:lang w:eastAsia="en-US"/>
              </w:rPr>
              <w:t>Завод изготовитель</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t>Страна происхождения Товара</w:t>
            </w:r>
            <w:r>
              <w:rPr>
                <w:rStyle w:val="FootnoteReference"/>
                <w:bCs/>
                <w:color w:val="000000"/>
                <w:lang w:eastAsia="en-US"/>
              </w:rPr>
              <w:footnoteReference w:id="2"/>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sz w:val="18"/>
                <w:szCs w:val="18"/>
                <w:lang w:eastAsia="en-US"/>
              </w:rPr>
            </w:pPr>
            <w:r>
              <w:rPr>
                <w:bCs/>
                <w:color w:val="000000"/>
                <w:sz w:val="18"/>
                <w:szCs w:val="18"/>
                <w:lang w:eastAsia="en-US"/>
              </w:rPr>
              <w:t>Код ОКПД 2 (с наименованием)</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Ед.изм</w:t>
            </w:r>
          </w:p>
        </w:tc>
        <w:tc>
          <w:tcPr>
            <w:tcW w:w="10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Cs/>
                <w:color w:val="000000"/>
                <w:lang w:eastAsia="en-US"/>
              </w:rPr>
            </w:pPr>
            <w:r>
              <w:rPr>
                <w:bCs/>
                <w:color w:val="000000"/>
                <w:lang w:eastAsia="en-US"/>
              </w:rPr>
            </w:r>
          </w:p>
          <w:p>
            <w:pPr>
              <w:pStyle w:val="Normal"/>
              <w:widowControl w:val="false"/>
              <w:spacing w:lineRule="auto" w:line="252"/>
              <w:jc w:val="center"/>
              <w:rPr>
                <w:b/>
                <w:bCs/>
                <w:color w:val="000000"/>
                <w:lang w:eastAsia="en-US"/>
              </w:rPr>
            </w:pPr>
            <w:r>
              <w:rPr>
                <w:b/>
                <w:bCs/>
                <w:color w:val="000000"/>
                <w:lang w:eastAsia="en-US"/>
              </w:rPr>
            </w:r>
          </w:p>
          <w:p>
            <w:pPr>
              <w:pStyle w:val="Normal"/>
              <w:widowControl w:val="false"/>
              <w:spacing w:lineRule="auto" w:line="252"/>
              <w:jc w:val="center"/>
              <w:rPr>
                <w:bCs/>
                <w:color w:val="000000"/>
                <w:lang w:eastAsia="en-US"/>
              </w:rPr>
            </w:pPr>
            <w:r>
              <w:rPr>
                <w:bCs/>
                <w:color w:val="000000"/>
                <w:lang w:eastAsia="en-US"/>
              </w:rPr>
              <w:t>Порядковый номер реестровой записи</w:t>
            </w:r>
            <w:r>
              <w:rPr>
                <w:rStyle w:val="FootnoteReference"/>
                <w:bCs/>
                <w:color w:val="000000"/>
                <w:lang w:eastAsia="en-US"/>
              </w:rPr>
              <w:footnoteReference w:id="3"/>
            </w:r>
          </w:p>
          <w:p>
            <w:pPr>
              <w:pStyle w:val="Normal"/>
              <w:widowControl w:val="false"/>
              <w:spacing w:lineRule="auto" w:line="252"/>
              <w:jc w:val="center"/>
              <w:rPr>
                <w:bCs/>
                <w:color w:val="000000"/>
                <w:lang w:eastAsia="en-US"/>
              </w:rPr>
            </w:pPr>
            <w:r>
              <w:rPr>
                <w:bCs/>
                <w:color w:val="000000"/>
                <w:lang w:eastAsia="en-US"/>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Кол-во</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Цена за единицу, руб. без НДС</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Цена, руб. без НДС</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НДС</w:t>
            </w:r>
          </w:p>
          <w:p>
            <w:pPr>
              <w:pStyle w:val="Normal"/>
              <w:widowControl w:val="false"/>
              <w:spacing w:lineRule="auto" w:line="252"/>
              <w:jc w:val="center"/>
              <w:rPr>
                <w:bCs/>
                <w:color w:val="000000"/>
                <w:lang w:eastAsia="en-US"/>
              </w:rPr>
            </w:pPr>
            <w:r>
              <w:rPr>
                <w:bCs/>
                <w:color w:val="000000"/>
                <w:lang w:eastAsia="en-US"/>
              </w:rPr>
              <w:t>(___%) руб.</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Стоимость, руб., с НДС</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Cs/>
                <w:color w:val="000000"/>
                <w:lang w:eastAsia="en-US"/>
              </w:rPr>
            </w:pPr>
            <w:r>
              <w:rPr>
                <w:bCs/>
                <w:color w:val="000000"/>
                <w:lang w:eastAsia="en-US"/>
              </w:rPr>
              <w:t>Перечень сопроводительных документов (в том числе подтверждающих качество Товара)</w:t>
            </w:r>
          </w:p>
        </w:tc>
      </w:tr>
      <w:tr>
        <w:trPr>
          <w:trHeight w:val="536"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t>1</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10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color w:val="000000"/>
                <w:lang w:eastAsia="en-US"/>
              </w:rPr>
            </w:pPr>
            <w:r>
              <w:rPr>
                <w:color w:val="000000"/>
                <w:lang w:eastAsia="en-US"/>
              </w:rPr>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color w:val="000000"/>
                <w:lang w:eastAsia="en-US"/>
              </w:rPr>
            </w:pPr>
            <w:r>
              <w:rPr>
                <w:color w:val="000000"/>
                <w:lang w:eastAsia="en-US"/>
              </w:rPr>
            </w:r>
          </w:p>
        </w:tc>
      </w:tr>
      <w:tr>
        <w:trPr>
          <w:trHeight w:val="536"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t>2</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10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color w:val="000000"/>
                <w:lang w:eastAsia="en-US"/>
              </w:rPr>
            </w:pPr>
            <w:r>
              <w:rPr>
                <w:color w:val="000000"/>
                <w:lang w:eastAsia="en-US"/>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color w:val="000000"/>
                <w:lang w:eastAsia="en-US"/>
              </w:rPr>
            </w:pPr>
            <w:r>
              <w:rPr>
                <w:color w:val="000000"/>
                <w:lang w:eastAsia="en-US"/>
              </w:rPr>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color w:val="000000"/>
                <w:lang w:eastAsia="en-US"/>
              </w:rPr>
            </w:pPr>
            <w:r>
              <w:rPr>
                <w:color w:val="000000"/>
                <w:lang w:eastAsia="en-US"/>
              </w:rPr>
            </w:r>
          </w:p>
        </w:tc>
      </w:tr>
      <w:tr>
        <w:trPr>
          <w:trHeight w:val="536" w:hRule="atLeast"/>
        </w:trPr>
        <w:tc>
          <w:tcPr>
            <w:tcW w:w="7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center"/>
              <w:rPr>
                <w:b/>
                <w:color w:val="000000"/>
                <w:lang w:eastAsia="en-US"/>
              </w:rPr>
            </w:pPr>
            <w:r>
              <w:rPr>
                <w:b/>
                <w:color w:val="000000"/>
                <w:lang w:eastAsia="en-US"/>
              </w:rPr>
            </w:r>
          </w:p>
        </w:tc>
        <w:tc>
          <w:tcPr>
            <w:tcW w:w="9284"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b/>
                <w:color w:val="000000"/>
                <w:lang w:eastAsia="en-US"/>
              </w:rPr>
            </w:pPr>
            <w:r>
              <w:rPr>
                <w:b/>
                <w:color w:val="000000"/>
                <w:lang w:eastAsia="en-US"/>
              </w:rPr>
              <w:t>Итого стоимость всего Товара (с учетом доставки), руб. с НДС:</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color w:val="000000"/>
                <w:lang w:eastAsia="en-US"/>
              </w:rPr>
            </w:pPr>
            <w:r>
              <w:rPr>
                <w:color w:val="000000"/>
                <w:lang w:eastAsia="en-US"/>
              </w:rPr>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rPr>
                <w:color w:val="000000"/>
                <w:lang w:eastAsia="en-US"/>
              </w:rPr>
            </w:pPr>
            <w:r>
              <w:rPr>
                <w:color w:val="000000"/>
                <w:lang w:eastAsia="en-US"/>
              </w:rPr>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color w:val="000000"/>
                <w:lang w:eastAsia="en-US"/>
              </w:rPr>
            </w:pPr>
            <w:r>
              <w:rPr>
                <w:color w:val="000000"/>
                <w:lang w:eastAsia="en-US"/>
              </w:rPr>
            </w:r>
          </w:p>
        </w:tc>
      </w:tr>
    </w:tbl>
    <w:p>
      <w:pPr>
        <w:pStyle w:val="Normal"/>
        <w:rPr>
          <w:i/>
          <w:i/>
          <w:sz w:val="24"/>
          <w:szCs w:val="24"/>
        </w:rPr>
      </w:pPr>
      <w:r>
        <w:rPr>
          <w:i/>
          <w:sz w:val="24"/>
          <w:szCs w:val="24"/>
        </w:rPr>
      </w:r>
    </w:p>
    <w:p>
      <w:pPr>
        <w:pStyle w:val="Normal"/>
        <w:jc w:val="both"/>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должно соответствовать оборудование (ГОСТ, ТУ) и иные сведения, имеющие значение для Договора;</w:t>
      </w:r>
    </w:p>
    <w:p>
      <w:pPr>
        <w:pStyle w:val="Normal"/>
        <w:jc w:val="both"/>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tbl>
      <w:tblPr>
        <w:tblW w:w="145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86"/>
        <w:gridCol w:w="7283"/>
      </w:tblGrid>
      <w:tr>
        <w:trPr>
          <w:trHeight w:val="269" w:hRule="atLeast"/>
        </w:trPr>
        <w:tc>
          <w:tcPr>
            <w:tcW w:w="7286" w:type="dxa"/>
            <w:tcBorders/>
          </w:tcPr>
          <w:p>
            <w:pPr>
              <w:pStyle w:val="Normal"/>
              <w:widowControl w:val="false"/>
              <w:spacing w:lineRule="auto" w:line="252"/>
              <w:rPr>
                <w:b/>
                <w:sz w:val="24"/>
                <w:lang w:eastAsia="en-US"/>
              </w:rPr>
            </w:pPr>
            <w:r>
              <w:rPr>
                <w:b/>
                <w:sz w:val="24"/>
                <w:lang w:eastAsia="en-US"/>
              </w:rPr>
              <w:t>Покупатель:</w:t>
            </w:r>
          </w:p>
        </w:tc>
        <w:tc>
          <w:tcPr>
            <w:tcW w:w="7283" w:type="dxa"/>
            <w:tcBorders/>
          </w:tcPr>
          <w:p>
            <w:pPr>
              <w:pStyle w:val="Normal"/>
              <w:widowControl w:val="false"/>
              <w:spacing w:lineRule="auto" w:line="252"/>
              <w:rPr>
                <w:b/>
                <w:sz w:val="24"/>
                <w:lang w:eastAsia="en-US"/>
              </w:rPr>
            </w:pPr>
            <w:r>
              <w:rPr>
                <w:b/>
                <w:sz w:val="24"/>
                <w:lang w:eastAsia="en-US"/>
              </w:rPr>
              <w:t>Поставщик:</w:t>
            </w:r>
          </w:p>
        </w:tc>
      </w:tr>
    </w:tbl>
    <w:p>
      <w:pPr>
        <w:pStyle w:val="Normal"/>
        <w:rPr/>
      </w:pPr>
      <w:r>
        <w:rPr/>
        <w:t xml:space="preserve">                                                         </w:t>
      </w:r>
      <w:r>
        <w:rPr/>
        <w:t>__________ /__________</w:t>
        <w:tab/>
        <w:t xml:space="preserve">                                                                                                                               ___________ /___________</w:t>
      </w:r>
    </w:p>
    <w:p>
      <w:pPr>
        <w:sectPr>
          <w:footnotePr>
            <w:numFmt w:val="decimal"/>
          </w:footnotePr>
          <w:type w:val="nextPage"/>
          <w:pgSz w:orient="landscape" w:w="16838" w:h="11906"/>
          <w:pgMar w:left="1134" w:right="1134" w:gutter="0" w:header="0" w:top="1418" w:footer="0" w:bottom="851"/>
          <w:pgNumType w:fmt="decimal"/>
          <w:formProt w:val="false"/>
          <w:textDirection w:val="lrTb"/>
          <w:docGrid w:type="default" w:linePitch="100" w:charSpace="0"/>
        </w:sectPr>
        <w:pStyle w:val="Normal"/>
        <w:rPr>
          <w:i/>
          <w:i/>
          <w:sz w:val="24"/>
          <w:szCs w:val="24"/>
          <w:highlight w:val="yellow"/>
        </w:rPr>
      </w:pPr>
      <w:r>
        <w:rPr>
          <w:i/>
          <w:sz w:val="24"/>
          <w:szCs w:val="24"/>
          <w:highlight w:val="yellow"/>
        </w:rPr>
        <w:t xml:space="preserve">            </w:t>
      </w:r>
    </w:p>
    <w:p>
      <w:pPr>
        <w:pStyle w:val="Normal"/>
        <w:ind w:left="5103" w:hanging="0"/>
        <w:jc w:val="right"/>
        <w:rPr>
          <w:sz w:val="22"/>
          <w:szCs w:val="22"/>
        </w:rPr>
      </w:pPr>
      <w:r>
        <w:rPr>
          <w:sz w:val="22"/>
          <w:szCs w:val="22"/>
        </w:rPr>
        <w:t>Приложение № 2</w:t>
      </w:r>
    </w:p>
    <w:p>
      <w:pPr>
        <w:pStyle w:val="Normal"/>
        <w:ind w:left="5103" w:hanging="0"/>
        <w:jc w:val="right"/>
        <w:rPr>
          <w:sz w:val="22"/>
          <w:szCs w:val="22"/>
        </w:rPr>
      </w:pPr>
      <w:r>
        <w:rPr>
          <w:sz w:val="22"/>
          <w:szCs w:val="22"/>
        </w:rPr>
        <w:t xml:space="preserve">к Договору поставки </w:t>
      </w:r>
    </w:p>
    <w:p>
      <w:pPr>
        <w:pStyle w:val="Normal"/>
        <w:ind w:left="5103" w:hanging="0"/>
        <w:jc w:val="right"/>
        <w:rPr>
          <w:sz w:val="22"/>
          <w:szCs w:val="22"/>
        </w:rPr>
      </w:pPr>
      <w:r>
        <w:rPr>
          <w:sz w:val="22"/>
          <w:szCs w:val="22"/>
        </w:rPr>
        <w:t xml:space="preserve">от «____» ________ 2026г. </w:t>
      </w:r>
    </w:p>
    <w:p>
      <w:pPr>
        <w:pStyle w:val="Normal"/>
        <w:ind w:left="5103" w:hanging="0"/>
        <w:jc w:val="center"/>
        <w:rPr>
          <w:sz w:val="22"/>
          <w:szCs w:val="22"/>
        </w:rPr>
      </w:pPr>
      <w:r>
        <w:rPr>
          <w:sz w:val="22"/>
          <w:szCs w:val="22"/>
        </w:rPr>
        <w:t xml:space="preserve">№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both"/>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tcPr>
          <w:p>
            <w:pPr>
              <w:pStyle w:val="Normal"/>
              <w:widowControl w:val="false"/>
              <w:spacing w:lineRule="auto" w:line="252"/>
              <w:rPr>
                <w:b/>
                <w:sz w:val="24"/>
                <w:szCs w:val="24"/>
                <w:lang w:eastAsia="en-US"/>
              </w:rPr>
            </w:pPr>
            <w:r>
              <w:rPr>
                <w:b/>
                <w:sz w:val="24"/>
                <w:szCs w:val="24"/>
                <w:lang w:eastAsia="en-US"/>
              </w:rPr>
              <w:t>Покупатель:</w:t>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t>_____________________/_____________</w:t>
            </w:r>
          </w:p>
          <w:p>
            <w:pPr>
              <w:pStyle w:val="Normal"/>
              <w:widowControl w:val="false"/>
              <w:spacing w:lineRule="auto" w:line="252"/>
              <w:rPr>
                <w:sz w:val="24"/>
                <w:szCs w:val="24"/>
                <w:lang w:eastAsia="en-US"/>
              </w:rPr>
            </w:pPr>
            <w:r>
              <w:rPr>
                <w:sz w:val="24"/>
                <w:szCs w:val="24"/>
                <w:lang w:eastAsia="en-US"/>
              </w:rPr>
            </w:r>
          </w:p>
        </w:tc>
        <w:tc>
          <w:tcPr>
            <w:tcW w:w="4819" w:type="dxa"/>
            <w:tcBorders/>
          </w:tcPr>
          <w:p>
            <w:pPr>
              <w:pStyle w:val="Normal"/>
              <w:widowControl w:val="false"/>
              <w:spacing w:lineRule="auto" w:line="252"/>
              <w:rPr>
                <w:b/>
                <w:sz w:val="24"/>
                <w:szCs w:val="24"/>
                <w:lang w:eastAsia="en-US"/>
              </w:rPr>
            </w:pPr>
            <w:r>
              <w:rPr>
                <w:b/>
                <w:sz w:val="24"/>
                <w:szCs w:val="24"/>
                <w:lang w:eastAsia="en-US"/>
              </w:rPr>
              <w:t>Поставщик:</w:t>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t>_____________________/_____________</w:t>
            </w:r>
          </w:p>
          <w:p>
            <w:pPr>
              <w:pStyle w:val="Normal"/>
              <w:widowControl w:val="false"/>
              <w:spacing w:lineRule="auto" w:line="252"/>
              <w:ind w:firstLine="33"/>
              <w:rPr>
                <w:b/>
                <w:sz w:val="24"/>
                <w:szCs w:val="24"/>
                <w:lang w:eastAsia="en-US"/>
              </w:rPr>
            </w:pPr>
            <w:r>
              <w:rPr>
                <w:b/>
                <w:sz w:val="24"/>
                <w:szCs w:val="24"/>
                <w:lang w:eastAsia="en-US"/>
              </w:rPr>
            </w:r>
          </w:p>
        </w:tc>
      </w:tr>
    </w:tbl>
    <w:p>
      <w:pPr>
        <w:sectPr>
          <w:footnotePr>
            <w:numFmt w:val="decimal"/>
          </w:footnotePr>
          <w:type w:val="nextPage"/>
          <w:pgSz w:w="11906" w:h="16838"/>
          <w:pgMar w:left="1418" w:right="851" w:gutter="0" w:header="0" w:top="1134" w:footer="0" w:bottom="1134"/>
          <w:pgNumType w:fmt="decimal"/>
          <w:formProt w:val="false"/>
          <w:textDirection w:val="lrTb"/>
          <w:docGrid w:type="default" w:linePitch="100" w:charSpace="0"/>
        </w:sectPr>
      </w:pPr>
    </w:p>
    <w:p>
      <w:pPr>
        <w:pStyle w:val="Normal"/>
        <w:ind w:firstLine="6237"/>
        <w:jc w:val="right"/>
        <w:rPr>
          <w:sz w:val="24"/>
          <w:szCs w:val="24"/>
        </w:rPr>
      </w:pPr>
      <w:r>
        <w:rPr>
          <w:sz w:val="24"/>
          <w:szCs w:val="24"/>
        </w:rPr>
        <w:t>Приложение № 3</w:t>
      </w:r>
    </w:p>
    <w:p>
      <w:pPr>
        <w:pStyle w:val="Normal"/>
        <w:ind w:firstLine="6237"/>
        <w:jc w:val="right"/>
        <w:rPr>
          <w:sz w:val="24"/>
          <w:szCs w:val="24"/>
        </w:rPr>
      </w:pPr>
      <w:r>
        <w:rPr>
          <w:sz w:val="24"/>
          <w:szCs w:val="24"/>
        </w:rPr>
        <w:t>к Договору поставки</w:t>
      </w:r>
    </w:p>
    <w:p>
      <w:pPr>
        <w:pStyle w:val="Normal"/>
        <w:ind w:firstLine="6237"/>
        <w:rPr>
          <w:sz w:val="24"/>
          <w:szCs w:val="24"/>
        </w:rPr>
      </w:pPr>
      <w:r>
        <w:rPr>
          <w:sz w:val="24"/>
          <w:szCs w:val="24"/>
        </w:rPr>
        <w:t xml:space="preserve">       </w:t>
      </w:r>
      <w:r>
        <w:rPr>
          <w:sz w:val="24"/>
          <w:szCs w:val="24"/>
        </w:rPr>
        <w:t xml:space="preserve">от «____» ________2026г. </w:t>
      </w:r>
    </w:p>
    <w:p>
      <w:pPr>
        <w:pStyle w:val="Normal"/>
        <w:ind w:firstLine="6237"/>
        <w:rPr>
          <w:bCs/>
          <w:sz w:val="24"/>
          <w:szCs w:val="24"/>
        </w:rPr>
      </w:pPr>
      <w:r>
        <w:rPr>
          <w:sz w:val="24"/>
          <w:szCs w:val="24"/>
        </w:rPr>
        <w:t xml:space="preserve">       № </w:t>
      </w:r>
    </w:p>
    <w:p>
      <w:pPr>
        <w:pStyle w:val="Normal"/>
        <w:widowControl/>
        <w:shd w:val="clear" w:color="auto" w:fill="FFFFFF"/>
        <w:tabs>
          <w:tab w:val="clear" w:pos="708"/>
          <w:tab w:val="left" w:pos="1418" w:leader="none"/>
        </w:tabs>
        <w:ind w:firstLine="6237"/>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03"/>
        <w:gridCol w:w="5751"/>
      </w:tblGrid>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b/>
                <w:sz w:val="24"/>
                <w:szCs w:val="24"/>
                <w:lang w:eastAsia="en-US"/>
              </w:rPr>
            </w:pPr>
            <w:r>
              <w:rPr>
                <w:b/>
                <w:sz w:val="24"/>
                <w:szCs w:val="24"/>
                <w:lang w:eastAsia="en-US"/>
              </w:rPr>
              <w:t>Виды нарушений</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b/>
                <w:sz w:val="24"/>
                <w:szCs w:val="24"/>
                <w:lang w:eastAsia="en-US"/>
              </w:rPr>
            </w:pPr>
            <w:r>
              <w:rPr>
                <w:b/>
                <w:sz w:val="24"/>
                <w:szCs w:val="24"/>
                <w:lang w:eastAsia="en-US"/>
              </w:rPr>
              <w:t>Штрафные санкции</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sz w:val="24"/>
                <w:szCs w:val="24"/>
                <w:lang w:eastAsia="en-US"/>
              </w:rPr>
            </w:pPr>
            <w:r>
              <w:rPr>
                <w:sz w:val="24"/>
                <w:szCs w:val="24"/>
                <w:lang w:eastAsia="en-US"/>
              </w:rPr>
              <w:t>1. Нарушение правил пожарной безопасности (ППБ):</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sz w:val="24"/>
                <w:szCs w:val="24"/>
                <w:lang w:eastAsia="en-US"/>
              </w:rPr>
            </w:pPr>
            <w:r>
              <w:rPr>
                <w:sz w:val="24"/>
                <w:szCs w:val="24"/>
                <w:lang w:eastAsia="en-US"/>
              </w:rPr>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sz w:val="24"/>
                <w:szCs w:val="24"/>
                <w:lang w:eastAsia="en-US"/>
              </w:rPr>
            </w:pPr>
            <w:r>
              <w:rPr>
                <w:sz w:val="24"/>
                <w:szCs w:val="24"/>
                <w:lang w:eastAsia="en-US"/>
              </w:rPr>
              <w:t>1.1. Нарушение ППБ без возникновения пожара</w:t>
            </w:r>
          </w:p>
          <w:p>
            <w:pPr>
              <w:pStyle w:val="Normal"/>
              <w:widowControl w:val="false"/>
              <w:spacing w:lineRule="auto" w:line="252"/>
              <w:rPr>
                <w:b/>
                <w:sz w:val="24"/>
                <w:szCs w:val="24"/>
                <w:lang w:eastAsia="en-US"/>
              </w:rPr>
            </w:pPr>
            <w:r>
              <w:rPr>
                <w:b/>
                <w:sz w:val="24"/>
                <w:szCs w:val="24"/>
                <w:lang w:eastAsia="en-US"/>
              </w:rPr>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both"/>
              <w:rPr>
                <w:sz w:val="24"/>
                <w:szCs w:val="24"/>
                <w:lang w:eastAsia="en-US"/>
              </w:rPr>
            </w:pPr>
            <w:r>
              <w:rPr>
                <w:sz w:val="24"/>
                <w:szCs w:val="24"/>
                <w:lang w:eastAsia="en-US"/>
              </w:rPr>
              <w:t>25 000 (двадцать пять тысяч) рублей за каждый случай нарушения.</w:t>
            </w:r>
          </w:p>
          <w:p>
            <w:pPr>
              <w:pStyle w:val="Normal"/>
              <w:widowControl w:val="false"/>
              <w:spacing w:lineRule="auto" w:line="252"/>
              <w:jc w:val="both"/>
              <w:rPr>
                <w:sz w:val="24"/>
                <w:szCs w:val="24"/>
                <w:lang w:eastAsia="en-US"/>
              </w:rPr>
            </w:pPr>
            <w:r>
              <w:rPr>
                <w:sz w:val="24"/>
                <w:szCs w:val="24"/>
                <w:lang w:eastAsia="en-US"/>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sz w:val="24"/>
                <w:szCs w:val="24"/>
                <w:lang w:eastAsia="en-US"/>
              </w:rPr>
            </w:pPr>
            <w:r>
              <w:rPr>
                <w:sz w:val="24"/>
                <w:szCs w:val="24"/>
                <w:lang w:eastAsia="en-US"/>
              </w:rPr>
              <w:t>1.2. Нарушение ППБ, ставшее причиной возникновения пожара, не причинившего ущерб имуществу Покупателя</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both"/>
              <w:rPr>
                <w:sz w:val="24"/>
                <w:szCs w:val="24"/>
                <w:lang w:eastAsia="en-US"/>
              </w:rPr>
            </w:pPr>
            <w:r>
              <w:rPr>
                <w:sz w:val="24"/>
                <w:szCs w:val="24"/>
                <w:lang w:eastAsia="en-US"/>
              </w:rPr>
              <w:t>50 000 (пятьдесят тысяч) рублей за каждый случай нарушения.</w:t>
            </w:r>
          </w:p>
          <w:p>
            <w:pPr>
              <w:pStyle w:val="Normal"/>
              <w:widowControl w:val="false"/>
              <w:spacing w:lineRule="auto" w:line="252"/>
              <w:jc w:val="both"/>
              <w:rPr>
                <w:sz w:val="24"/>
                <w:szCs w:val="24"/>
                <w:lang w:eastAsia="en-US"/>
              </w:rPr>
            </w:pPr>
            <w:r>
              <w:rPr>
                <w:sz w:val="24"/>
                <w:szCs w:val="24"/>
                <w:lang w:eastAsia="en-US"/>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sz w:val="24"/>
                <w:szCs w:val="24"/>
                <w:lang w:eastAsia="en-US"/>
              </w:rPr>
            </w:pPr>
            <w:r>
              <w:rPr>
                <w:sz w:val="24"/>
                <w:szCs w:val="24"/>
                <w:lang w:eastAsia="en-US"/>
              </w:rPr>
              <w:t>1.3. Нарушение ППБ, ставшее причиной возникновения пожара, причинившего ущерб имуществу Покупателя.</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both"/>
              <w:rPr>
                <w:sz w:val="24"/>
                <w:szCs w:val="24"/>
                <w:lang w:eastAsia="en-US"/>
              </w:rPr>
            </w:pPr>
            <w:r>
              <w:rPr>
                <w:sz w:val="24"/>
                <w:szCs w:val="24"/>
                <w:lang w:eastAsia="en-US"/>
              </w:rPr>
              <w:t>250 000 (двести пятьдесят тысяч) рублей за каждый случай нарушения.</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sz w:val="24"/>
                <w:szCs w:val="24"/>
                <w:lang w:eastAsia="en-US"/>
              </w:rPr>
            </w:pPr>
            <w:r>
              <w:rPr>
                <w:sz w:val="24"/>
                <w:szCs w:val="24"/>
                <w:lang w:eastAsia="en-US"/>
              </w:rPr>
              <w:t>2.</w:t>
            </w:r>
            <w:r>
              <w:rPr>
                <w:b/>
                <w:sz w:val="24"/>
                <w:szCs w:val="24"/>
                <w:lang w:eastAsia="en-US"/>
              </w:rPr>
              <w:t xml:space="preserve"> </w:t>
            </w:r>
            <w:r>
              <w:rPr>
                <w:sz w:val="24"/>
                <w:szCs w:val="24"/>
                <w:lang w:eastAsia="en-US"/>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lang w:eastAsia="en-US"/>
              </w:rPr>
              <w:t xml:space="preserve"> </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jc w:val="both"/>
              <w:rPr>
                <w:sz w:val="24"/>
                <w:szCs w:val="24"/>
                <w:lang w:eastAsia="en-US"/>
              </w:rPr>
            </w:pPr>
            <w:r>
              <w:rPr>
                <w:sz w:val="24"/>
                <w:szCs w:val="24"/>
                <w:lang w:eastAsia="en-US"/>
              </w:rPr>
              <w:t>- 50 000 (пятьдесят тысяч) рублей за каждый случай нарушения;</w:t>
            </w:r>
          </w:p>
          <w:p>
            <w:pPr>
              <w:pStyle w:val="Normal"/>
              <w:widowControl w:val="false"/>
              <w:spacing w:lineRule="auto" w:line="252"/>
              <w:jc w:val="both"/>
              <w:rPr>
                <w:sz w:val="24"/>
                <w:szCs w:val="24"/>
                <w:lang w:eastAsia="en-US"/>
              </w:rPr>
            </w:pPr>
            <w:r>
              <w:rPr>
                <w:sz w:val="24"/>
                <w:szCs w:val="24"/>
                <w:lang w:eastAsia="en-US"/>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spacing w:lineRule="auto" w:line="252"/>
              <w:jc w:val="both"/>
              <w:rPr>
                <w:sz w:val="24"/>
                <w:szCs w:val="24"/>
                <w:lang w:eastAsia="en-US"/>
              </w:rPr>
            </w:pPr>
            <w:r>
              <w:rPr>
                <w:sz w:val="24"/>
                <w:szCs w:val="24"/>
                <w:lang w:eastAsia="en-US"/>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tcPr>
          <w:p>
            <w:pPr>
              <w:pStyle w:val="Normal"/>
              <w:widowControl w:val="false"/>
              <w:spacing w:lineRule="auto" w:line="252"/>
              <w:rPr>
                <w:b/>
                <w:sz w:val="24"/>
                <w:szCs w:val="24"/>
                <w:lang w:eastAsia="en-US"/>
              </w:rPr>
            </w:pPr>
            <w:r>
              <w:rPr>
                <w:b/>
                <w:sz w:val="24"/>
                <w:szCs w:val="24"/>
                <w:lang w:eastAsia="en-US"/>
              </w:rPr>
              <w:t>Покупатель:</w:t>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t>_____________________/_____________</w:t>
            </w:r>
          </w:p>
          <w:p>
            <w:pPr>
              <w:pStyle w:val="Normal"/>
              <w:widowControl w:val="false"/>
              <w:spacing w:lineRule="auto" w:line="252"/>
              <w:rPr>
                <w:sz w:val="24"/>
                <w:szCs w:val="24"/>
                <w:lang w:eastAsia="en-US"/>
              </w:rPr>
            </w:pPr>
            <w:r>
              <w:rPr>
                <w:sz w:val="24"/>
                <w:szCs w:val="24"/>
                <w:lang w:eastAsia="en-US"/>
              </w:rPr>
            </w:r>
          </w:p>
        </w:tc>
        <w:tc>
          <w:tcPr>
            <w:tcW w:w="4819" w:type="dxa"/>
            <w:tcBorders/>
          </w:tcPr>
          <w:p>
            <w:pPr>
              <w:pStyle w:val="Normal"/>
              <w:widowControl w:val="false"/>
              <w:spacing w:lineRule="auto" w:line="252"/>
              <w:ind w:firstLine="34"/>
              <w:rPr>
                <w:b/>
                <w:sz w:val="24"/>
                <w:szCs w:val="24"/>
                <w:lang w:eastAsia="en-US"/>
              </w:rPr>
            </w:pPr>
            <w:r>
              <w:rPr>
                <w:b/>
                <w:sz w:val="24"/>
                <w:szCs w:val="24"/>
                <w:lang w:eastAsia="en-US"/>
              </w:rPr>
              <w:t>Поставщик:</w:t>
            </w:r>
          </w:p>
          <w:p>
            <w:pPr>
              <w:pStyle w:val="Normal"/>
              <w:widowControl w:val="false"/>
              <w:spacing w:lineRule="auto" w:line="252"/>
              <w:rPr>
                <w:sz w:val="24"/>
                <w:szCs w:val="24"/>
                <w:lang w:eastAsia="en-US"/>
              </w:rPr>
            </w:pPr>
            <w:r>
              <w:rPr>
                <w:sz w:val="24"/>
                <w:szCs w:val="24"/>
                <w:lang w:eastAsia="en-US"/>
              </w:rPr>
            </w:r>
          </w:p>
          <w:p>
            <w:pPr>
              <w:pStyle w:val="Normal"/>
              <w:widowControl w:val="false"/>
              <w:spacing w:lineRule="auto" w:line="252"/>
              <w:rPr>
                <w:sz w:val="24"/>
                <w:szCs w:val="24"/>
                <w:lang w:eastAsia="en-US"/>
              </w:rPr>
            </w:pPr>
            <w:r>
              <w:rPr>
                <w:sz w:val="24"/>
                <w:szCs w:val="24"/>
                <w:lang w:eastAsia="en-US"/>
              </w:rPr>
              <w:t>_____________________/_____________</w:t>
            </w:r>
          </w:p>
          <w:p>
            <w:pPr>
              <w:pStyle w:val="Normal"/>
              <w:widowControl w:val="false"/>
              <w:spacing w:lineRule="auto" w:line="252"/>
              <w:ind w:firstLine="33"/>
              <w:rPr>
                <w:b/>
                <w:sz w:val="24"/>
                <w:szCs w:val="24"/>
                <w:lang w:eastAsia="en-US"/>
              </w:rPr>
            </w:pPr>
            <w:r>
              <w:rPr>
                <w:b/>
                <w:sz w:val="24"/>
                <w:szCs w:val="24"/>
                <w:lang w:eastAsia="en-US"/>
              </w:rPr>
            </w:r>
          </w:p>
        </w:tc>
      </w:tr>
    </w:tbl>
    <w:p>
      <w:pPr>
        <w:pStyle w:val="Normal"/>
        <w:rPr/>
      </w:pPr>
      <w:r>
        <w:rPr/>
      </w:r>
    </w:p>
    <w:sectPr>
      <w:footnotePr>
        <w:numFmt w:val="decimal"/>
      </w:footnote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0"/>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0"/>
        </w:rPr>
        <w:footnoteRef/>
      </w:r>
      <w:r>
        <w:rPr/>
        <w:t xml:space="preserve"> </w:t>
      </w:r>
      <w:r>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lang w:eastAsia="en-US"/>
        </w:rPr>
        <w:t xml:space="preserve"> «О минимальной доле закупок товаров российского происхождения».</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9"/>
    <w:lvlOverride w:ilvl="0">
      <w:startOverride w:val="1"/>
    </w:lvlOverride>
  </w:num>
  <w:num w:numId="140">
    <w:abstractNumId w:val="9"/>
  </w:num>
  <w:num w:numId="141">
    <w:abstractNumId w:val="9"/>
  </w:num>
  <w:num w:numId="142">
    <w:abstractNumId w:val="9"/>
  </w:num>
  <w:num w:numId="143">
    <w:abstractNumId w:val="9"/>
  </w:num>
  <w:num w:numId="144">
    <w:abstractNumId w:val="9"/>
  </w:num>
  <w:num w:numId="145">
    <w:abstractNumId w:val="9"/>
  </w:num>
  <w:num w:numId="146">
    <w:abstractNumId w:val="9"/>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9"/>
  </w:num>
  <w:num w:numId="155">
    <w:abstractNumId w:val="9"/>
  </w:num>
  <w:num w:numId="156">
    <w:abstractNumId w:val="9"/>
  </w:num>
  <w:num w:numId="157">
    <w:abstractNumId w:val="9"/>
  </w:num>
  <w:num w:numId="158">
    <w:abstractNumId w:val="9"/>
  </w:num>
  <w:num w:numId="159">
    <w:abstractNumId w:val="9"/>
  </w:num>
  <w:num w:numId="160">
    <w:abstractNumId w:val="9"/>
  </w:num>
  <w:num w:numId="161">
    <w:abstractNumId w:val="9"/>
  </w:num>
  <w:num w:numId="162">
    <w:abstractNumId w:val="9"/>
  </w:num>
  <w:num w:numId="163">
    <w:abstractNumId w:val="9"/>
  </w:num>
  <w:num w:numId="164">
    <w:abstractNumId w:val="9"/>
  </w:num>
  <w:num w:numId="165">
    <w:abstractNumId w:val="9"/>
  </w:num>
  <w:num w:numId="166">
    <w:abstractNumId w:val="9"/>
  </w:num>
  <w:num w:numId="167">
    <w:abstractNumId w:val="9"/>
  </w:num>
  <w:num w:numId="168">
    <w:abstractNumId w:val="9"/>
  </w:num>
  <w:num w:numId="169">
    <w:abstractNumId w:val="9"/>
  </w:num>
  <w:num w:numId="170">
    <w:abstractNumId w:val="9"/>
  </w:num>
  <w:num w:numId="171">
    <w:abstractNumId w:val="9"/>
  </w:num>
  <w:num w:numId="172">
    <w:abstractNumId w:val="9"/>
  </w:num>
  <w:num w:numId="173">
    <w:abstractNumId w:val="9"/>
  </w:num>
  <w:num w:numId="174">
    <w:abstractNumId w:val="9"/>
  </w:num>
  <w:num w:numId="175">
    <w:abstractNumId w:val="9"/>
  </w:num>
  <w:num w:numId="176">
    <w:abstractNumId w:val="9"/>
  </w:num>
  <w:num w:numId="177">
    <w:abstractNumId w:val="9"/>
  </w:num>
  <w:num w:numId="178">
    <w:abstractNumId w:val="9"/>
  </w:num>
  <w:num w:numId="179">
    <w:abstractNumId w:val="9"/>
  </w:num>
  <w:num w:numId="180">
    <w:abstractNumId w:val="9"/>
  </w:num>
  <w:num w:numId="181">
    <w:abstractNumId w:val="9"/>
  </w:num>
  <w:num w:numId="182">
    <w:abstractNumId w:val="9"/>
  </w:num>
  <w:num w:numId="183">
    <w:abstractNumId w:val="9"/>
  </w:num>
  <w:num w:numId="184">
    <w:abstractNumId w:val="9"/>
  </w:num>
  <w:num w:numId="185">
    <w:abstractNumId w:val="9"/>
  </w:num>
  <w:num w:numId="186">
    <w:abstractNumId w:val="9"/>
  </w:num>
  <w:num w:numId="187">
    <w:abstractNumId w:val="9"/>
  </w:num>
  <w:num w:numId="188">
    <w:abstractNumId w:val="9"/>
  </w:num>
  <w:num w:numId="189">
    <w:abstractNumId w:val="9"/>
  </w:num>
  <w:num w:numId="190">
    <w:abstractNumId w:val="9"/>
  </w:num>
  <w:num w:numId="191">
    <w:abstractNumId w:val="9"/>
  </w:num>
  <w:num w:numId="192">
    <w:abstractNumId w:val="9"/>
  </w:num>
  <w:num w:numId="193">
    <w:abstractNumId w:val="9"/>
  </w:num>
  <w:num w:numId="194">
    <w:abstractNumId w:val="9"/>
  </w:num>
  <w:num w:numId="195">
    <w:abstractNumId w:val="9"/>
  </w:num>
  <w:num w:numId="196">
    <w:abstractNumId w:val="9"/>
  </w:num>
  <w:num w:numId="197">
    <w:abstractNumId w:val="9"/>
  </w:num>
  <w:num w:numId="198">
    <w:abstractNumId w:val="9"/>
  </w:num>
  <w:num w:numId="199">
    <w:abstractNumId w:val="9"/>
  </w:num>
  <w:num w:numId="200">
    <w:abstractNumId w:val="70"/>
    <w:lvlOverride w:ilvl="0">
      <w:startOverride w:val="6"/>
    </w:lvlOverride>
    <w:lvlOverride w:ilvl="1">
      <w:startOverride w:val="1"/>
    </w:lvlOverride>
  </w:num>
  <w:num w:numId="201">
    <w:abstractNumId w:val="70"/>
  </w:num>
  <w:num w:numId="202">
    <w:abstractNumId w:val="70"/>
  </w:num>
  <w:num w:numId="203">
    <w:abstractNumId w:val="70"/>
  </w:num>
  <w:num w:numId="204">
    <w:abstractNumId w:val="70"/>
  </w:num>
  <w:num w:numId="205">
    <w:abstractNumId w:val="70"/>
  </w:num>
  <w:num w:numId="206">
    <w:abstractNumId w:val="70"/>
  </w:num>
  <w:num w:numId="207">
    <w:abstractNumId w:val="70"/>
  </w:num>
  <w:num w:numId="208">
    <w:abstractNumId w:val="70"/>
  </w:num>
  <w:num w:numId="209">
    <w:abstractNumId w:val="70"/>
  </w:num>
  <w:num w:numId="210">
    <w:abstractNumId w:val="70"/>
  </w:num>
  <w:num w:numId="211">
    <w:abstractNumId w:val="70"/>
  </w:num>
  <w:num w:numId="212">
    <w:abstractNumId w:val="70"/>
  </w:num>
  <w:num w:numId="213">
    <w:abstractNumId w:val="70"/>
  </w:num>
  <w:num w:numId="214">
    <w:abstractNumId w:val="70"/>
  </w:num>
  <w:num w:numId="215">
    <w:abstractNumId w:val="70"/>
  </w:num>
  <w:num w:numId="216">
    <w:abstractNumId w:val="70"/>
  </w:num>
  <w:num w:numId="217">
    <w:abstractNumId w:val="70"/>
  </w:num>
  <w:num w:numId="218">
    <w:abstractNumId w:val="70"/>
  </w:num>
  <w:num w:numId="219">
    <w:abstractNumId w:val="70"/>
  </w:num>
  <w:num w:numId="220">
    <w:abstractNumId w:val="70"/>
  </w:num>
  <w:num w:numId="221">
    <w:abstractNumId w:val="70"/>
  </w:num>
  <w:num w:numId="222">
    <w:abstractNumId w:val="70"/>
  </w:num>
  <w:num w:numId="223">
    <w:abstractNumId w:val="70"/>
  </w:num>
  <w:num w:numId="224">
    <w:abstractNumId w:val="70"/>
  </w:num>
  <w:num w:numId="225">
    <w:abstractNumId w:val="70"/>
  </w:num>
  <w:num w:numId="226">
    <w:abstractNumId w:val="70"/>
  </w:num>
  <w:num w:numId="227">
    <w:abstractNumId w:val="70"/>
  </w:num>
  <w:num w:numId="228">
    <w:abstractNumId w:val="70"/>
  </w:num>
  <w:num w:numId="229">
    <w:abstractNumId w:val="70"/>
  </w:num>
  <w:num w:numId="230">
    <w:abstractNumId w:val="70"/>
  </w:num>
  <w:num w:numId="231">
    <w:abstractNumId w:val="70"/>
  </w:num>
  <w:num w:numId="232">
    <w:abstractNumId w:val="70"/>
  </w:num>
  <w:num w:numId="233">
    <w:abstractNumId w:val="70"/>
  </w:num>
  <w:num w:numId="234">
    <w:abstractNumId w:val="70"/>
  </w:num>
  <w:num w:numId="235">
    <w:abstractNumId w:val="70"/>
  </w:num>
  <w:num w:numId="236">
    <w:abstractNumId w:val="70"/>
  </w:num>
  <w:num w:numId="237">
    <w:abstractNumId w:val="70"/>
  </w:num>
  <w:num w:numId="238">
    <w:abstractNumId w:val="70"/>
  </w:num>
  <w:num w:numId="239">
    <w:abstractNumId w:val="70"/>
  </w:num>
  <w:num w:numId="240">
    <w:abstractNumId w:val="70"/>
  </w:num>
  <w:num w:numId="241">
    <w:abstractNumId w:val="70"/>
  </w:num>
  <w:num w:numId="242">
    <w:abstractNumId w:val="70"/>
  </w:num>
  <w:num w:numId="243">
    <w:abstractNumId w:val="70"/>
  </w:num>
  <w:num w:numId="244">
    <w:abstractNumId w:val="70"/>
  </w:num>
  <w:num w:numId="245">
    <w:abstractNumId w:val="70"/>
  </w:num>
  <w:num w:numId="246">
    <w:abstractNumId w:val="70"/>
  </w:num>
  <w:num w:numId="247">
    <w:abstractNumId w:val="70"/>
  </w:num>
  <w:num w:numId="248">
    <w:abstractNumId w:val="70"/>
  </w:num>
  <w:num w:numId="249">
    <w:abstractNumId w:val="70"/>
  </w:num>
  <w:num w:numId="250">
    <w:abstractNumId w:val="70"/>
  </w:num>
  <w:num w:numId="251">
    <w:abstractNumId w:val="70"/>
  </w:num>
  <w:num w:numId="252">
    <w:abstractNumId w:val="70"/>
  </w:num>
  <w:num w:numId="253">
    <w:abstractNumId w:val="70"/>
  </w:num>
  <w:num w:numId="254">
    <w:abstractNumId w:val="70"/>
  </w:num>
  <w:num w:numId="255">
    <w:abstractNumId w:val="70"/>
  </w:num>
  <w:num w:numId="256">
    <w:abstractNumId w:val="70"/>
  </w:num>
  <w:num w:numId="257">
    <w:abstractNumId w:val="70"/>
  </w:num>
  <w:num w:numId="258">
    <w:abstractNumId w:val="70"/>
  </w:num>
  <w:num w:numId="259">
    <w:abstractNumId w:val="70"/>
  </w:num>
  <w:num w:numId="260">
    <w:abstractNumId w:val="70"/>
  </w:num>
  <w:num w:numId="261">
    <w:abstractNumId w:val="70"/>
  </w:num>
  <w:num w:numId="262">
    <w:abstractNumId w:val="70"/>
  </w:num>
  <w:num w:numId="263">
    <w:abstractNumId w:val="70"/>
  </w:num>
  <w:num w:numId="264">
    <w:abstractNumId w:val="70"/>
  </w:num>
  <w:num w:numId="265">
    <w:abstractNumId w:val="70"/>
  </w:num>
  <w:num w:numId="266">
    <w:abstractNumId w:val="70"/>
  </w:num>
  <w:num w:numId="267">
    <w:abstractNumId w:val="70"/>
  </w:num>
  <w:num w:numId="268">
    <w:abstractNumId w:val="70"/>
  </w:num>
</w:numbering>
</file>

<file path=word/settings.xml><?xml version="1.0" encoding="utf-8"?>
<w:settings xmlns:w="http://schemas.openxmlformats.org/wordprocessingml/2006/main">
  <w:zoom w:percent="98"/>
  <w:trackRevision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59b2"/>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3">
    <w:name w:val="Heading 3"/>
    <w:basedOn w:val="Normal"/>
    <w:next w:val="Normal"/>
    <w:link w:val="3"/>
    <w:semiHidden/>
    <w:unhideWhenUsed/>
    <w:qFormat/>
    <w:rsid w:val="00fc59b2"/>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unhideWhenUsed/>
    <w:qFormat/>
    <w:rPr/>
  </w:style>
  <w:style w:type="character" w:styleId="3" w:customStyle="1">
    <w:name w:val="Заголовок 3 Знак"/>
    <w:basedOn w:val="DefaultParagraphFont"/>
    <w:semiHidden/>
    <w:qFormat/>
    <w:rsid w:val="00fc59b2"/>
    <w:rPr>
      <w:rFonts w:ascii="Cambria" w:hAnsi="Cambria" w:eastAsia="Times New Roman" w:cs="Times New Roman"/>
      <w:b/>
      <w:bCs/>
      <w:color w:val="4F81BD"/>
      <w:sz w:val="20"/>
      <w:szCs w:val="20"/>
      <w:lang w:val="x-none" w:eastAsia="x-none"/>
    </w:rPr>
  </w:style>
  <w:style w:type="character" w:styleId="Style8" w:customStyle="1">
    <w:name w:val="Текст сноски Знак"/>
    <w:basedOn w:val="DefaultParagraphFont"/>
    <w:semiHidden/>
    <w:qFormat/>
    <w:rsid w:val="00fc59b2"/>
    <w:rPr>
      <w:rFonts w:ascii="Times New Roman" w:hAnsi="Times New Roman" w:eastAsia="Times New Roman" w:cs="Times New Roman"/>
      <w:sz w:val="20"/>
      <w:szCs w:val="20"/>
      <w:lang w:eastAsia="ru-RU"/>
    </w:rPr>
  </w:style>
  <w:style w:type="character" w:styleId="Style9" w:customStyle="1">
    <w:name w:val="Абзац списка Знак"/>
    <w:link w:val="ListParagraph"/>
    <w:uiPriority w:val="34"/>
    <w:qFormat/>
    <w:locked/>
    <w:rsid w:val="00fc59b2"/>
    <w:rPr>
      <w:rFonts w:ascii="Times New Roman" w:hAnsi="Times New Roman" w:eastAsia="Times New Roman" w:cs="Times New Roman"/>
      <w:sz w:val="20"/>
      <w:szCs w:val="20"/>
      <w:lang w:eastAsia="ru-RU"/>
    </w:rPr>
  </w:style>
  <w:style w:type="character" w:styleId="Style10" w:customStyle="1">
    <w:name w:val="Символ сноски"/>
    <w:semiHidden/>
    <w:unhideWhenUsed/>
    <w:qFormat/>
    <w:rsid w:val="00fc59b2"/>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semiHidden/>
    <w:unhideWhenUsed/>
    <w:rsid w:val="00fc59b2"/>
    <w:rPr>
      <w:color w:val="0000FF"/>
      <w:u w:val="single"/>
    </w:rPr>
  </w:style>
  <w:style w:type="character" w:styleId="Style11" w:customStyle="1">
    <w:name w:val="Текст выноски Знак"/>
    <w:basedOn w:val="DefaultParagraphFont"/>
    <w:link w:val="BalloonText"/>
    <w:uiPriority w:val="99"/>
    <w:semiHidden/>
    <w:qFormat/>
    <w:rsid w:val="00565810"/>
    <w:rPr>
      <w:rFonts w:ascii="Segoe UI" w:hAnsi="Segoe UI" w:eastAsia="Times New Roman" w:cs="Segoe UI"/>
      <w:sz w:val="18"/>
      <w:szCs w:val="18"/>
      <w:lang w:eastAsia="ru-RU"/>
    </w:rPr>
  </w:style>
  <w:style w:type="character" w:styleId="Annotationreference">
    <w:name w:val="annotation reference"/>
    <w:basedOn w:val="DefaultParagraphFont"/>
    <w:uiPriority w:val="99"/>
    <w:semiHidden/>
    <w:unhideWhenUsed/>
    <w:qFormat/>
    <w:rsid w:val="0097097a"/>
    <w:rPr>
      <w:sz w:val="16"/>
      <w:szCs w:val="16"/>
    </w:rPr>
  </w:style>
  <w:style w:type="character" w:styleId="Style12" w:customStyle="1">
    <w:name w:val="Текст примечания Знак"/>
    <w:basedOn w:val="DefaultParagraphFont"/>
    <w:link w:val="Annotationtext"/>
    <w:uiPriority w:val="99"/>
    <w:semiHidden/>
    <w:qFormat/>
    <w:rsid w:val="0097097a"/>
    <w:rPr>
      <w:rFonts w:ascii="Times New Roman" w:hAnsi="Times New Roman" w:eastAsia="Times New Roman" w:cs="Times New Roman"/>
      <w:sz w:val="20"/>
      <w:szCs w:val="20"/>
      <w:lang w:eastAsia="ru-RU"/>
    </w:rPr>
  </w:style>
  <w:style w:type="character" w:styleId="Style13" w:customStyle="1">
    <w:name w:val="Тема примечания Знак"/>
    <w:basedOn w:val="Style12"/>
    <w:link w:val="Annotationsubject"/>
    <w:uiPriority w:val="99"/>
    <w:semiHidden/>
    <w:qFormat/>
    <w:rsid w:val="0097097a"/>
    <w:rPr>
      <w:rFonts w:ascii="Times New Roman" w:hAnsi="Times New Roman" w:eastAsia="Times New Roman" w:cs="Times New Roman"/>
      <w:b/>
      <w:bCs/>
      <w:sz w:val="20"/>
      <w:szCs w:val="20"/>
      <w:lang w:eastAsia="ru-RU"/>
    </w:rPr>
  </w:style>
  <w:style w:type="character" w:styleId="Linenumber1">
    <w:name w:val="line number1"/>
    <w:qFormat/>
    <w:rPr/>
  </w:style>
  <w:style w:type="character" w:styleId="Style14"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FootnoteText">
    <w:name w:val="Footnote Text"/>
    <w:basedOn w:val="Normal"/>
    <w:link w:val="Style8"/>
    <w:semiHidden/>
    <w:unhideWhenUsed/>
    <w:rsid w:val="00fc59b2"/>
    <w:pPr/>
    <w:rPr/>
  </w:style>
  <w:style w:type="paragraph" w:styleId="ListParagraph">
    <w:name w:val="List Paragraph"/>
    <w:basedOn w:val="Normal"/>
    <w:link w:val="Style9"/>
    <w:uiPriority w:val="34"/>
    <w:qFormat/>
    <w:rsid w:val="00fc59b2"/>
    <w:pPr>
      <w:spacing w:before="0" w:after="0"/>
      <w:ind w:left="720" w:hanging="0"/>
      <w:contextualSpacing/>
    </w:pPr>
    <w:rPr/>
  </w:style>
  <w:style w:type="paragraph" w:styleId="BalloonText">
    <w:name w:val="Balloon Text"/>
    <w:basedOn w:val="Normal"/>
    <w:link w:val="Style11"/>
    <w:uiPriority w:val="99"/>
    <w:semiHidden/>
    <w:unhideWhenUsed/>
    <w:qFormat/>
    <w:rsid w:val="00565810"/>
    <w:pPr/>
    <w:rPr>
      <w:rFonts w:ascii="Segoe UI" w:hAnsi="Segoe UI" w:cs="Segoe UI"/>
      <w:sz w:val="18"/>
      <w:szCs w:val="18"/>
    </w:rPr>
  </w:style>
  <w:style w:type="paragraph" w:styleId="Annotationtext">
    <w:name w:val="annotation text"/>
    <w:basedOn w:val="Normal"/>
    <w:link w:val="Style12"/>
    <w:uiPriority w:val="99"/>
    <w:semiHidden/>
    <w:unhideWhenUsed/>
    <w:qFormat/>
    <w:rsid w:val="0097097a"/>
    <w:pPr/>
    <w:rPr/>
  </w:style>
  <w:style w:type="paragraph" w:styleId="Annotationsubject">
    <w:name w:val="annotation subject"/>
    <w:basedOn w:val="Annotationtext"/>
    <w:next w:val="Annotationtext"/>
    <w:link w:val="Style13"/>
    <w:uiPriority w:val="99"/>
    <w:semiHidden/>
    <w:unhideWhenUsed/>
    <w:qFormat/>
    <w:rsid w:val="0097097a"/>
    <w:pPr/>
    <w:rPr>
      <w:b/>
      <w:bCs/>
    </w:rPr>
  </w:style>
  <w:style w:type="paragraph" w:styleId="Style17" w:customStyle="1">
    <w:name w:val="Колонтитул"/>
    <w:basedOn w:val="Normal"/>
    <w:qFormat/>
    <w:pPr>
      <w:suppressLineNumbers/>
      <w:tabs>
        <w:tab w:val="clear" w:pos="708"/>
        <w:tab w:val="center" w:pos="4818" w:leader="none"/>
        <w:tab w:val="right" w:pos="9637" w:leader="none"/>
      </w:tabs>
    </w:pPr>
    <w:rPr/>
  </w:style>
  <w:style w:type="paragraph" w:styleId="Footer">
    <w:name w:val="Footer"/>
    <w:basedOn w:val="Style17"/>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Application>AlterOffice/3.4.0.9$Linux_X86_64 LibreOffice_project/b8daf9e823b1a5463a2f48435ddc2e8696e7d4fc</Application>
  <AppVersion>15.0000</AppVersion>
  <Pages>17</Pages>
  <Words>6938</Words>
  <Characters>49902</Characters>
  <CharactersWithSpaces>56765</CharactersWithSpaces>
  <Paragraphs>339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2026-03-10T11:24:00Z</dcterms:created>
  <dc:creator>Покровская Елена Николаевна</dc:creator>
  <dc:description/>
  <dc:language>ru-RU</dc:language>
  <cp:lastModifiedBy/>
  <dcterms:modified xsi:type="dcterms:W3CDTF">2026-05-15T12:59:51Z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