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F0435" w14:textId="60EDBFB1" w:rsidR="006C7BC8" w:rsidRPr="00645613" w:rsidRDefault="006C7BC8" w:rsidP="0064561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45613">
        <w:rPr>
          <w:rFonts w:ascii="Times New Roman" w:hAnsi="Times New Roman"/>
          <w:sz w:val="24"/>
          <w:szCs w:val="24"/>
        </w:rPr>
        <w:t>Приложение № 6</w:t>
      </w:r>
    </w:p>
    <w:p w14:paraId="1BDFD038" w14:textId="15C828CB" w:rsidR="006C7BC8" w:rsidRDefault="006C7BC8" w:rsidP="0064561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45613">
        <w:rPr>
          <w:rFonts w:ascii="Times New Roman" w:hAnsi="Times New Roman"/>
          <w:sz w:val="24"/>
          <w:szCs w:val="24"/>
        </w:rPr>
        <w:t>к Техническому заданию</w:t>
      </w:r>
    </w:p>
    <w:p w14:paraId="3AD1B3A9" w14:textId="77777777" w:rsidR="00CD537E" w:rsidRPr="00645613" w:rsidRDefault="00CD537E" w:rsidP="0064561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60B0A2A" w14:textId="77E13556" w:rsidR="003331FB" w:rsidRPr="003765B8" w:rsidRDefault="003331FB" w:rsidP="003331FB">
      <w:pPr>
        <w:pStyle w:val="11"/>
        <w:numPr>
          <w:ilvl w:val="0"/>
          <w:numId w:val="3"/>
        </w:numPr>
        <w:spacing w:before="0" w:after="0"/>
        <w:ind w:left="709" w:hanging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ТРЕБОВАНИЯ К </w:t>
      </w:r>
      <w:r w:rsidR="00CD537E">
        <w:rPr>
          <w:color w:val="auto"/>
          <w:sz w:val="24"/>
          <w:szCs w:val="24"/>
        </w:rPr>
        <w:t xml:space="preserve">ОКАЗАНИЮ УСЛУГ ПО </w:t>
      </w:r>
      <w:r>
        <w:rPr>
          <w:color w:val="auto"/>
          <w:sz w:val="24"/>
          <w:szCs w:val="24"/>
        </w:rPr>
        <w:t>СОПРОВОЖДЕНИЮ</w:t>
      </w:r>
      <w:r w:rsidR="00CD537E">
        <w:rPr>
          <w:color w:val="auto"/>
          <w:sz w:val="24"/>
          <w:szCs w:val="24"/>
        </w:rPr>
        <w:t xml:space="preserve"> СИСТЕМЫ</w:t>
      </w:r>
    </w:p>
    <w:p w14:paraId="5091E225" w14:textId="77777777" w:rsidR="003331FB" w:rsidRDefault="003331FB" w:rsidP="003331FB">
      <w:pPr>
        <w:pStyle w:val="21"/>
        <w:spacing w:before="0" w:line="240" w:lineRule="auto"/>
        <w:rPr>
          <w:rFonts w:cs="Times New Roman"/>
          <w:szCs w:val="24"/>
        </w:rPr>
      </w:pPr>
    </w:p>
    <w:p w14:paraId="079D8D12" w14:textId="77777777" w:rsidR="003331FB" w:rsidRPr="003765B8" w:rsidRDefault="003331FB" w:rsidP="003331FB">
      <w:pPr>
        <w:pStyle w:val="21"/>
        <w:numPr>
          <w:ilvl w:val="1"/>
          <w:numId w:val="1"/>
        </w:numPr>
        <w:spacing w:before="0" w:line="240" w:lineRule="auto"/>
        <w:ind w:left="360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Общие сведения</w:t>
      </w:r>
    </w:p>
    <w:p w14:paraId="4239A708" w14:textId="365AD5D2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Настоящие требования описывают требования АО «Почта России» к оказанию комплекса услуг по сопровождению Системы, включающих в себя оказание услуг по обработке заявок на устранение инцидентов и ЗНО.</w:t>
      </w:r>
    </w:p>
    <w:p w14:paraId="38C9C04A" w14:textId="77777777" w:rsidR="003331FB" w:rsidRPr="003765B8" w:rsidRDefault="003331FB" w:rsidP="003331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29D51" w14:textId="77777777" w:rsidR="003331FB" w:rsidRPr="003765B8" w:rsidRDefault="003331FB" w:rsidP="003331FB">
      <w:pPr>
        <w:pStyle w:val="21"/>
        <w:numPr>
          <w:ilvl w:val="1"/>
          <w:numId w:val="1"/>
        </w:numPr>
        <w:spacing w:before="0" w:line="240" w:lineRule="auto"/>
        <w:ind w:left="360"/>
        <w:rPr>
          <w:rFonts w:cs="Times New Roman"/>
          <w:szCs w:val="24"/>
        </w:rPr>
      </w:pPr>
      <w:bookmarkStart w:id="0" w:name="_Toc527463586"/>
      <w:bookmarkStart w:id="1" w:name="_Toc92934702"/>
      <w:r w:rsidRPr="003765B8">
        <w:rPr>
          <w:rFonts w:cs="Times New Roman"/>
          <w:szCs w:val="24"/>
        </w:rPr>
        <w:t>Требования к исполнителю</w:t>
      </w:r>
      <w:bookmarkEnd w:id="0"/>
      <w:bookmarkEnd w:id="1"/>
    </w:p>
    <w:p w14:paraId="46B9FC60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В рамках услуг по сопровождению Системы должно быть обеспечено устранение выявленных уязвимостей и несоответствий требованиям ИБ (по требованию Заказчика).</w:t>
      </w:r>
    </w:p>
    <w:p w14:paraId="6813C172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</w:p>
    <w:p w14:paraId="58F112B2" w14:textId="77777777" w:rsidR="003331FB" w:rsidRPr="003765B8" w:rsidRDefault="003331FB" w:rsidP="003331FB">
      <w:pPr>
        <w:pStyle w:val="21"/>
        <w:numPr>
          <w:ilvl w:val="1"/>
          <w:numId w:val="1"/>
        </w:numPr>
        <w:spacing w:before="0" w:line="240" w:lineRule="auto"/>
        <w:ind w:left="360"/>
        <w:rPr>
          <w:rFonts w:cs="Times New Roman"/>
          <w:szCs w:val="24"/>
        </w:rPr>
      </w:pPr>
      <w:bookmarkStart w:id="2" w:name="_Toc92934703"/>
      <w:r w:rsidRPr="003765B8">
        <w:rPr>
          <w:rFonts w:cs="Times New Roman"/>
          <w:szCs w:val="24"/>
        </w:rPr>
        <w:t>Требования к услугам сопровождения Системы</w:t>
      </w:r>
      <w:bookmarkEnd w:id="2"/>
    </w:p>
    <w:p w14:paraId="3367202A" w14:textId="77777777" w:rsidR="003331FB" w:rsidRPr="003765B8" w:rsidRDefault="003331FB" w:rsidP="00333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Поддержка работоспособности Системы должна быть организована согласно целевой схемы маршрутизации обращений пользователей в системе АСУИП (Naumen ServiceDesk) совместно со специалистами Исполнителя и Заказчика. Должны выполняться следующие функции:</w:t>
      </w:r>
    </w:p>
    <w:p w14:paraId="1649BB82" w14:textId="77777777" w:rsidR="003331FB" w:rsidRPr="003765B8" w:rsidRDefault="003331FB" w:rsidP="003331F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Прием заявок, зарегистрированных в системе АСУИП (Naumen ServiceDesk) Заказчика.</w:t>
      </w:r>
    </w:p>
    <w:p w14:paraId="25AB324F" w14:textId="77777777" w:rsidR="003331FB" w:rsidRPr="003765B8" w:rsidRDefault="003331FB" w:rsidP="003331F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Регистрация заявок пользователей в системе АСУИП (Naumen ServiceDesk) Заказчика.</w:t>
      </w:r>
    </w:p>
    <w:p w14:paraId="33B5D080" w14:textId="77777777" w:rsidR="003331FB" w:rsidRPr="003765B8" w:rsidRDefault="003331FB" w:rsidP="003331F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Разрешение текущих заявок пользователей.</w:t>
      </w:r>
    </w:p>
    <w:p w14:paraId="610C8322" w14:textId="77777777" w:rsidR="003331FB" w:rsidRPr="003765B8" w:rsidRDefault="003331FB" w:rsidP="003331F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Эскалация (передача зарегистрированных, но не решенных) заявок представителю Заказчика.</w:t>
      </w:r>
    </w:p>
    <w:p w14:paraId="380F97E1" w14:textId="77777777" w:rsidR="003331FB" w:rsidRPr="003765B8" w:rsidRDefault="003331FB" w:rsidP="003331F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Закрытие разрешенных заявок конечных пользователей.</w:t>
      </w:r>
    </w:p>
    <w:p w14:paraId="49425520" w14:textId="77777777" w:rsidR="003331FB" w:rsidRPr="003765B8" w:rsidRDefault="003331FB" w:rsidP="003331F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Выполнение необходимых настроек Системы по поступающим заявкам.</w:t>
      </w:r>
    </w:p>
    <w:p w14:paraId="10C883EB" w14:textId="77777777" w:rsidR="003331FB" w:rsidRPr="003765B8" w:rsidRDefault="003331FB" w:rsidP="003331F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Консультирование функциональных специалистов Заказчика в пределах своей компетенции.</w:t>
      </w:r>
    </w:p>
    <w:p w14:paraId="7779994C" w14:textId="77777777" w:rsidR="003331FB" w:rsidRPr="003765B8" w:rsidRDefault="003331FB" w:rsidP="003331F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Консультации по вопросам настройки комплекса технических средств, на котором эксплуатируется Система.</w:t>
      </w:r>
    </w:p>
    <w:p w14:paraId="0EFAEB07" w14:textId="77777777" w:rsidR="003331FB" w:rsidRPr="003765B8" w:rsidRDefault="003331FB" w:rsidP="003331F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Фиксация и исправление ошибок в Системе.</w:t>
      </w:r>
    </w:p>
    <w:p w14:paraId="4B172D1B" w14:textId="77777777" w:rsidR="003331FB" w:rsidRPr="003765B8" w:rsidRDefault="003331FB" w:rsidP="00333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2A3C2D" w14:textId="263F9D27" w:rsidR="003331FB" w:rsidRPr="003765B8" w:rsidRDefault="003331FB" w:rsidP="003331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 xml:space="preserve">При изменениях в работе Системы по итогам услуг сопровождения </w:t>
      </w:r>
      <w:r w:rsidR="00C02036">
        <w:rPr>
          <w:rFonts w:ascii="Times New Roman" w:hAnsi="Times New Roman"/>
          <w:sz w:val="24"/>
          <w:szCs w:val="24"/>
        </w:rPr>
        <w:t xml:space="preserve">Исполнителем </w:t>
      </w:r>
      <w:r w:rsidRPr="003765B8">
        <w:rPr>
          <w:rFonts w:ascii="Times New Roman" w:hAnsi="Times New Roman"/>
          <w:sz w:val="24"/>
          <w:szCs w:val="24"/>
        </w:rPr>
        <w:t>актуализируется проектная документация.</w:t>
      </w:r>
    </w:p>
    <w:p w14:paraId="16535C3F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bookmarkStart w:id="3" w:name="_GoBack"/>
      <w:bookmarkEnd w:id="3"/>
    </w:p>
    <w:p w14:paraId="1706A4D2" w14:textId="77777777" w:rsidR="003331FB" w:rsidRPr="003765B8" w:rsidRDefault="003331FB" w:rsidP="003331FB">
      <w:pPr>
        <w:pStyle w:val="21"/>
        <w:numPr>
          <w:ilvl w:val="1"/>
          <w:numId w:val="1"/>
        </w:numPr>
        <w:spacing w:before="0" w:line="240" w:lineRule="auto"/>
        <w:ind w:left="360"/>
        <w:rPr>
          <w:rFonts w:cs="Times New Roman"/>
          <w:szCs w:val="24"/>
        </w:rPr>
      </w:pPr>
      <w:bookmarkStart w:id="4" w:name="_Toc92934704"/>
      <w:r w:rsidRPr="003765B8">
        <w:rPr>
          <w:rFonts w:cs="Times New Roman"/>
          <w:szCs w:val="24"/>
        </w:rPr>
        <w:t>Уровень доступности системы</w:t>
      </w:r>
      <w:bookmarkEnd w:id="4"/>
    </w:p>
    <w:p w14:paraId="74EDCE26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При размещении на технической площадке, удовлетворяющей требованиям эксплуатационной документации, Система должна обеспечивать высокий уровень доступности за исключением технологических окон для технического обслуживания или обновления системы, согласованных с Заказчиком. Серверные компоненты Системы должны обеспечивать уровень доступности Системы 90% в режиме 24 часа 7 дней в неделю, без учета регламентного технического обслуживания.</w:t>
      </w:r>
    </w:p>
    <w:p w14:paraId="620A7B0B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К простоям относится полный отказ Системы вследствие сбоев в программном и аппаратном обеспечении Системы. Технологические окна для обслуживания Системы к простою не относятся. В случае, если простой произошел по причине сбоя на предоставленном оборудовании Заказчика, время простоя Системы не учитывается в рамках расчета уровня доступности Исполнителя.</w:t>
      </w:r>
    </w:p>
    <w:p w14:paraId="471F3CEC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lastRenderedPageBreak/>
        <w:t>Допустимое время простоя системы, включая клиентские программные компоненты приведено в таблице ниже:</w:t>
      </w:r>
    </w:p>
    <w:p w14:paraId="1471011B" w14:textId="77777777" w:rsidR="003331FB" w:rsidRPr="003765B8" w:rsidRDefault="003331FB" w:rsidP="003331FB">
      <w:pPr>
        <w:pStyle w:val="a7"/>
        <w:spacing w:after="0"/>
        <w:rPr>
          <w:sz w:val="24"/>
          <w:szCs w:val="24"/>
        </w:rPr>
      </w:pPr>
      <w:bookmarkStart w:id="5" w:name="_Ref74156621"/>
      <w:r w:rsidRPr="003765B8">
        <w:rPr>
          <w:sz w:val="24"/>
          <w:szCs w:val="24"/>
        </w:rPr>
        <w:t xml:space="preserve">Таблица </w:t>
      </w:r>
      <w:bookmarkEnd w:id="5"/>
      <w:r w:rsidRPr="003765B8">
        <w:rPr>
          <w:sz w:val="24"/>
          <w:szCs w:val="24"/>
        </w:rPr>
        <w:t xml:space="preserve">2. Допустимое время простоя, расчет 30 дневного месяца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2611"/>
        <w:gridCol w:w="4409"/>
      </w:tblGrid>
      <w:tr w:rsidR="003331FB" w:rsidRPr="003765B8" w14:paraId="722C9B88" w14:textId="77777777" w:rsidTr="00184C69">
        <w:trPr>
          <w:trHeight w:val="450"/>
        </w:trPr>
        <w:tc>
          <w:tcPr>
            <w:tcW w:w="1244" w:type="pct"/>
            <w:shd w:val="clear" w:color="auto" w:fill="FFFFFF" w:themeFill="background1"/>
            <w:vAlign w:val="center"/>
          </w:tcPr>
          <w:p w14:paraId="4E441457" w14:textId="77777777" w:rsidR="003331FB" w:rsidRPr="003765B8" w:rsidRDefault="003331FB" w:rsidP="00184C69">
            <w:pPr>
              <w:pStyle w:val="ad"/>
              <w:suppressAutoHyphens/>
              <w:spacing w:before="0" w:after="0" w:line="240" w:lineRule="auto"/>
              <w:ind w:left="-110" w:right="-11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765B8">
              <w:rPr>
                <w:rFonts w:ascii="Times New Roman" w:hAnsi="Times New Roman"/>
                <w:b/>
                <w:sz w:val="24"/>
                <w:szCs w:val="24"/>
              </w:rPr>
              <w:t>Время простоя</w:t>
            </w:r>
          </w:p>
        </w:tc>
        <w:tc>
          <w:tcPr>
            <w:tcW w:w="1397" w:type="pct"/>
            <w:shd w:val="clear" w:color="auto" w:fill="FFFFFF" w:themeFill="background1"/>
            <w:vAlign w:val="center"/>
          </w:tcPr>
          <w:p w14:paraId="24CD3BE7" w14:textId="77777777" w:rsidR="003331FB" w:rsidRPr="003765B8" w:rsidRDefault="003331FB" w:rsidP="00184C69">
            <w:pPr>
              <w:pStyle w:val="ad"/>
              <w:suppressAutoHyphens/>
              <w:spacing w:before="0" w:after="0" w:line="240" w:lineRule="auto"/>
              <w:ind w:left="5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765B8">
              <w:rPr>
                <w:rFonts w:ascii="Times New Roman" w:hAnsi="Times New Roman"/>
                <w:b/>
                <w:sz w:val="24"/>
                <w:szCs w:val="24"/>
              </w:rPr>
              <w:t>Влияние на работу бизнеса</w:t>
            </w:r>
          </w:p>
        </w:tc>
        <w:tc>
          <w:tcPr>
            <w:tcW w:w="2360" w:type="pct"/>
            <w:shd w:val="clear" w:color="auto" w:fill="FFFFFF" w:themeFill="background1"/>
            <w:vAlign w:val="center"/>
          </w:tcPr>
          <w:p w14:paraId="707FCEC7" w14:textId="77777777" w:rsidR="003331FB" w:rsidRPr="003765B8" w:rsidRDefault="003331FB" w:rsidP="00184C69">
            <w:pPr>
              <w:pStyle w:val="ad"/>
              <w:suppressAutoHyphens/>
              <w:spacing w:before="0" w:after="0" w:line="240" w:lineRule="auto"/>
              <w:ind w:left="78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765B8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3331FB" w:rsidRPr="003765B8" w14:paraId="002276D8" w14:textId="77777777" w:rsidTr="00184C69">
        <w:trPr>
          <w:trHeight w:val="572"/>
        </w:trPr>
        <w:tc>
          <w:tcPr>
            <w:tcW w:w="1244" w:type="pct"/>
            <w:vAlign w:val="center"/>
          </w:tcPr>
          <w:p w14:paraId="34579855" w14:textId="77777777" w:rsidR="003331FB" w:rsidRPr="003765B8" w:rsidRDefault="003331FB" w:rsidP="00184C69">
            <w:pPr>
              <w:pStyle w:val="ab"/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765B8">
              <w:rPr>
                <w:sz w:val="24"/>
                <w:szCs w:val="24"/>
              </w:rPr>
              <w:t>До 10  часов</w:t>
            </w:r>
          </w:p>
        </w:tc>
        <w:tc>
          <w:tcPr>
            <w:tcW w:w="1397" w:type="pct"/>
            <w:vAlign w:val="center"/>
          </w:tcPr>
          <w:p w14:paraId="1F7BCC53" w14:textId="77777777" w:rsidR="003331FB" w:rsidRPr="003765B8" w:rsidRDefault="003331FB" w:rsidP="00184C69">
            <w:pPr>
              <w:pStyle w:val="ab"/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765B8">
              <w:rPr>
                <w:sz w:val="24"/>
                <w:szCs w:val="24"/>
              </w:rPr>
              <w:t>Малое</w:t>
            </w:r>
          </w:p>
        </w:tc>
        <w:tc>
          <w:tcPr>
            <w:tcW w:w="2360" w:type="pct"/>
            <w:vAlign w:val="center"/>
          </w:tcPr>
          <w:p w14:paraId="6B5A3EA7" w14:textId="77777777" w:rsidR="003331FB" w:rsidRPr="003765B8" w:rsidRDefault="003331FB" w:rsidP="00184C69">
            <w:pPr>
              <w:pStyle w:val="ab"/>
              <w:suppressAutoHyphens/>
              <w:spacing w:after="0" w:line="240" w:lineRule="auto"/>
              <w:ind w:left="78" w:firstLine="0"/>
              <w:jc w:val="left"/>
              <w:rPr>
                <w:sz w:val="24"/>
                <w:szCs w:val="24"/>
              </w:rPr>
            </w:pPr>
            <w:r w:rsidRPr="003765B8">
              <w:rPr>
                <w:sz w:val="24"/>
                <w:szCs w:val="24"/>
              </w:rPr>
              <w:t>Допустимо один раз в неделю в рабочее время сотрудников по местному времени ОПС</w:t>
            </w:r>
          </w:p>
        </w:tc>
      </w:tr>
      <w:tr w:rsidR="003331FB" w:rsidRPr="003765B8" w14:paraId="7F53EAA4" w14:textId="77777777" w:rsidTr="00184C69">
        <w:trPr>
          <w:trHeight w:val="465"/>
        </w:trPr>
        <w:tc>
          <w:tcPr>
            <w:tcW w:w="1244" w:type="pct"/>
            <w:vAlign w:val="center"/>
          </w:tcPr>
          <w:p w14:paraId="4535FEC8" w14:textId="77777777" w:rsidR="003331FB" w:rsidRPr="003765B8" w:rsidRDefault="003331FB" w:rsidP="00184C69">
            <w:pPr>
              <w:pStyle w:val="ab"/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765B8">
              <w:rPr>
                <w:sz w:val="24"/>
                <w:szCs w:val="24"/>
              </w:rPr>
              <w:t>До 18 часов</w:t>
            </w:r>
          </w:p>
        </w:tc>
        <w:tc>
          <w:tcPr>
            <w:tcW w:w="1397" w:type="pct"/>
            <w:vAlign w:val="center"/>
          </w:tcPr>
          <w:p w14:paraId="437C0EFB" w14:textId="77777777" w:rsidR="003331FB" w:rsidRPr="003765B8" w:rsidRDefault="003331FB" w:rsidP="00184C69">
            <w:pPr>
              <w:pStyle w:val="ab"/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765B8">
              <w:rPr>
                <w:sz w:val="24"/>
                <w:szCs w:val="24"/>
              </w:rPr>
              <w:t>Заметное</w:t>
            </w:r>
          </w:p>
        </w:tc>
        <w:tc>
          <w:tcPr>
            <w:tcW w:w="2360" w:type="pct"/>
            <w:vAlign w:val="center"/>
          </w:tcPr>
          <w:p w14:paraId="0957909F" w14:textId="77777777" w:rsidR="003331FB" w:rsidRPr="003765B8" w:rsidRDefault="003331FB" w:rsidP="00184C69">
            <w:pPr>
              <w:pStyle w:val="ab"/>
              <w:suppressAutoHyphens/>
              <w:spacing w:after="0" w:line="240" w:lineRule="auto"/>
              <w:ind w:left="78" w:firstLine="0"/>
              <w:jc w:val="left"/>
              <w:rPr>
                <w:sz w:val="24"/>
                <w:szCs w:val="24"/>
              </w:rPr>
            </w:pPr>
            <w:r w:rsidRPr="003765B8">
              <w:rPr>
                <w:sz w:val="24"/>
                <w:szCs w:val="24"/>
              </w:rPr>
              <w:t>Допустимо раз в месяц в рабочее время сотрудников по местному времени ОПС</w:t>
            </w:r>
          </w:p>
        </w:tc>
      </w:tr>
      <w:tr w:rsidR="003331FB" w:rsidRPr="003765B8" w14:paraId="3080E0F6" w14:textId="77777777" w:rsidTr="00184C69">
        <w:trPr>
          <w:trHeight w:val="465"/>
        </w:trPr>
        <w:tc>
          <w:tcPr>
            <w:tcW w:w="1244" w:type="pct"/>
            <w:vAlign w:val="center"/>
          </w:tcPr>
          <w:p w14:paraId="515D8F56" w14:textId="77777777" w:rsidR="003331FB" w:rsidRPr="003765B8" w:rsidRDefault="003331FB" w:rsidP="00184C69">
            <w:pPr>
              <w:pStyle w:val="ab"/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765B8">
              <w:rPr>
                <w:sz w:val="24"/>
                <w:szCs w:val="24"/>
              </w:rPr>
              <w:t>До 24 часов</w:t>
            </w:r>
          </w:p>
        </w:tc>
        <w:tc>
          <w:tcPr>
            <w:tcW w:w="1397" w:type="pct"/>
            <w:vAlign w:val="center"/>
          </w:tcPr>
          <w:p w14:paraId="0D50B687" w14:textId="77777777" w:rsidR="003331FB" w:rsidRPr="003765B8" w:rsidRDefault="003331FB" w:rsidP="00184C69">
            <w:pPr>
              <w:pStyle w:val="ab"/>
              <w:suppressAutoHyphens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765B8">
              <w:rPr>
                <w:sz w:val="24"/>
                <w:szCs w:val="24"/>
              </w:rPr>
              <w:t>Серьезное</w:t>
            </w:r>
          </w:p>
        </w:tc>
        <w:tc>
          <w:tcPr>
            <w:tcW w:w="2360" w:type="pct"/>
            <w:vAlign w:val="center"/>
          </w:tcPr>
          <w:p w14:paraId="6C771C2D" w14:textId="77777777" w:rsidR="003331FB" w:rsidRPr="003765B8" w:rsidRDefault="003331FB" w:rsidP="00184C69">
            <w:pPr>
              <w:pStyle w:val="ab"/>
              <w:suppressAutoHyphens/>
              <w:spacing w:after="0" w:line="240" w:lineRule="auto"/>
              <w:ind w:left="78" w:firstLine="0"/>
              <w:jc w:val="left"/>
              <w:rPr>
                <w:sz w:val="24"/>
                <w:szCs w:val="24"/>
              </w:rPr>
            </w:pPr>
            <w:r w:rsidRPr="003765B8">
              <w:rPr>
                <w:sz w:val="24"/>
                <w:szCs w:val="24"/>
              </w:rPr>
              <w:t>Допустимо раз в 3 месяца в рабочее время сотрудников по местному времени ОПС</w:t>
            </w:r>
          </w:p>
        </w:tc>
      </w:tr>
    </w:tbl>
    <w:p w14:paraId="5B430586" w14:textId="77777777" w:rsidR="003331FB" w:rsidRPr="003765B8" w:rsidRDefault="003331FB" w:rsidP="003331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7BC73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Время работы клиентской части Системы 12 часов в день 7 дней в неделю.</w:t>
      </w:r>
    </w:p>
    <w:p w14:paraId="3645484B" w14:textId="77777777" w:rsidR="003331FB" w:rsidRPr="003765B8" w:rsidRDefault="003331FB" w:rsidP="003331FB">
      <w:pPr>
        <w:pStyle w:val="21"/>
        <w:numPr>
          <w:ilvl w:val="1"/>
          <w:numId w:val="1"/>
        </w:numPr>
        <w:spacing w:before="0" w:line="240" w:lineRule="auto"/>
        <w:ind w:left="360"/>
        <w:rPr>
          <w:rFonts w:cs="Times New Roman"/>
          <w:szCs w:val="24"/>
        </w:rPr>
      </w:pPr>
      <w:bookmarkStart w:id="6" w:name="_Toc74668700"/>
      <w:bookmarkStart w:id="7" w:name="_Toc86678519"/>
      <w:bookmarkStart w:id="8" w:name="_Toc86678674"/>
      <w:bookmarkStart w:id="9" w:name="_Toc89880047"/>
      <w:bookmarkStart w:id="10" w:name="_Toc89890215"/>
      <w:bookmarkStart w:id="11" w:name="_Toc92934354"/>
      <w:bookmarkStart w:id="12" w:name="_Toc92934470"/>
      <w:bookmarkStart w:id="13" w:name="_Toc92934587"/>
      <w:bookmarkStart w:id="14" w:name="_Toc92934705"/>
      <w:bookmarkStart w:id="15" w:name="_Toc92934357"/>
      <w:bookmarkStart w:id="16" w:name="_Toc92934473"/>
      <w:bookmarkStart w:id="17" w:name="_Toc92934590"/>
      <w:bookmarkStart w:id="18" w:name="_Toc92934708"/>
      <w:bookmarkStart w:id="19" w:name="_Toc92934358"/>
      <w:bookmarkStart w:id="20" w:name="_Toc92934474"/>
      <w:bookmarkStart w:id="21" w:name="_Toc92934591"/>
      <w:bookmarkStart w:id="22" w:name="_Toc92934709"/>
      <w:bookmarkStart w:id="23" w:name="_Toc92934360"/>
      <w:bookmarkStart w:id="24" w:name="_Toc92934476"/>
      <w:bookmarkStart w:id="25" w:name="_Toc92934593"/>
      <w:bookmarkStart w:id="26" w:name="_Toc92934711"/>
      <w:bookmarkStart w:id="27" w:name="_Toc92934361"/>
      <w:bookmarkStart w:id="28" w:name="_Toc92934477"/>
      <w:bookmarkStart w:id="29" w:name="_Toc92934594"/>
      <w:bookmarkStart w:id="30" w:name="_Toc92934712"/>
      <w:bookmarkStart w:id="31" w:name="_Toc92934364"/>
      <w:bookmarkStart w:id="32" w:name="_Toc92934480"/>
      <w:bookmarkStart w:id="33" w:name="_Toc92934597"/>
      <w:bookmarkStart w:id="34" w:name="_Toc92934715"/>
      <w:bookmarkStart w:id="35" w:name="_Toc92934365"/>
      <w:bookmarkStart w:id="36" w:name="_Toc92934481"/>
      <w:bookmarkStart w:id="37" w:name="_Toc92934598"/>
      <w:bookmarkStart w:id="38" w:name="_Toc92934716"/>
      <w:bookmarkStart w:id="39" w:name="_Toc92934382"/>
      <w:bookmarkStart w:id="40" w:name="_Toc92934498"/>
      <w:bookmarkStart w:id="41" w:name="_Toc92934615"/>
      <w:bookmarkStart w:id="42" w:name="_Toc92934733"/>
      <w:bookmarkStart w:id="43" w:name="_Toc92934383"/>
      <w:bookmarkStart w:id="44" w:name="_Toc92934499"/>
      <w:bookmarkStart w:id="45" w:name="_Toc92934616"/>
      <w:bookmarkStart w:id="46" w:name="_Toc92934734"/>
      <w:bookmarkStart w:id="47" w:name="_Toc509613286"/>
      <w:bookmarkStart w:id="48" w:name="_Toc511123983"/>
      <w:bookmarkStart w:id="49" w:name="_Toc511130945"/>
      <w:bookmarkStart w:id="50" w:name="_Toc509613287"/>
      <w:bookmarkStart w:id="51" w:name="_Toc511123984"/>
      <w:bookmarkStart w:id="52" w:name="_Toc511130946"/>
      <w:bookmarkStart w:id="53" w:name="_Toc527463587"/>
      <w:bookmarkStart w:id="54" w:name="_Toc9293473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3765B8">
        <w:rPr>
          <w:rFonts w:cs="Times New Roman"/>
          <w:szCs w:val="24"/>
        </w:rPr>
        <w:t>Порядок обработки запросов на обслуживание</w:t>
      </w:r>
      <w:bookmarkEnd w:id="53"/>
      <w:bookmarkEnd w:id="54"/>
    </w:p>
    <w:p w14:paraId="1AF327C9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Запросы направляются сотрудниками Заказчика Исполнителю посредством системы АСУИП (Naumen ServiceDesk) Заказчика.</w:t>
      </w:r>
    </w:p>
    <w:p w14:paraId="7D4A08E2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Каждый запрос, поступивший Исполнителю, регистрируется посредством системы АСУИП (Naumen ServiceDesk) Заказчика. Соответствующий доступ Исполнителю к Системе АСУИП должен быть предоставлен Заказчиком в течение 20 рабочих дней со дня подписания Контракта на основании письма от Исполнителя с указанием ФИО и адреса электронной почты представителей Исполнителя, которым необходимо предоставить доступ. Каждому запросу присваивается уникальный номер.</w:t>
      </w:r>
    </w:p>
    <w:p w14:paraId="1C43AF27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Запрос должен содержать описание инцидента или задачи.</w:t>
      </w:r>
    </w:p>
    <w:p w14:paraId="6BA3381E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Исполнитель имеет право направить заявителю уточняющие вопросы.</w:t>
      </w:r>
    </w:p>
    <w:p w14:paraId="6FACC5A4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При решении возникшей задачи или инцидента, Исполнителем делается запись с указанием вызвавших ее причин. Так же, Исполнителем производится ежемесячный анализ причин возникновения проблем, и делаются предложения Заказчику о внесении изменений в Систему для устранения часто возникающих проблем. При согласовании предложенных изменений в Системе Исполнитель реализует их и применяет к Системе в рамках оказания услуг по сопровождению Системы.</w:t>
      </w:r>
    </w:p>
    <w:p w14:paraId="52271066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Моментом приема заявки является регистрация обращения в АСУИП.</w:t>
      </w:r>
    </w:p>
    <w:p w14:paraId="3FAD0194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Ответственность за восстановление работоспособности Системы лежит на стороне Заказчика в случаях, когда возникновение запроса вызвано перебоями:</w:t>
      </w:r>
    </w:p>
    <w:p w14:paraId="6B227383" w14:textId="77777777" w:rsidR="003331FB" w:rsidRPr="003765B8" w:rsidRDefault="003331FB" w:rsidP="003331F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В работе оборудования.</w:t>
      </w:r>
    </w:p>
    <w:p w14:paraId="23B6663F" w14:textId="77777777" w:rsidR="003331FB" w:rsidRPr="003765B8" w:rsidRDefault="003331FB" w:rsidP="003331F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В работе операционной системы серверов Системы.</w:t>
      </w:r>
    </w:p>
    <w:p w14:paraId="277D49E4" w14:textId="77777777" w:rsidR="003331FB" w:rsidRPr="003765B8" w:rsidRDefault="003331FB" w:rsidP="003331F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В работе каналов связи между серверами Системы.</w:t>
      </w:r>
    </w:p>
    <w:p w14:paraId="0C8882DA" w14:textId="77777777" w:rsidR="003331FB" w:rsidRPr="003765B8" w:rsidRDefault="003331FB" w:rsidP="003331F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В работе каналов связи для доступа Пользователей к Системе.</w:t>
      </w:r>
    </w:p>
    <w:p w14:paraId="6C10A28F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В этих случаях время восстановления работоспособности оборудования, операционных систем и каналов связи не учитывается при расчете времени восстановления. При этом Исполнитель обязан незамедлительно оповестить ответственных за систему со стороны Заказчика и дежурного инженера Заказчика о сути, последствиях и предполагаемых причинах проблемы.</w:t>
      </w:r>
    </w:p>
    <w:p w14:paraId="55393F16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В остальных случаях ответственность за восстановление работоспособности Системы лежит на стороне Исполнителя, не считая случаев, вызванных форс-мажорными обстоятельствами.</w:t>
      </w:r>
    </w:p>
    <w:p w14:paraId="103601A4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По завершении обработки заявки, Исполнитель уведомляет об этом автора запроса по Системе АСУИП (Naumen ServiceDesk) Заказчика. Исполнителю допускается обработка в срок 90% заявок.</w:t>
      </w:r>
    </w:p>
    <w:p w14:paraId="02E9B178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lastRenderedPageBreak/>
        <w:t>В ходе обработки запросов на обслуживание должно обеспечиваться выполнение требований Стандарта «Обеспечение информационной безопасности при разработке или модернизации информационных систем и приложений АО «Почта России»» от 16 января 2020 года.</w:t>
      </w:r>
    </w:p>
    <w:p w14:paraId="5A4A079B" w14:textId="77777777" w:rsidR="003331FB" w:rsidRPr="003765B8" w:rsidRDefault="003331FB" w:rsidP="003331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12BC4C" w14:textId="77777777" w:rsidR="003331FB" w:rsidRPr="003765B8" w:rsidRDefault="003331FB" w:rsidP="003331FB">
      <w:pPr>
        <w:pStyle w:val="21"/>
        <w:numPr>
          <w:ilvl w:val="1"/>
          <w:numId w:val="1"/>
        </w:numPr>
        <w:spacing w:before="0" w:line="240" w:lineRule="auto"/>
        <w:ind w:left="360"/>
        <w:rPr>
          <w:rFonts w:cs="Times New Roman"/>
          <w:szCs w:val="24"/>
        </w:rPr>
      </w:pPr>
      <w:bookmarkStart w:id="55" w:name="_Toc527463588"/>
      <w:bookmarkStart w:id="56" w:name="_Toc92934736"/>
      <w:r w:rsidRPr="003765B8">
        <w:rPr>
          <w:rFonts w:cs="Times New Roman"/>
          <w:szCs w:val="24"/>
        </w:rPr>
        <w:t>Порядок работы с Базой Знаний</w:t>
      </w:r>
      <w:bookmarkEnd w:id="55"/>
      <w:bookmarkEnd w:id="56"/>
    </w:p>
    <w:p w14:paraId="1ACE8B2D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Сотрудники, осуществляющие сопровождение Системы со стороны Исполнителя, должны дополнять Базу Знаний Заказчика вариантами решения инцидентов и заявок. В карточке статьи Базы Знаний необходимо наиболее полно указывать информацию об излагаемом предмете.</w:t>
      </w:r>
    </w:p>
    <w:p w14:paraId="00BDEF7B" w14:textId="77777777" w:rsidR="003331FB" w:rsidRPr="003765B8" w:rsidRDefault="003331FB" w:rsidP="003331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Вся накопленная в период разработки, внедрения, тиражирования, осуществления поддержки и сопровождения база знаний в обязательном порядке предается Исполнителем Заказчику в документированном в виде.</w:t>
      </w:r>
    </w:p>
    <w:p w14:paraId="1198E2A8" w14:textId="77777777" w:rsidR="003331FB" w:rsidRPr="003765B8" w:rsidRDefault="003331FB" w:rsidP="003331FB">
      <w:pPr>
        <w:pStyle w:val="21"/>
        <w:numPr>
          <w:ilvl w:val="1"/>
          <w:numId w:val="1"/>
        </w:numPr>
        <w:spacing w:before="0" w:line="240" w:lineRule="auto"/>
        <w:ind w:left="360"/>
        <w:rPr>
          <w:rFonts w:cs="Times New Roman"/>
          <w:szCs w:val="24"/>
        </w:rPr>
      </w:pPr>
      <w:bookmarkStart w:id="57" w:name="_Toc527463589"/>
      <w:bookmarkStart w:id="58" w:name="_Toc92934737"/>
      <w:r w:rsidRPr="003765B8">
        <w:rPr>
          <w:rFonts w:cs="Times New Roman"/>
          <w:szCs w:val="24"/>
        </w:rPr>
        <w:t>Порядок работы с данными мониторинга</w:t>
      </w:r>
      <w:bookmarkEnd w:id="57"/>
      <w:bookmarkEnd w:id="58"/>
      <w:r w:rsidRPr="003765B8">
        <w:rPr>
          <w:rFonts w:cs="Times New Roman"/>
          <w:szCs w:val="24"/>
        </w:rPr>
        <w:t xml:space="preserve"> </w:t>
      </w:r>
    </w:p>
    <w:p w14:paraId="313BF783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Исполнитель на ежедневной основе проверяет данные мониторинга состояния обращений, и, при нахождении отклонений (обращение зависло, неверно отработала интеграция при передаче и пр.) от исполняемых процессов, предпринимает корректирующие меры для устранения отклонений и отправке обращения далее по исполняемому процессу.</w:t>
      </w:r>
    </w:p>
    <w:p w14:paraId="64932F92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При этом, если в результате выполнения корректирующих мер, Исполнитель обнаруживает проблему, связанную с любым из компонентов Системы, без решения которой дальнейшее прохождение по процессу сообщения не представляется возможным, создает запрос в АСУИП с полным описанием обнаруженной проблемы и уведомляет об этом ответственных за Систему со стороны Заказчика. Дальнейшее выполнение заявки аналогично п.5.3.</w:t>
      </w:r>
    </w:p>
    <w:p w14:paraId="7D94E776" w14:textId="77777777" w:rsidR="003331FB" w:rsidRPr="003765B8" w:rsidRDefault="003331FB" w:rsidP="003331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480A648" w14:textId="77777777" w:rsidR="003331FB" w:rsidRPr="003765B8" w:rsidRDefault="003331FB" w:rsidP="003331FB">
      <w:pPr>
        <w:pStyle w:val="21"/>
        <w:numPr>
          <w:ilvl w:val="1"/>
          <w:numId w:val="1"/>
        </w:numPr>
        <w:spacing w:before="0" w:line="240" w:lineRule="auto"/>
        <w:ind w:left="360"/>
        <w:rPr>
          <w:rFonts w:cs="Times New Roman"/>
          <w:szCs w:val="24"/>
        </w:rPr>
      </w:pPr>
      <w:bookmarkStart w:id="59" w:name="_Toc527463590"/>
      <w:bookmarkStart w:id="60" w:name="_Toc92934738"/>
      <w:r w:rsidRPr="003765B8">
        <w:rPr>
          <w:rFonts w:cs="Times New Roman"/>
          <w:szCs w:val="24"/>
        </w:rPr>
        <w:t>Порядок обработки массовых инцидентов</w:t>
      </w:r>
      <w:bookmarkEnd w:id="59"/>
      <w:r w:rsidRPr="003765B8">
        <w:rPr>
          <w:rFonts w:cs="Times New Roman"/>
          <w:szCs w:val="24"/>
        </w:rPr>
        <w:t xml:space="preserve"> </w:t>
      </w:r>
      <w:bookmarkEnd w:id="60"/>
    </w:p>
    <w:p w14:paraId="66780147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При полной или частичной потере работоспособности Системы вследствие инцидентов или при проведении Исполнителем работ, Исполнитель обязан уведомлять об этом пользователей Системы со стороны Заказчика по электронной почте, а также телефонным звонком ответственных за систему со стороны Заказчика.</w:t>
      </w:r>
    </w:p>
    <w:p w14:paraId="24D5FAEE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Так же, Исполнитель создает (или конвертирует один из имеющихся запросов) массовый инцидент в АСУИП Заказчика и «привязывает» к нему все заявки, возникшие вследствие того же инцидента. Дальнейшее выполнение массового инцидента аналогично п.5.3.</w:t>
      </w:r>
    </w:p>
    <w:p w14:paraId="400832C9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В течение 3 (трех) рабочих дней после решения массового инцидента, вызвавшего частичный или полный простой Системы, Исполнитель предоставляет отчет по массовому сбою Системы. Форма отчета представлена в Приложении 2 к ТЗ.</w:t>
      </w:r>
    </w:p>
    <w:p w14:paraId="159116F3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Массовым инцидентом будет являться случай, когда фиксируется 5 и более похожих запросов высшего приоритета.</w:t>
      </w:r>
    </w:p>
    <w:p w14:paraId="7A2A1827" w14:textId="77777777" w:rsidR="003331FB" w:rsidRPr="003765B8" w:rsidRDefault="003331FB" w:rsidP="003331FB">
      <w:pPr>
        <w:pStyle w:val="21"/>
        <w:numPr>
          <w:ilvl w:val="1"/>
          <w:numId w:val="1"/>
        </w:numPr>
        <w:spacing w:before="0" w:line="240" w:lineRule="auto"/>
        <w:ind w:left="360"/>
        <w:rPr>
          <w:rFonts w:cs="Times New Roman"/>
          <w:szCs w:val="24"/>
        </w:rPr>
      </w:pPr>
      <w:bookmarkStart w:id="61" w:name="_Toc527463591"/>
      <w:bookmarkStart w:id="62" w:name="_Ref74156394"/>
      <w:bookmarkStart w:id="63" w:name="_Ref74156397"/>
      <w:bookmarkStart w:id="64" w:name="_Toc92934739"/>
      <w:r w:rsidRPr="003765B8">
        <w:rPr>
          <w:rFonts w:cs="Times New Roman"/>
          <w:szCs w:val="24"/>
        </w:rPr>
        <w:t>Классификация заявок по уровню критичности и временные параметры их обработки</w:t>
      </w:r>
      <w:bookmarkEnd w:id="61"/>
      <w:bookmarkEnd w:id="62"/>
      <w:bookmarkEnd w:id="63"/>
      <w:bookmarkEnd w:id="64"/>
    </w:p>
    <w:p w14:paraId="3BED92FE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Классификация заявок по критичности приведена в Таблице 3.</w:t>
      </w:r>
    </w:p>
    <w:p w14:paraId="242CF9CF" w14:textId="77777777" w:rsidR="003331FB" w:rsidRPr="003765B8" w:rsidRDefault="003331FB" w:rsidP="003331FB">
      <w:pPr>
        <w:pStyle w:val="a7"/>
        <w:spacing w:after="0"/>
        <w:rPr>
          <w:sz w:val="24"/>
          <w:szCs w:val="24"/>
        </w:rPr>
      </w:pPr>
      <w:bookmarkStart w:id="65" w:name="_Ref469419390"/>
      <w:r w:rsidRPr="003765B8">
        <w:rPr>
          <w:sz w:val="24"/>
          <w:szCs w:val="24"/>
        </w:rPr>
        <w:t xml:space="preserve">Таблица </w:t>
      </w:r>
      <w:bookmarkEnd w:id="65"/>
      <w:r w:rsidRPr="003765B8">
        <w:rPr>
          <w:sz w:val="24"/>
          <w:szCs w:val="24"/>
        </w:rPr>
        <w:t>3. Классификация заявок по уровню критичности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608"/>
        <w:gridCol w:w="6200"/>
      </w:tblGrid>
      <w:tr w:rsidR="003331FB" w:rsidRPr="006A1F28" w14:paraId="0122154B" w14:textId="77777777" w:rsidTr="00184C69">
        <w:trPr>
          <w:tblHeader/>
        </w:trPr>
        <w:tc>
          <w:tcPr>
            <w:tcW w:w="1537" w:type="dxa"/>
            <w:shd w:val="clear" w:color="auto" w:fill="auto"/>
            <w:vAlign w:val="center"/>
          </w:tcPr>
          <w:p w14:paraId="6C784460" w14:textId="77777777" w:rsidR="003331FB" w:rsidRPr="00DA4E1D" w:rsidRDefault="003331FB" w:rsidP="00184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4E1D">
              <w:rPr>
                <w:rFonts w:ascii="Times New Roman" w:hAnsi="Times New Roman"/>
                <w:b/>
                <w:sz w:val="20"/>
                <w:szCs w:val="20"/>
              </w:rPr>
              <w:t>Номер уровня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CE41055" w14:textId="77777777" w:rsidR="003331FB" w:rsidRPr="00DA4E1D" w:rsidRDefault="003331FB" w:rsidP="00184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4E1D">
              <w:rPr>
                <w:rFonts w:ascii="Times New Roman" w:hAnsi="Times New Roman"/>
                <w:b/>
                <w:sz w:val="20"/>
                <w:szCs w:val="20"/>
              </w:rPr>
              <w:t>Уровень критичности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345377A7" w14:textId="77777777" w:rsidR="003331FB" w:rsidRPr="00DA4E1D" w:rsidRDefault="003331FB" w:rsidP="00184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4E1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</w:p>
        </w:tc>
      </w:tr>
      <w:tr w:rsidR="003331FB" w:rsidRPr="006A1F28" w14:paraId="03117A65" w14:textId="77777777" w:rsidTr="00184C69">
        <w:trPr>
          <w:cantSplit/>
        </w:trPr>
        <w:tc>
          <w:tcPr>
            <w:tcW w:w="1537" w:type="dxa"/>
            <w:shd w:val="clear" w:color="auto" w:fill="auto"/>
            <w:vAlign w:val="center"/>
          </w:tcPr>
          <w:p w14:paraId="139786A3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714CB05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Высшая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33BD5FD0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Полный отказ Системы либо многократные (2 (два) и более в течении одного рабочего дня) сбои в работе ключевого функционала Системы, приводящие к неработоспособности Системы близкой к полной. Ключевым функционалом считаются компоненты, приложения и процессы, задействованные в работе большинства (75%) пользователей Системы</w:t>
            </w:r>
          </w:p>
        </w:tc>
      </w:tr>
      <w:tr w:rsidR="003331FB" w:rsidRPr="006A1F28" w14:paraId="43DB4215" w14:textId="77777777" w:rsidTr="00184C69">
        <w:trPr>
          <w:cantSplit/>
        </w:trPr>
        <w:tc>
          <w:tcPr>
            <w:tcW w:w="1537" w:type="dxa"/>
            <w:shd w:val="clear" w:color="auto" w:fill="auto"/>
            <w:vAlign w:val="center"/>
          </w:tcPr>
          <w:p w14:paraId="50912146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AB65731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Высокая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703BDEB2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Существенная неисправность, проблема или нарушение работы Системы, которая приводит, либо может привести к частым (2 (два) и более в течении одного рабочего дня) сбоям, значительному (более 75% от значения) ухудшению производительности Системы, а также значительной (один и более компонентов системы не доступен) утрате функциональности Системы. При этом для нарушенной функциональности не существует путей получения аналогичного результата другим способом</w:t>
            </w:r>
          </w:p>
        </w:tc>
      </w:tr>
      <w:tr w:rsidR="003331FB" w:rsidRPr="006A1F28" w14:paraId="160A257E" w14:textId="77777777" w:rsidTr="00184C69">
        <w:trPr>
          <w:cantSplit/>
        </w:trPr>
        <w:tc>
          <w:tcPr>
            <w:tcW w:w="1537" w:type="dxa"/>
            <w:shd w:val="clear" w:color="auto" w:fill="auto"/>
            <w:vAlign w:val="center"/>
          </w:tcPr>
          <w:p w14:paraId="4D82FD5D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53EBB8B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Средняя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42AD8668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ЗНО, Консультация. Неисправность, проблема или нарушение работы Системы или части Системы, не оказывающую существенного влияния на производительность и функциональность Системы, но, тем не менее, приводящую к отклонениям от требований к Системе. Включает в себя случаи сбоев, возникавших не единично и предполагающих возможность воспроизведения последовательности действий, приводящей к сбою (воспроизводимость дефекта)</w:t>
            </w:r>
          </w:p>
        </w:tc>
      </w:tr>
      <w:tr w:rsidR="003331FB" w:rsidRPr="006A1F28" w14:paraId="53D9CC40" w14:textId="77777777" w:rsidTr="00184C69">
        <w:trPr>
          <w:cantSplit/>
        </w:trPr>
        <w:tc>
          <w:tcPr>
            <w:tcW w:w="1537" w:type="dxa"/>
            <w:shd w:val="clear" w:color="auto" w:fill="auto"/>
            <w:vAlign w:val="center"/>
          </w:tcPr>
          <w:p w14:paraId="1E4D00DB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B26A03D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Низкая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63DDECFF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ЗНО, Консультация. Единичные случаи неисправностей, сложно поддающиеся или не поддающиеся воспроизведению, незначительные дефекты работы функционала Системы, а также незначительные отклонения в интерфейсах функционала Системы</w:t>
            </w:r>
          </w:p>
        </w:tc>
      </w:tr>
    </w:tbl>
    <w:p w14:paraId="657D9661" w14:textId="77777777" w:rsidR="003331FB" w:rsidRPr="003765B8" w:rsidRDefault="003331FB" w:rsidP="003331F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6" w:name="_Toc382402026"/>
      <w:bookmarkEnd w:id="66"/>
    </w:p>
    <w:p w14:paraId="1DFEECFE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 xml:space="preserve">Исполнитель может запросить перенос сроков исполнения по согласованию с Заказчиком, Заказчик в праве отклонить запрос на перенос сроков. Временные параметры обработки запросов на обслуживание и исправление инцидентов приведены в Таблице 4. </w:t>
      </w:r>
    </w:p>
    <w:p w14:paraId="57D69960" w14:textId="77777777" w:rsidR="003331FB" w:rsidRPr="003765B8" w:rsidRDefault="003331FB" w:rsidP="003331FB">
      <w:pPr>
        <w:keepNext/>
        <w:spacing w:after="0" w:line="240" w:lineRule="auto"/>
        <w:ind w:firstLine="708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bookmarkStart w:id="67" w:name="_Ref469419628"/>
      <w:r w:rsidRPr="003765B8">
        <w:rPr>
          <w:rFonts w:ascii="Times New Roman" w:hAnsi="Times New Roman"/>
          <w:iCs/>
          <w:sz w:val="24"/>
          <w:szCs w:val="24"/>
        </w:rPr>
        <w:t xml:space="preserve">Таблица </w:t>
      </w:r>
      <w:bookmarkEnd w:id="67"/>
      <w:r w:rsidRPr="003765B8">
        <w:rPr>
          <w:rFonts w:ascii="Times New Roman" w:hAnsi="Times New Roman"/>
          <w:bCs/>
          <w:iCs/>
          <w:sz w:val="24"/>
          <w:szCs w:val="24"/>
        </w:rPr>
        <w:t>4</w:t>
      </w:r>
      <w:r w:rsidRPr="003765B8">
        <w:rPr>
          <w:rFonts w:ascii="Times New Roman" w:hAnsi="Times New Roman"/>
          <w:iCs/>
          <w:sz w:val="24"/>
          <w:szCs w:val="24"/>
        </w:rPr>
        <w:t xml:space="preserve">. Уровень критичности и временные параметры обработки заявок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682"/>
        <w:gridCol w:w="2055"/>
        <w:gridCol w:w="1792"/>
        <w:gridCol w:w="1842"/>
        <w:gridCol w:w="1979"/>
      </w:tblGrid>
      <w:tr w:rsidR="003331FB" w:rsidRPr="006A1F28" w14:paraId="545EDFB2" w14:textId="77777777" w:rsidTr="00184C69">
        <w:trPr>
          <w:trHeight w:val="300"/>
        </w:trPr>
        <w:tc>
          <w:tcPr>
            <w:tcW w:w="1682" w:type="dxa"/>
            <w:noWrap/>
            <w:vAlign w:val="center"/>
            <w:hideMark/>
          </w:tcPr>
          <w:p w14:paraId="5EC6CE31" w14:textId="77777777" w:rsidR="003331FB" w:rsidRPr="00DA4E1D" w:rsidRDefault="003331FB" w:rsidP="00184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8" w:type="dxa"/>
            <w:gridSpan w:val="4"/>
          </w:tcPr>
          <w:p w14:paraId="0BE1113C" w14:textId="77777777" w:rsidR="003331FB" w:rsidRPr="00DA4E1D" w:rsidRDefault="003331FB" w:rsidP="00184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4E1D">
              <w:rPr>
                <w:rFonts w:ascii="Times New Roman" w:hAnsi="Times New Roman"/>
                <w:b/>
                <w:sz w:val="20"/>
                <w:szCs w:val="20"/>
              </w:rPr>
              <w:t>Критичность/Срок выполнения</w:t>
            </w:r>
          </w:p>
        </w:tc>
      </w:tr>
      <w:tr w:rsidR="003331FB" w:rsidRPr="006A1F28" w14:paraId="660A5850" w14:textId="77777777" w:rsidTr="00184C69">
        <w:trPr>
          <w:trHeight w:val="300"/>
        </w:trPr>
        <w:tc>
          <w:tcPr>
            <w:tcW w:w="1682" w:type="dxa"/>
            <w:noWrap/>
            <w:vAlign w:val="center"/>
            <w:hideMark/>
          </w:tcPr>
          <w:p w14:paraId="56B892A5" w14:textId="77777777" w:rsidR="003331FB" w:rsidRPr="00DA4E1D" w:rsidRDefault="003331FB" w:rsidP="00184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4E1D">
              <w:rPr>
                <w:rFonts w:ascii="Times New Roman" w:hAnsi="Times New Roman"/>
                <w:b/>
                <w:sz w:val="20"/>
                <w:szCs w:val="20"/>
              </w:rPr>
              <w:t>Вид запроса</w:t>
            </w:r>
          </w:p>
        </w:tc>
        <w:tc>
          <w:tcPr>
            <w:tcW w:w="2055" w:type="dxa"/>
            <w:noWrap/>
            <w:vAlign w:val="center"/>
            <w:hideMark/>
          </w:tcPr>
          <w:p w14:paraId="01DE9BC3" w14:textId="77777777" w:rsidR="003331FB" w:rsidRPr="00DA4E1D" w:rsidRDefault="003331FB" w:rsidP="00184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4E1D">
              <w:rPr>
                <w:rFonts w:ascii="Times New Roman" w:hAnsi="Times New Roman"/>
                <w:b/>
                <w:sz w:val="20"/>
                <w:szCs w:val="20"/>
              </w:rPr>
              <w:t>высшая</w:t>
            </w:r>
          </w:p>
        </w:tc>
        <w:tc>
          <w:tcPr>
            <w:tcW w:w="1792" w:type="dxa"/>
          </w:tcPr>
          <w:p w14:paraId="540A36D2" w14:textId="77777777" w:rsidR="003331FB" w:rsidRPr="00DA4E1D" w:rsidRDefault="003331FB" w:rsidP="00184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4E1D">
              <w:rPr>
                <w:rFonts w:ascii="Times New Roman" w:hAnsi="Times New Roman"/>
                <w:b/>
                <w:sz w:val="20"/>
                <w:szCs w:val="20"/>
              </w:rPr>
              <w:t>высокая</w:t>
            </w:r>
          </w:p>
        </w:tc>
        <w:tc>
          <w:tcPr>
            <w:tcW w:w="1842" w:type="dxa"/>
            <w:vAlign w:val="center"/>
          </w:tcPr>
          <w:p w14:paraId="26E5EBDD" w14:textId="77777777" w:rsidR="003331FB" w:rsidRPr="00DA4E1D" w:rsidRDefault="003331FB" w:rsidP="00184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4E1D">
              <w:rPr>
                <w:rFonts w:ascii="Times New Roman" w:hAnsi="Times New Roman"/>
                <w:b/>
                <w:sz w:val="20"/>
                <w:szCs w:val="20"/>
              </w:rPr>
              <w:t>средняя</w:t>
            </w:r>
          </w:p>
        </w:tc>
        <w:tc>
          <w:tcPr>
            <w:tcW w:w="1979" w:type="dxa"/>
            <w:noWrap/>
            <w:vAlign w:val="center"/>
            <w:hideMark/>
          </w:tcPr>
          <w:p w14:paraId="5D963208" w14:textId="77777777" w:rsidR="003331FB" w:rsidRPr="00DA4E1D" w:rsidRDefault="003331FB" w:rsidP="00184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4E1D">
              <w:rPr>
                <w:rFonts w:ascii="Times New Roman" w:hAnsi="Times New Roman"/>
                <w:b/>
                <w:sz w:val="20"/>
                <w:szCs w:val="20"/>
              </w:rPr>
              <w:t>низкая</w:t>
            </w:r>
          </w:p>
        </w:tc>
      </w:tr>
      <w:tr w:rsidR="003331FB" w:rsidRPr="006A1F28" w14:paraId="78D8D617" w14:textId="77777777" w:rsidTr="00184C69">
        <w:trPr>
          <w:trHeight w:val="300"/>
        </w:trPr>
        <w:tc>
          <w:tcPr>
            <w:tcW w:w="1682" w:type="dxa"/>
            <w:noWrap/>
            <w:vAlign w:val="center"/>
            <w:hideMark/>
          </w:tcPr>
          <w:p w14:paraId="35EAD51F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Инцидент</w:t>
            </w:r>
          </w:p>
        </w:tc>
        <w:tc>
          <w:tcPr>
            <w:tcW w:w="2055" w:type="dxa"/>
            <w:noWrap/>
            <w:vAlign w:val="center"/>
            <w:hideMark/>
          </w:tcPr>
          <w:p w14:paraId="0CFEDADC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4 часа</w:t>
            </w:r>
          </w:p>
        </w:tc>
        <w:tc>
          <w:tcPr>
            <w:tcW w:w="1792" w:type="dxa"/>
            <w:vAlign w:val="center"/>
          </w:tcPr>
          <w:p w14:paraId="281EE02C" w14:textId="77777777" w:rsidR="003331FB" w:rsidRPr="00DA4E1D" w:rsidDel="00A63003" w:rsidRDefault="003331FB" w:rsidP="00184C69">
            <w:pPr>
              <w:pStyle w:val="aa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8 рабочих часов</w:t>
            </w:r>
          </w:p>
        </w:tc>
        <w:tc>
          <w:tcPr>
            <w:tcW w:w="1842" w:type="dxa"/>
            <w:vAlign w:val="center"/>
          </w:tcPr>
          <w:p w14:paraId="438ABEF1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24 рабочих часа</w:t>
            </w:r>
          </w:p>
        </w:tc>
        <w:tc>
          <w:tcPr>
            <w:tcW w:w="1979" w:type="dxa"/>
            <w:noWrap/>
            <w:vAlign w:val="center"/>
            <w:hideMark/>
          </w:tcPr>
          <w:p w14:paraId="3CCBFDEA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40  рабочих часов</w:t>
            </w:r>
          </w:p>
        </w:tc>
      </w:tr>
      <w:tr w:rsidR="003331FB" w:rsidRPr="006A1F28" w14:paraId="0D4B8D13" w14:textId="77777777" w:rsidTr="00184C69">
        <w:trPr>
          <w:trHeight w:val="300"/>
        </w:trPr>
        <w:tc>
          <w:tcPr>
            <w:tcW w:w="1682" w:type="dxa"/>
            <w:noWrap/>
            <w:vAlign w:val="center"/>
            <w:hideMark/>
          </w:tcPr>
          <w:p w14:paraId="319A39A0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Запрос на обслуживание</w:t>
            </w:r>
          </w:p>
        </w:tc>
        <w:tc>
          <w:tcPr>
            <w:tcW w:w="2055" w:type="dxa"/>
            <w:noWrap/>
            <w:vAlign w:val="center"/>
          </w:tcPr>
          <w:p w14:paraId="04A17FFA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92" w:type="dxa"/>
            <w:vAlign w:val="center"/>
          </w:tcPr>
          <w:p w14:paraId="42B74CEC" w14:textId="77777777" w:rsidR="003331FB" w:rsidRPr="00DA4E1D" w:rsidDel="00A63003" w:rsidRDefault="003331FB" w:rsidP="00184C69">
            <w:pPr>
              <w:pStyle w:val="aa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A4E1D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vAlign w:val="center"/>
          </w:tcPr>
          <w:p w14:paraId="0D0ECEEE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24 рабочих часа</w:t>
            </w:r>
          </w:p>
        </w:tc>
        <w:tc>
          <w:tcPr>
            <w:tcW w:w="1979" w:type="dxa"/>
            <w:noWrap/>
            <w:vAlign w:val="center"/>
            <w:hideMark/>
          </w:tcPr>
          <w:p w14:paraId="0C254819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40 рабочих часов</w:t>
            </w:r>
          </w:p>
        </w:tc>
      </w:tr>
      <w:tr w:rsidR="003331FB" w:rsidRPr="006A1F28" w14:paraId="1B801448" w14:textId="77777777" w:rsidTr="00184C69">
        <w:trPr>
          <w:trHeight w:val="300"/>
        </w:trPr>
        <w:tc>
          <w:tcPr>
            <w:tcW w:w="1682" w:type="dxa"/>
            <w:noWrap/>
            <w:vAlign w:val="center"/>
            <w:hideMark/>
          </w:tcPr>
          <w:p w14:paraId="266FC8E7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 xml:space="preserve">Консультация </w:t>
            </w:r>
          </w:p>
        </w:tc>
        <w:tc>
          <w:tcPr>
            <w:tcW w:w="2055" w:type="dxa"/>
            <w:noWrap/>
            <w:vAlign w:val="center"/>
            <w:hideMark/>
          </w:tcPr>
          <w:p w14:paraId="297B05D5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92" w:type="dxa"/>
            <w:vAlign w:val="center"/>
          </w:tcPr>
          <w:p w14:paraId="6F9B93E4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3E859806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30 рабочих часов</w:t>
            </w:r>
          </w:p>
        </w:tc>
        <w:tc>
          <w:tcPr>
            <w:tcW w:w="1979" w:type="dxa"/>
            <w:noWrap/>
            <w:vAlign w:val="center"/>
            <w:hideMark/>
          </w:tcPr>
          <w:p w14:paraId="2626044F" w14:textId="77777777" w:rsidR="003331FB" w:rsidRPr="00DA4E1D" w:rsidRDefault="003331FB" w:rsidP="00184C69">
            <w:pPr>
              <w:pStyle w:val="aa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A4E1D">
              <w:rPr>
                <w:rFonts w:cs="Times New Roman"/>
                <w:sz w:val="20"/>
                <w:szCs w:val="20"/>
              </w:rPr>
              <w:t>40 рабочих часов</w:t>
            </w:r>
          </w:p>
        </w:tc>
      </w:tr>
    </w:tbl>
    <w:p w14:paraId="1B96CFDF" w14:textId="77777777" w:rsidR="003331FB" w:rsidRPr="003765B8" w:rsidRDefault="003331FB" w:rsidP="003331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B15CF5" w14:textId="77777777" w:rsidR="003331FB" w:rsidRPr="003765B8" w:rsidRDefault="003331FB" w:rsidP="003331F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65B8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появления обращения с высшим приоритетом, работы по решению должны вестись Исполнителем без учета рабочего времени.</w:t>
      </w:r>
    </w:p>
    <w:p w14:paraId="4647C64C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Временные параметры обработок заявок в Таблице 4 указаны без времени, необходимого для взятия заявки в работу. Максимальное время взятия заявки в работу должно составлять не более 20 минут.</w:t>
      </w:r>
    </w:p>
    <w:p w14:paraId="4A8F1A4A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</w:p>
    <w:p w14:paraId="6EF06A10" w14:textId="77777777" w:rsidR="003331FB" w:rsidRPr="003765B8" w:rsidRDefault="003331FB" w:rsidP="003331FB">
      <w:pPr>
        <w:pStyle w:val="21"/>
        <w:numPr>
          <w:ilvl w:val="1"/>
          <w:numId w:val="1"/>
        </w:numPr>
        <w:spacing w:before="0" w:line="240" w:lineRule="auto"/>
        <w:ind w:left="360"/>
        <w:rPr>
          <w:rFonts w:cs="Times New Roman"/>
          <w:szCs w:val="24"/>
        </w:rPr>
      </w:pPr>
      <w:bookmarkStart w:id="68" w:name="_Toc92934740"/>
      <w:r w:rsidRPr="003765B8">
        <w:rPr>
          <w:rFonts w:cs="Times New Roman"/>
          <w:szCs w:val="24"/>
        </w:rPr>
        <w:t>Методика расчета качества услуг по сопровождению Системы</w:t>
      </w:r>
      <w:bookmarkEnd w:id="68"/>
    </w:p>
    <w:p w14:paraId="1821D835" w14:textId="77777777" w:rsidR="003331FB" w:rsidRPr="003765B8" w:rsidRDefault="003331FB" w:rsidP="003331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702E69" w14:textId="77777777" w:rsidR="003331FB" w:rsidRPr="003765B8" w:rsidRDefault="003331FB" w:rsidP="003331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Общее количество закрытых заявок в срок считается по формуле 1:</w:t>
      </w:r>
    </w:p>
    <w:p w14:paraId="1BB16516" w14:textId="77777777" w:rsidR="003331FB" w:rsidRPr="003765B8" w:rsidRDefault="009517D9" w:rsidP="003331F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все закрытые заявки в срок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все заявки</m:t>
            </m:r>
          </m:den>
        </m:f>
      </m:oMath>
      <w:r w:rsidR="003331FB" w:rsidRPr="003765B8">
        <w:rPr>
          <w:rFonts w:ascii="Times New Roman" w:eastAsiaTheme="minorEastAsia" w:hAnsi="Times New Roman"/>
          <w:i/>
          <w:sz w:val="24"/>
          <w:szCs w:val="24"/>
        </w:rPr>
        <w:t>*100%</w:t>
      </w:r>
    </w:p>
    <w:p w14:paraId="7F7FC8E4" w14:textId="77777777" w:rsidR="003331FB" w:rsidRPr="003765B8" w:rsidRDefault="003331FB" w:rsidP="003331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Общее время доступности считается по формуле 2:</w:t>
      </w:r>
    </w:p>
    <w:p w14:paraId="644AD31A" w14:textId="77777777" w:rsidR="003331FB" w:rsidRPr="003765B8" w:rsidRDefault="009517D9" w:rsidP="003331FB">
      <w:pPr>
        <w:spacing w:after="0" w:line="240" w:lineRule="auto"/>
        <w:ind w:firstLine="708"/>
        <w:jc w:val="center"/>
        <w:rPr>
          <w:rFonts w:ascii="Times New Roman" w:eastAsiaTheme="minorEastAsia" w:hAnsi="Times New Roman"/>
          <w:i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максимальное время доступности- время простоя системы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максимальное требуемое время доступности системы </m:t>
            </m:r>
          </m:den>
        </m:f>
      </m:oMath>
      <w:r w:rsidR="003331FB" w:rsidRPr="003765B8">
        <w:rPr>
          <w:rFonts w:ascii="Times New Roman" w:eastAsiaTheme="minorEastAsia" w:hAnsi="Times New Roman"/>
          <w:i/>
          <w:sz w:val="24"/>
          <w:szCs w:val="24"/>
        </w:rPr>
        <w:t xml:space="preserve">*100%       </w:t>
      </w:r>
    </w:p>
    <w:p w14:paraId="25918B73" w14:textId="77777777" w:rsidR="003331FB" w:rsidRPr="003765B8" w:rsidRDefault="003331FB" w:rsidP="003331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Время Простоя Системы считается как сумма времени, затраченного на решение массовых инцидентов.</w:t>
      </w:r>
    </w:p>
    <w:p w14:paraId="5B9F900B" w14:textId="77777777" w:rsidR="003331FB" w:rsidRPr="003765B8" w:rsidRDefault="003331FB" w:rsidP="003331FB">
      <w:pPr>
        <w:tabs>
          <w:tab w:val="righ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65EAF6" w14:textId="77777777" w:rsidR="003331FB" w:rsidRPr="003765B8" w:rsidRDefault="003331FB" w:rsidP="003331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Уровень качества услуг по сопровождению Системы оценивается по Таблице 6:</w:t>
      </w:r>
    </w:p>
    <w:p w14:paraId="47F3A799" w14:textId="77777777" w:rsidR="003331FB" w:rsidRPr="003765B8" w:rsidRDefault="003331FB" w:rsidP="003331FB">
      <w:pPr>
        <w:pStyle w:val="a7"/>
        <w:spacing w:after="0"/>
        <w:rPr>
          <w:sz w:val="24"/>
          <w:szCs w:val="24"/>
        </w:rPr>
      </w:pPr>
      <w:r w:rsidRPr="003765B8">
        <w:rPr>
          <w:sz w:val="24"/>
          <w:szCs w:val="24"/>
        </w:rPr>
        <w:t xml:space="preserve">Таблица </w:t>
      </w:r>
      <w:r w:rsidRPr="003765B8">
        <w:rPr>
          <w:noProof/>
          <w:sz w:val="24"/>
          <w:szCs w:val="24"/>
        </w:rPr>
        <w:t>6</w:t>
      </w:r>
      <w:r w:rsidRPr="003765B8">
        <w:rPr>
          <w:sz w:val="24"/>
          <w:szCs w:val="24"/>
        </w:rPr>
        <w:t xml:space="preserve">. Оценки уровня качества услуг по сопровождению Системы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3331FB" w:rsidRPr="003765B8" w14:paraId="5727EC0E" w14:textId="77777777" w:rsidTr="00184C69">
        <w:trPr>
          <w:trHeight w:val="1050"/>
          <w:jc w:val="center"/>
        </w:trPr>
        <w:tc>
          <w:tcPr>
            <w:tcW w:w="1249" w:type="pct"/>
            <w:vAlign w:val="center"/>
          </w:tcPr>
          <w:p w14:paraId="69717651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Уровень качества услуг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0D4E42E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Уровень доступности Системы %</w:t>
            </w:r>
          </w:p>
        </w:tc>
        <w:tc>
          <w:tcPr>
            <w:tcW w:w="1250" w:type="pct"/>
            <w:vAlign w:val="center"/>
          </w:tcPr>
          <w:p w14:paraId="4242A1FC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Закрытые заявки </w:t>
            </w:r>
            <w:r w:rsidRPr="003765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в срок %</w:t>
            </w:r>
          </w:p>
        </w:tc>
        <w:tc>
          <w:tcPr>
            <w:tcW w:w="1250" w:type="pct"/>
          </w:tcPr>
          <w:p w14:paraId="114D2242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Оплата Штрафа в % от стоимости отчетного периода сопровождения </w:t>
            </w:r>
          </w:p>
        </w:tc>
      </w:tr>
      <w:tr w:rsidR="003331FB" w:rsidRPr="003765B8" w14:paraId="16BCDC22" w14:textId="77777777" w:rsidTr="00184C69">
        <w:trPr>
          <w:trHeight w:val="300"/>
          <w:jc w:val="center"/>
        </w:trPr>
        <w:tc>
          <w:tcPr>
            <w:tcW w:w="1249" w:type="pct"/>
            <w:vAlign w:val="center"/>
          </w:tcPr>
          <w:p w14:paraId="3197CA20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Высокий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731FCD3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&gt;=90</w:t>
            </w:r>
          </w:p>
        </w:tc>
        <w:tc>
          <w:tcPr>
            <w:tcW w:w="1250" w:type="pct"/>
            <w:vAlign w:val="center"/>
          </w:tcPr>
          <w:p w14:paraId="43BD0444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&gt;=90</w:t>
            </w:r>
          </w:p>
        </w:tc>
        <w:tc>
          <w:tcPr>
            <w:tcW w:w="1250" w:type="pct"/>
          </w:tcPr>
          <w:p w14:paraId="455987D5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31FB" w:rsidRPr="003765B8" w14:paraId="48A566F9" w14:textId="77777777" w:rsidTr="00184C69">
        <w:trPr>
          <w:trHeight w:val="300"/>
          <w:jc w:val="center"/>
        </w:trPr>
        <w:tc>
          <w:tcPr>
            <w:tcW w:w="1249" w:type="pct"/>
            <w:vAlign w:val="center"/>
          </w:tcPr>
          <w:p w14:paraId="6655D173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5512576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80-90</w:t>
            </w:r>
          </w:p>
        </w:tc>
        <w:tc>
          <w:tcPr>
            <w:tcW w:w="1250" w:type="pct"/>
            <w:vAlign w:val="center"/>
          </w:tcPr>
          <w:p w14:paraId="1516DCF0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80-90</w:t>
            </w:r>
          </w:p>
        </w:tc>
        <w:tc>
          <w:tcPr>
            <w:tcW w:w="1250" w:type="pct"/>
          </w:tcPr>
          <w:p w14:paraId="29269817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331FB" w:rsidRPr="003765B8" w14:paraId="6BDE21C8" w14:textId="77777777" w:rsidTr="00184C69">
        <w:trPr>
          <w:trHeight w:val="300"/>
          <w:jc w:val="center"/>
        </w:trPr>
        <w:tc>
          <w:tcPr>
            <w:tcW w:w="1249" w:type="pct"/>
            <w:vAlign w:val="center"/>
          </w:tcPr>
          <w:p w14:paraId="0C6C3647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E6AF0C6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70-80</w:t>
            </w:r>
          </w:p>
        </w:tc>
        <w:tc>
          <w:tcPr>
            <w:tcW w:w="1250" w:type="pct"/>
            <w:vAlign w:val="center"/>
          </w:tcPr>
          <w:p w14:paraId="57A3B17F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70-80</w:t>
            </w:r>
          </w:p>
        </w:tc>
        <w:tc>
          <w:tcPr>
            <w:tcW w:w="1250" w:type="pct"/>
          </w:tcPr>
          <w:p w14:paraId="3DDD3F9C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331FB" w:rsidRPr="003765B8" w14:paraId="4BC4B127" w14:textId="77777777" w:rsidTr="00184C69">
        <w:trPr>
          <w:trHeight w:val="300"/>
          <w:jc w:val="center"/>
        </w:trPr>
        <w:tc>
          <w:tcPr>
            <w:tcW w:w="1249" w:type="pct"/>
            <w:vAlign w:val="center"/>
          </w:tcPr>
          <w:p w14:paraId="43C2D4E4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46E0393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&lt;=70</w:t>
            </w:r>
          </w:p>
        </w:tc>
        <w:tc>
          <w:tcPr>
            <w:tcW w:w="1250" w:type="pct"/>
            <w:vAlign w:val="center"/>
          </w:tcPr>
          <w:p w14:paraId="2B8BE297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&lt;=70</w:t>
            </w:r>
          </w:p>
        </w:tc>
        <w:tc>
          <w:tcPr>
            <w:tcW w:w="1250" w:type="pct"/>
          </w:tcPr>
          <w:p w14:paraId="30807992" w14:textId="77777777" w:rsidR="003331FB" w:rsidRPr="003765B8" w:rsidRDefault="003331FB" w:rsidP="00184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5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14:paraId="53CCFA36" w14:textId="77777777" w:rsidR="003331FB" w:rsidRPr="003765B8" w:rsidRDefault="003331FB" w:rsidP="003331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5B8">
        <w:rPr>
          <w:rFonts w:ascii="Times New Roman" w:hAnsi="Times New Roman"/>
          <w:sz w:val="24"/>
          <w:szCs w:val="24"/>
        </w:rPr>
        <w:t>В случае, если показатели уровней доступности Системы и закрытых заявок расходятся, считается наименьший показатель.</w:t>
      </w:r>
      <w:bookmarkStart w:id="69" w:name="_Toc527463593"/>
      <w:bookmarkStart w:id="70" w:name="_Toc92934741"/>
    </w:p>
    <w:p w14:paraId="79A7C9AC" w14:textId="77777777" w:rsidR="003331FB" w:rsidRPr="003765B8" w:rsidRDefault="003331FB" w:rsidP="003331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F0C671" w14:textId="77777777" w:rsidR="003331FB" w:rsidRPr="003765B8" w:rsidRDefault="003331FB" w:rsidP="003331FB">
      <w:pPr>
        <w:pStyle w:val="21"/>
        <w:numPr>
          <w:ilvl w:val="1"/>
          <w:numId w:val="1"/>
        </w:numPr>
        <w:spacing w:before="0" w:line="240" w:lineRule="auto"/>
        <w:ind w:left="709" w:hanging="709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Порядок предоставления отчетов по оказанным услугам сопровождения Системы</w:t>
      </w:r>
      <w:bookmarkEnd w:id="69"/>
      <w:bookmarkEnd w:id="70"/>
    </w:p>
    <w:p w14:paraId="13F9B9BD" w14:textId="77777777" w:rsidR="003331FB" w:rsidRPr="003765B8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 xml:space="preserve">Отчет по оказанным услугам за период – календарный квартал, должен предоставляться Исполнителем в срок до 10 рабочих дней с даты окончания отчетного периода. Форма отчета по сопровождению Системы приведена в Приложении №3 к ТЗ. </w:t>
      </w:r>
    </w:p>
    <w:p w14:paraId="6E575595" w14:textId="77777777" w:rsidR="003331FB" w:rsidRDefault="003331FB" w:rsidP="003331FB">
      <w:pPr>
        <w:pStyle w:val="aa"/>
        <w:spacing w:line="240" w:lineRule="auto"/>
        <w:rPr>
          <w:rFonts w:cs="Times New Roman"/>
          <w:szCs w:val="24"/>
        </w:rPr>
      </w:pPr>
      <w:r w:rsidRPr="003765B8">
        <w:rPr>
          <w:rFonts w:cs="Times New Roman"/>
          <w:szCs w:val="24"/>
        </w:rPr>
        <w:t>Заказчик в праве потребовать предоставление промежуточного отчета за указанный период.</w:t>
      </w:r>
    </w:p>
    <w:p w14:paraId="277B31BD" w14:textId="77777777" w:rsidR="002826FC" w:rsidRDefault="002826FC"/>
    <w:sectPr w:rsidR="0028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73536"/>
    <w:multiLevelType w:val="multilevel"/>
    <w:tmpl w:val="F00A733C"/>
    <w:lvl w:ilvl="0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5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1800"/>
      </w:pPr>
      <w:rPr>
        <w:rFonts w:hint="default"/>
      </w:rPr>
    </w:lvl>
  </w:abstractNum>
  <w:abstractNum w:abstractNumId="1" w15:restartNumberingAfterBreak="0">
    <w:nsid w:val="59043D66"/>
    <w:multiLevelType w:val="hybridMultilevel"/>
    <w:tmpl w:val="7F60F4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FB"/>
    <w:rsid w:val="002826FC"/>
    <w:rsid w:val="002E5CD1"/>
    <w:rsid w:val="003331FB"/>
    <w:rsid w:val="00645613"/>
    <w:rsid w:val="006C7BC8"/>
    <w:rsid w:val="007C2DA5"/>
    <w:rsid w:val="007E7313"/>
    <w:rsid w:val="009517D9"/>
    <w:rsid w:val="00A3636E"/>
    <w:rsid w:val="00C02036"/>
    <w:rsid w:val="00C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B31E"/>
  <w15:chartTrackingRefBased/>
  <w15:docId w15:val="{7783AEDA-E3C9-47EF-AA86-CB02C81B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1F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331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1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aliases w:val="OTR,Сетка таблицы GR"/>
    <w:basedOn w:val="a1"/>
    <w:uiPriority w:val="39"/>
    <w:rsid w:val="0033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3331F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3331FB"/>
    <w:pPr>
      <w:spacing w:after="160" w:line="240" w:lineRule="auto"/>
      <w:ind w:firstLine="708"/>
      <w:jc w:val="both"/>
    </w:pPr>
    <w:rPr>
      <w:rFonts w:ascii="Times New Roman" w:eastAsiaTheme="minorHAnsi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331FB"/>
    <w:rPr>
      <w:rFonts w:ascii="Times New Roman" w:hAnsi="Times New Roman" w:cs="Times New Roman"/>
      <w:sz w:val="20"/>
      <w:szCs w:val="20"/>
    </w:rPr>
  </w:style>
  <w:style w:type="paragraph" w:customStyle="1" w:styleId="21">
    <w:name w:val="Стиль2"/>
    <w:basedOn w:val="2"/>
    <w:next w:val="2"/>
    <w:link w:val="22"/>
    <w:qFormat/>
    <w:rsid w:val="003331FB"/>
    <w:pPr>
      <w:spacing w:line="259" w:lineRule="auto"/>
    </w:pPr>
    <w:rPr>
      <w:rFonts w:ascii="Times New Roman" w:hAnsi="Times New Roman"/>
      <w:b/>
      <w:color w:val="auto"/>
      <w:sz w:val="24"/>
    </w:rPr>
  </w:style>
  <w:style w:type="character" w:customStyle="1" w:styleId="22">
    <w:name w:val="Стиль2 Знак"/>
    <w:basedOn w:val="a0"/>
    <w:link w:val="21"/>
    <w:rsid w:val="003331FB"/>
    <w:rPr>
      <w:rFonts w:ascii="Times New Roman" w:eastAsiaTheme="majorEastAsia" w:hAnsi="Times New Roman" w:cstheme="majorBidi"/>
      <w:b/>
      <w:sz w:val="24"/>
      <w:szCs w:val="26"/>
    </w:rPr>
  </w:style>
  <w:style w:type="paragraph" w:styleId="a7">
    <w:name w:val="caption"/>
    <w:aliases w:val="Название таблицы,Название таблиц,Рисунок название стить,Название объекта Знак1 Знак,Название объекта Знак Знак Знак,Name_object Знак Знак Знак,Наименование объекта Знак Знак Знак,Name_object Знак1 Знак,Наименование объекта Знак1 Знак"/>
    <w:basedOn w:val="a"/>
    <w:next w:val="a"/>
    <w:link w:val="a8"/>
    <w:unhideWhenUsed/>
    <w:qFormat/>
    <w:rsid w:val="003331FB"/>
    <w:pPr>
      <w:keepNext/>
      <w:spacing w:line="240" w:lineRule="auto"/>
      <w:ind w:firstLine="708"/>
      <w:jc w:val="right"/>
    </w:pPr>
    <w:rPr>
      <w:rFonts w:ascii="Times New Roman" w:eastAsiaTheme="minorHAnsi" w:hAnsi="Times New Roman"/>
      <w:iCs/>
      <w:sz w:val="20"/>
      <w:szCs w:val="20"/>
    </w:rPr>
  </w:style>
  <w:style w:type="character" w:customStyle="1" w:styleId="a8">
    <w:name w:val="Название объекта Знак"/>
    <w:aliases w:val="Название таблицы Знак,Название таблиц Знак,Рисунок название стить Знак,Название объекта Знак1 Знак Знак,Название объекта Знак Знак Знак Знак,Name_object Знак Знак Знак Знак,Наименование объекта Знак Знак Знак Знак"/>
    <w:link w:val="a7"/>
    <w:locked/>
    <w:rsid w:val="003331FB"/>
    <w:rPr>
      <w:rFonts w:ascii="Times New Roman" w:hAnsi="Times New Roman" w:cs="Times New Roman"/>
      <w:iCs/>
      <w:sz w:val="20"/>
      <w:szCs w:val="20"/>
    </w:rPr>
  </w:style>
  <w:style w:type="character" w:customStyle="1" w:styleId="a9">
    <w:name w:val="Стиль Абзац ТЗ СИМИ Знак"/>
    <w:link w:val="aa"/>
    <w:locked/>
    <w:rsid w:val="003331FB"/>
    <w:rPr>
      <w:rFonts w:ascii="Times New Roman" w:hAnsi="Times New Roman"/>
      <w:sz w:val="24"/>
    </w:rPr>
  </w:style>
  <w:style w:type="paragraph" w:customStyle="1" w:styleId="aa">
    <w:name w:val="Стиль Абзац ТЗ СИМИ"/>
    <w:basedOn w:val="a"/>
    <w:link w:val="a9"/>
    <w:qFormat/>
    <w:rsid w:val="003331FB"/>
    <w:pPr>
      <w:spacing w:after="0" w:line="360" w:lineRule="auto"/>
      <w:ind w:firstLine="709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ab">
    <w:name w:val="Body Text"/>
    <w:aliases w:val="Основной текст Знак1,Основной текст Знак Знак,body text,Specs,bt,EHPT,AvtalBrцdtext,дndrad,Bodytext,BODY TEXT,GD,DNV-Body,contents"/>
    <w:basedOn w:val="a"/>
    <w:link w:val="ac"/>
    <w:qFormat/>
    <w:rsid w:val="003331FB"/>
    <w:pPr>
      <w:spacing w:after="120"/>
      <w:ind w:left="714" w:firstLine="709"/>
      <w:jc w:val="both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ac">
    <w:name w:val="Основной текст Знак"/>
    <w:aliases w:val="Основной текст Знак1 Знак,Основной текст Знак Знак Знак,body text Знак,Specs Знак,bt Знак,EHPT Знак,AvtalBrцdtext Знак,дndrad Знак,Bodytext Знак,BODY TEXT Знак,GD Знак,DNV-Body Знак,contents Знак"/>
    <w:basedOn w:val="a0"/>
    <w:link w:val="ab"/>
    <w:rsid w:val="003331F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d">
    <w:name w:val="Стиль Текст в таблице По центру"/>
    <w:basedOn w:val="a"/>
    <w:uiPriority w:val="99"/>
    <w:rsid w:val="003331FB"/>
    <w:pPr>
      <w:keepLines/>
      <w:spacing w:before="120" w:after="120"/>
      <w:ind w:left="714" w:hanging="357"/>
      <w:jc w:val="center"/>
    </w:pPr>
    <w:rPr>
      <w:rFonts w:eastAsia="Times New Roman"/>
      <w:bCs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331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33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31FB"/>
    <w:rPr>
      <w:rFonts w:ascii="Segoe UI" w:eastAsia="Calibri" w:hAnsi="Segoe UI" w:cs="Segoe UI"/>
      <w:sz w:val="18"/>
      <w:szCs w:val="18"/>
    </w:rPr>
  </w:style>
  <w:style w:type="paragraph" w:customStyle="1" w:styleId="11">
    <w:name w:val="Стиль1"/>
    <w:basedOn w:val="1"/>
    <w:link w:val="12"/>
    <w:qFormat/>
    <w:rsid w:val="003331FB"/>
    <w:pPr>
      <w:spacing w:before="120" w:after="120" w:line="240" w:lineRule="auto"/>
      <w:ind w:firstLine="702"/>
    </w:pPr>
    <w:rPr>
      <w:rFonts w:ascii="Times New Roman" w:hAnsi="Times New Roman" w:cs="Times New Roman"/>
      <w:b/>
      <w:sz w:val="28"/>
    </w:rPr>
  </w:style>
  <w:style w:type="character" w:customStyle="1" w:styleId="12">
    <w:name w:val="Стиль1 Знак"/>
    <w:basedOn w:val="10"/>
    <w:link w:val="11"/>
    <w:rsid w:val="003331FB"/>
    <w:rPr>
      <w:rFonts w:ascii="Times New Roman" w:eastAsiaTheme="majorEastAsia" w:hAnsi="Times New Roman" w:cs="Times New Roman"/>
      <w:b/>
      <w:color w:val="2E74B5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3331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A3636E"/>
    <w:pPr>
      <w:spacing w:after="200"/>
      <w:ind w:firstLine="0"/>
      <w:jc w:val="left"/>
    </w:pPr>
    <w:rPr>
      <w:rFonts w:ascii="Calibri" w:eastAsia="Calibri" w:hAnsi="Calibri"/>
      <w:b/>
      <w:bCs/>
    </w:rPr>
  </w:style>
  <w:style w:type="character" w:customStyle="1" w:styleId="af1">
    <w:name w:val="Тема примечания Знак"/>
    <w:basedOn w:val="a6"/>
    <w:link w:val="af0"/>
    <w:uiPriority w:val="99"/>
    <w:semiHidden/>
    <w:rsid w:val="00A3636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Ярзуткин Никита Алексеевич</dc:creator>
  <cp:keywords/>
  <dc:description/>
  <cp:lastModifiedBy>Бабарин Дмитрий Иванович</cp:lastModifiedBy>
  <cp:revision>3</cp:revision>
  <dcterms:created xsi:type="dcterms:W3CDTF">2022-02-25T08:02:00Z</dcterms:created>
  <dcterms:modified xsi:type="dcterms:W3CDTF">2022-03-02T08:37:00Z</dcterms:modified>
</cp:coreProperties>
</file>