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settings.xml" ContentType="application/vnd.openxmlformats-officedocument.wordprocessingml.settings+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media/image9.wmf" ContentType="image/x-wmf"/>
  <Override PartName="/word/media/image19.wmf" ContentType="image/x-wmf"/>
  <Override PartName="/word/media/image8.wmf" ContentType="image/x-wmf"/>
  <Override PartName="/word/media/image18.wmf" ContentType="image/x-wmf"/>
  <Override PartName="/word/media/image20.wmf" ContentType="image/x-wmf"/>
  <Override PartName="/word/media/image7.wmf" ContentType="image/x-wmf"/>
  <Override PartName="/word/media/image6.wmf" ContentType="image/x-wmf"/>
  <Override PartName="/word/media/image16.wmf" ContentType="image/x-wmf"/>
  <Override PartName="/word/media/image17.png" ContentType="image/png"/>
  <Override PartName="/word/media/image4.wmf" ContentType="image/x-wmf"/>
  <Override PartName="/word/media/image14.wmf" ContentType="image/x-wmf"/>
  <Override PartName="/word/media/image11.wmf" ContentType="image/x-wmf"/>
  <Override PartName="/word/media/image13.wmf" ContentType="image/x-wmf"/>
  <Override PartName="/word/media/image3.wmf" ContentType="image/x-wmf"/>
  <Override PartName="/word/media/image12.wmf" ContentType="image/x-wmf"/>
  <Override PartName="/word/media/image2.wmf" ContentType="image/x-wmf"/>
  <Override PartName="/word/media/image1.png" ContentType="image/png"/>
  <Override PartName="/word/media/image10.wmf" ContentType="image/x-wmf"/>
  <Override PartName="/word/media/image5.wmf" ContentType="image/x-wmf"/>
  <Override PartName="/word/media/image15.wmf" ContentType="image/x-wmf"/>
  <Override PartName="/word/header7.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совместно в дальнейшем именуемые «Стороны», а по отдельнос</w:t>
      </w:r>
      <w:r>
        <w:rPr>
          <w:color w:val="auto"/>
          <w:sz w:val="24"/>
          <w:szCs w:val="24"/>
          <w:lang w:val="ru-RU"/>
        </w:rPr>
        <w:t>т</w:t>
      </w:r>
      <w:r>
        <w:rPr>
          <w:color w:val="000000"/>
          <w:sz w:val="24"/>
          <w:szCs w:val="24"/>
          <w:shd w:fill="auto" w:val="clear"/>
          <w:lang w:val="ru-RU"/>
        </w:rPr>
        <w:t xml:space="preserve">и – «Сторона», </w:t>
      </w:r>
      <w:r>
        <w:rPr>
          <w:bCs/>
          <w:color w:val="000000"/>
          <w:sz w:val="24"/>
          <w:szCs w:val="24"/>
          <w:shd w:fill="auto" w:val="clear"/>
          <w:lang w:val="ru-RU"/>
        </w:rPr>
        <w:t>по</w:t>
      </w:r>
      <w:r>
        <w:rPr>
          <w:bCs/>
          <w:color w:val="000000"/>
          <w:sz w:val="24"/>
          <w:szCs w:val="24"/>
          <w:shd w:fill="auto" w:val="clear"/>
          <w:lang w:val="en-US"/>
        </w:rPr>
        <w:t> </w:t>
      </w:r>
      <w:r>
        <w:rPr>
          <w:bCs/>
          <w:color w:val="000000"/>
          <w:sz w:val="24"/>
          <w:szCs w:val="24"/>
          <w:shd w:fill="auto" w:val="clear"/>
          <w:lang w:val="ru-RU"/>
        </w:rPr>
        <w:t xml:space="preserve">результатам проведенной Заказчиком конкурентной процедуры по лоту № </w:t>
      </w:r>
      <w:r>
        <w:rPr>
          <w:b w:val="false"/>
          <w:bCs/>
          <w:i w:val="false"/>
          <w:caps w:val="false"/>
          <w:smallCaps w:val="false"/>
          <w:color w:val="000000"/>
          <w:spacing w:val="0"/>
          <w:sz w:val="24"/>
          <w:szCs w:val="24"/>
          <w:shd w:fill="auto" w:val="clear"/>
          <w:lang w:val="ru-RU"/>
        </w:rPr>
        <w:t>0137-ЭКСП ПРОД-2026-БурГЭС</w:t>
      </w:r>
      <w:r>
        <w:rPr>
          <w:bCs/>
          <w:color w:val="000000"/>
          <w:sz w:val="24"/>
          <w:szCs w:val="24"/>
          <w:shd w:fill="auto" w:val="clear"/>
          <w:lang w:val="ru-RU"/>
        </w:rPr>
        <w:t>, и</w:t>
      </w:r>
      <w:r>
        <w:rPr>
          <w:bCs/>
          <w:color w:val="000000"/>
          <w:sz w:val="24"/>
          <w:szCs w:val="24"/>
          <w:shd w:fill="auto" w:val="clear"/>
          <w:lang w:val="en-US"/>
        </w:rPr>
        <w:t> </w:t>
      </w:r>
      <w:r>
        <w:rPr>
          <w:bCs/>
          <w:color w:val="000000"/>
          <w:sz w:val="24"/>
          <w:szCs w:val="24"/>
          <w:shd w:fill="auto" w:val="clear"/>
          <w:lang w:val="ru-RU"/>
        </w:rPr>
        <w:t>на</w:t>
      </w:r>
      <w:r>
        <w:rPr>
          <w:bCs/>
          <w:color w:val="000000"/>
          <w:sz w:val="24"/>
          <w:szCs w:val="24"/>
          <w:shd w:fill="auto" w:val="clear"/>
          <w:lang w:val="en-US"/>
        </w:rPr>
        <w:t> </w:t>
      </w:r>
      <w:r>
        <w:rPr>
          <w:bCs/>
          <w:color w:val="000000"/>
          <w:sz w:val="24"/>
          <w:szCs w:val="24"/>
          <w:shd w:fill="auto" w:val="clear"/>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shd w:val="clear" w:color="auto" w:fill="FFFFFF"/>
        <w:tabs>
          <w:tab w:val="left" w:pos="284" w:leader="none"/>
          <w:tab w:val="left" w:pos="709" w:leader="none"/>
        </w:tabs>
        <w:ind w:firstLine="709"/>
        <w:jc w:val="both"/>
        <w:rPr>
          <w:lang w:val="ru-RU" w:eastAsia="en-US"/>
        </w:rPr>
      </w:pPr>
      <w:r>
        <w:rPr>
          <w:b/>
          <w:lang w:val="ru-RU" w:eastAsia="en-US"/>
        </w:rPr>
        <w:t xml:space="preserve">«Этап Услуг» – </w:t>
      </w:r>
      <w:r>
        <w:rPr>
          <w:lang w:val="ru-RU" w:eastAsia="en-US"/>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pPr>
        <w:pStyle w:val="Normal"/>
        <w:shd w:val="clear" w:color="auto" w:fill="FFFFFF"/>
        <w:tabs>
          <w:tab w:val="left" w:pos="284" w:leader="none"/>
          <w:tab w:val="left" w:pos="709" w:leader="none"/>
        </w:tabs>
        <w:ind w:firstLine="709"/>
        <w:jc w:val="both"/>
        <w:rPr>
          <w:lang w:val="ru-RU" w:eastAsia="en-US"/>
        </w:rPr>
      </w:pPr>
      <w:r>
        <w:rPr>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w:t>
      </w:r>
      <w:r>
        <w:rPr>
          <w:shd w:fill="auto" w:val="clear"/>
        </w:rPr>
        <w:t xml:space="preserve">вору) оказать Заказчику услуги по </w:t>
      </w:r>
      <w:r>
        <w:rPr>
          <w:shd w:fill="auto" w:val="clear"/>
        </w:rPr>
        <w:t>а</w:t>
      </w:r>
      <w:r>
        <w:rPr>
          <w:rFonts w:eastAsia="Calibri"/>
          <w:b w:val="false"/>
          <w:bCs w:val="false"/>
          <w:color w:val="000000"/>
          <w:sz w:val="24"/>
          <w:szCs w:val="24"/>
          <w:shd w:fill="auto" w:val="clear"/>
        </w:rPr>
        <w:t>ктуализаци</w:t>
      </w:r>
      <w:r>
        <w:rPr>
          <w:rFonts w:eastAsia="Calibri"/>
          <w:b w:val="false"/>
          <w:bCs w:val="false"/>
          <w:color w:val="000000"/>
          <w:sz w:val="24"/>
          <w:szCs w:val="24"/>
          <w:shd w:fill="auto" w:val="clear"/>
        </w:rPr>
        <w:t>и</w:t>
      </w:r>
      <w:r>
        <w:rPr>
          <w:rFonts w:eastAsia="Calibri"/>
          <w:b w:val="false"/>
          <w:bCs w:val="false"/>
          <w:color w:val="000000"/>
          <w:sz w:val="24"/>
          <w:szCs w:val="24"/>
          <w:shd w:fill="auto" w:val="clear"/>
        </w:rPr>
        <w:t xml:space="preserve">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w:t>
      </w:r>
      <w:r>
        <w:rPr>
          <w:shd w:fill="auto" w:val="clear"/>
        </w:rPr>
        <w:t xml:space="preserve"> </w:t>
      </w:r>
      <w:r>
        <w:rPr>
          <w:bCs/>
          <w:shd w:fill="auto" w:val="clear"/>
        </w:rPr>
        <w:t>(дал</w:t>
      </w:r>
      <w:r>
        <w:rPr>
          <w:bCs/>
        </w:rPr>
        <w:t>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shd w:fill="auto" w:val="clear"/>
          <w:lang w:val="ru-RU"/>
        </w:rPr>
        <w:t>Филиала ПАО «РусГидро» - «Бурейская ГЭС».</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 xml:space="preserve">слуг: </w:t>
      </w:r>
      <w:r>
        <w:rPr>
          <w:sz w:val="24"/>
          <w:szCs w:val="24"/>
          <w:shd w:fill="auto" w:val="clear"/>
        </w:rPr>
        <w:t>Склад № 1 основного технологического оборудования (Инв. № 2001), склад № 2 (Инв. № 2002), авторемонтный корпус с подстанцией (Инв. №10301010000006180000), теплая стоянка машин складов основного оборудования (Инв. № 2003)</w:t>
      </w:r>
      <w:r>
        <w:rPr>
          <w:shd w:fill="auto" w:val="clea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rPr>
        <w:t>с даты заключения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shd w:fill="auto" w:val="clear"/>
        </w:rPr>
        <w:t xml:space="preserve"> «</w:t>
      </w:r>
      <w:r>
        <w:rPr>
          <w:bCs/>
          <w:shd w:fill="auto" w:val="clear"/>
        </w:rPr>
        <w:t>15</w:t>
      </w:r>
      <w:r>
        <w:rPr>
          <w:bCs/>
          <w:shd w:fill="auto" w:val="clear"/>
        </w:rPr>
        <w:t xml:space="preserve">» </w:t>
      </w:r>
      <w:r>
        <w:rPr>
          <w:bCs/>
          <w:shd w:fill="auto" w:val="clear"/>
        </w:rPr>
        <w:t>июля</w:t>
      </w:r>
      <w:r>
        <w:rPr>
          <w:bCs/>
          <w:shd w:fill="auto" w:val="clear"/>
        </w:rPr>
        <w:t xml:space="preserve"> 20</w:t>
      </w:r>
      <w:r>
        <w:rPr>
          <w:bCs/>
          <w:shd w:fill="auto" w:val="clear"/>
        </w:rPr>
        <w:t>26</w:t>
      </w:r>
      <w:r>
        <w:rPr>
          <w:bCs/>
          <w:shd w:fill="auto" w:val="clear"/>
        </w:rPr>
        <w:t xml:space="preserve"> г.</w:t>
      </w:r>
    </w:p>
    <w:p>
      <w:pPr>
        <w:pStyle w:val="Normal"/>
        <w:widowControl w:val="false"/>
        <w:numPr>
          <w:ilvl w:val="1"/>
          <w:numId w:val="3"/>
        </w:numPr>
        <w:shd w:val="clear" w:color="auto" w:fill="FFFFFF"/>
        <w:tabs>
          <w:tab w:val="clear" w:pos="709"/>
          <w:tab w:val="left" w:pos="1134" w:leader="none"/>
        </w:tabs>
        <w:ind w:left="0" w:firstLine="709"/>
        <w:jc w:val="both"/>
        <w:rPr>
          <w:bCs/>
          <w:lang w:val="ru-RU"/>
        </w:rPr>
      </w:pPr>
      <w:r>
        <w:rPr>
          <w:bCs/>
          <w:lang w:val="ru-RU"/>
        </w:rPr>
        <w:t xml:space="preserve">Оказание Услуг осуществляется поэтапно. Сроки оказания Этапов Услуг определяются Графиком оказания Услуг (Приложение № 2 к Договору) в рамках общих сроков, указанных в пункте 1.5 Договора. </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bookmarkEnd w:id="2"/>
    </w:p>
    <w:p>
      <w:pPr>
        <w:pStyle w:val="ListParagraph"/>
        <w:numPr>
          <w:ilvl w:val="2"/>
          <w:numId w:val="3"/>
        </w:numPr>
        <w:shd w:val="clear" w:color="auto" w:fill="FFFFFF"/>
        <w:tabs>
          <w:tab w:val="clear" w:pos="709"/>
          <w:tab w:val="left" w:pos="1418" w:leader="none"/>
        </w:tabs>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710" w:leader="none"/>
        </w:tabs>
        <w:ind w:left="0" w:firstLine="710"/>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bookmarkEnd w:id="4"/>
    </w:p>
    <w:p>
      <w:pPr>
        <w:pStyle w:val="ListParagraph"/>
        <w:numPr>
          <w:ilvl w:val="2"/>
          <w:numId w:val="14"/>
        </w:numPr>
        <w:shd w:val="clear" w:color="auto" w:fill="FFFFFF"/>
        <w:tabs>
          <w:tab w:val="clear" w:pos="709"/>
          <w:tab w:val="left" w:pos="1418" w:leader="none"/>
        </w:tabs>
        <w:ind w:left="0" w:firstLine="709"/>
        <w:jc w:val="both"/>
        <w:rPr/>
      </w:pPr>
      <w:bookmarkStart w:id="5" w:name="_Ref361319348"/>
      <w:r>
        <w:rPr>
          <w:shd w:fill="auto" w:val="clear"/>
        </w:rPr>
        <w:t>Вносить изменения в За</w:t>
      </w:r>
      <w:r>
        <w:rPr/>
        <w:t>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710" w:leader="none"/>
        </w:tabs>
        <w:ind w:left="0" w:firstLine="710"/>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4"/>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r>
        <w:rPr>
          <w:bCs/>
        </w:rPr>
        <w:t>.</w:t>
      </w:r>
    </w:p>
    <w:p>
      <w:pPr>
        <w:pStyle w:val="ListParagraph"/>
        <w:numPr>
          <w:ilvl w:val="2"/>
          <w:numId w:val="14"/>
        </w:numPr>
        <w:shd w:val="clear" w:color="auto" w:fill="FFFFFF"/>
        <w:tabs>
          <w:tab w:val="clear" w:pos="709"/>
          <w:tab w:val="left" w:pos="710" w:leader="none"/>
        </w:tabs>
        <w:ind w:left="0" w:firstLine="709"/>
        <w:jc w:val="both"/>
        <w:rPr/>
      </w:pPr>
      <w:r>
        <w:rPr/>
        <w:t xml:space="preserve"> </w:t>
      </w: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4"/>
        </w:numPr>
        <w:shd w:val="clear" w:color="auto" w:fill="FFFFFF"/>
        <w:tabs>
          <w:tab w:val="clear" w:pos="709"/>
          <w:tab w:val="left" w:pos="851" w:leader="none"/>
          <w:tab w:val="left" w:pos="1418" w:leader="none"/>
        </w:tabs>
        <w:ind w:left="0" w:firstLine="709"/>
        <w:jc w:val="both"/>
        <w:rPr>
          <w:bCs/>
        </w:rPr>
      </w:pPr>
      <w:r>
        <w:rPr/>
        <w:t>Письменно</w:t>
      </w:r>
      <w:r>
        <w:rPr>
          <w:bCs/>
        </w:rPr>
        <w:t xml:space="preserve">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14"/>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4"/>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4"/>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Style19"/>
        <w:tabs>
          <w:tab w:val="clear" w:pos="360"/>
        </w:tabs>
        <w:rPr>
          <w:rFonts w:ascii="Times New Roman" w:hAnsi="Times New Roman"/>
          <w:sz w:val="24"/>
          <w:szCs w:val="24"/>
        </w:rPr>
      </w:pPr>
      <w:r>
        <w:rPr>
          <w:rFonts w:ascii="Times New Roman" w:hAnsi="Times New Roman"/>
          <w:sz w:val="24"/>
          <w:szCs w:val="24"/>
        </w:rPr>
      </w:r>
    </w:p>
    <w:p>
      <w:pPr>
        <w:pStyle w:val="ListParagraph"/>
        <w:numPr>
          <w:ilvl w:val="1"/>
          <w:numId w:val="14"/>
        </w:numPr>
        <w:shd w:val="clear" w:color="auto" w:fill="FFFFFF"/>
        <w:tabs>
          <w:tab w:val="clear" w:pos="709"/>
          <w:tab w:val="left" w:pos="1134" w:leader="none"/>
        </w:tabs>
        <w:ind w:left="0" w:firstLine="709"/>
        <w:jc w:val="both"/>
        <w:rPr>
          <w:u w:val="single"/>
        </w:rPr>
      </w:pPr>
      <w:r>
        <w:rPr>
          <w:u w:val="single"/>
        </w:rPr>
        <w:t>Исполнитель имеет право:</w:t>
      </w:r>
    </w:p>
    <w:p>
      <w:pPr>
        <w:pStyle w:val="ListParagraph"/>
        <w:numPr>
          <w:ilvl w:val="2"/>
          <w:numId w:val="20"/>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0"/>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0"/>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0"/>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5"/>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5"/>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5"/>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4"/>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0"/>
          <w:numId w:val="0"/>
        </w:numPr>
        <w:shd w:val="clear" w:color="auto" w:fill="FFFFFF"/>
        <w:tabs>
          <w:tab w:val="clear" w:pos="709"/>
          <w:tab w:val="left" w:pos="1134" w:leader="none"/>
        </w:tabs>
        <w:ind w:left="0" w:hanging="0"/>
        <w:jc w:val="both"/>
        <w:rPr>
          <w:bCs/>
        </w:rPr>
      </w:pPr>
      <w:r>
        <w:rPr/>
      </w:r>
    </w:p>
    <w:p>
      <w:pPr>
        <w:pStyle w:val="Style19"/>
        <w:tabs>
          <w:tab w:val="clear" w:pos="360"/>
        </w:tabs>
        <w:rPr>
          <w:rFonts w:ascii="Times New Roman" w:hAnsi="Times New Roman"/>
          <w:sz w:val="24"/>
        </w:rPr>
      </w:pPr>
      <w:r>
        <w:rPr>
          <w:rFonts w:ascii="Times New Roman" w:hAnsi="Times New Roman"/>
          <w:sz w:val="24"/>
        </w:rPr>
      </w:r>
    </w:p>
    <w:p>
      <w:pPr>
        <w:pStyle w:val="ListParagraph"/>
        <w:numPr>
          <w:ilvl w:val="0"/>
          <w:numId w:val="14"/>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3"/>
        </w:numPr>
        <w:shd w:val="clear" w:color="auto" w:fill="FFFFFF"/>
        <w:tabs>
          <w:tab w:val="clear" w:pos="709"/>
          <w:tab w:val="left" w:pos="1134" w:leader="none"/>
        </w:tabs>
        <w:ind w:left="0" w:firstLine="709"/>
        <w:jc w:val="both"/>
        <w:rPr/>
      </w:pPr>
      <w:r>
        <w:rPr/>
        <w:t xml:space="preserve">Цена Договора в соответствии со </w:t>
      </w:r>
      <w:r>
        <w:rPr>
          <w:highlight w:val="lightGray"/>
        </w:rPr>
        <w:t xml:space="preserve">Сводным расчетом стоимости Услуг </w:t>
      </w:r>
      <w:r>
        <w:rPr/>
        <w:t xml:space="preserve">(Приложение № 3 к Договору) </w:t>
      </w:r>
      <w:r>
        <w:rPr>
          <w:bCs/>
        </w:rPr>
        <w:t>является</w:t>
      </w:r>
      <w:r>
        <w:rPr>
          <w:bCs/>
          <w:highlight w:val="lightGray"/>
        </w:rPr>
        <w:t xml:space="preserve"> твердой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23"/>
        </w:numPr>
        <w:shd w:val="clear" w:color="auto" w:fill="FFFFFF"/>
        <w:tabs>
          <w:tab w:val="clear" w:pos="709"/>
          <w:tab w:val="left" w:pos="1134" w:leader="none"/>
        </w:tabs>
        <w:ind w:left="0" w:firstLine="709"/>
        <w:jc w:val="both"/>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3 к Договору) путем заключения дополнительного соглашения к Договору.</w:t>
      </w:r>
      <w:bookmarkEnd w:id="8"/>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3 к Договору)</w:t>
      </w:r>
      <w:r>
        <w:rPr>
          <w:bCs/>
        </w:rPr>
        <w:t>.</w:t>
      </w:r>
    </w:p>
    <w:p>
      <w:pPr>
        <w:pStyle w:val="ListParagraph"/>
        <w:numPr>
          <w:ilvl w:val="1"/>
          <w:numId w:val="23"/>
        </w:numPr>
        <w:shd w:val="clear" w:color="auto" w:fill="FFFFFF"/>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17"/>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clear" w:pos="709"/>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19"/>
        </w:numPr>
        <w:shd w:val="clear" w:color="auto" w:fill="FFFFFF"/>
        <w:tabs>
          <w:tab w:val="clear" w:pos="709"/>
          <w:tab w:val="left" w:pos="1134" w:leader="none"/>
        </w:tabs>
        <w:ind w:left="0" w:firstLine="709"/>
        <w:jc w:val="both"/>
        <w:rPr/>
      </w:pPr>
      <w:bookmarkStart w:id="10" w:name="_Ref361834178"/>
      <w:bookmarkStart w:id="11" w:name="_Ref373240288"/>
      <w:bookmarkEnd w:id="10"/>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clear" w:pos="709"/>
          <w:tab w:val="left" w:pos="1134" w:leader="none"/>
        </w:tabs>
        <w:ind w:left="0" w:firstLine="709"/>
        <w:jc w:val="both"/>
        <w:rPr/>
      </w:pPr>
      <w:r>
        <w:rPr>
          <w:bCs/>
        </w:rPr>
        <w:t xml:space="preserve">Авансовые платежи </w:t>
      </w:r>
      <w:r>
        <w:rPr/>
        <w:t xml:space="preserve">в размере </w:t>
      </w:r>
      <w:r>
        <w:rPr>
          <w:highlight w:val="lightGray"/>
        </w:rPr>
        <w:t>10  (десяти) процентов</w:t>
      </w:r>
      <w:r>
        <w:rPr/>
        <w:t xml:space="preserve"> от стоимости Этапа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пунктов 3.5.1 и 3.5.4 Договора. </w:t>
      </w:r>
      <w:bookmarkEnd w:id="11"/>
    </w:p>
    <w:p>
      <w:pPr>
        <w:pStyle w:val="ListParagraph"/>
        <w:numPr>
          <w:ilvl w:val="2"/>
          <w:numId w:val="19"/>
        </w:numPr>
        <w:shd w:val="clear" w:color="auto" w:fill="FFFFFF"/>
        <w:tabs>
          <w:tab w:val="clear" w:pos="709"/>
          <w:tab w:val="left" w:pos="1134" w:leader="none"/>
        </w:tabs>
        <w:ind w:left="0" w:firstLine="709"/>
        <w:jc w:val="both"/>
        <w:rPr/>
      </w:pPr>
      <w:r>
        <w:rPr/>
        <w:t xml:space="preserve">Последующие платежи в размере разницы между стоимостью Этапа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 xml:space="preserve">20 (двадцати) календарных дней </w:t>
      </w:r>
      <w:r>
        <w:rPr/>
        <w:t>с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3.5.4 Договора.</w:t>
      </w:r>
    </w:p>
    <w:p>
      <w:pPr>
        <w:pStyle w:val="ListParagraph"/>
        <w:numPr>
          <w:ilvl w:val="2"/>
          <w:numId w:val="19"/>
        </w:numPr>
        <w:shd w:val="clear" w:color="auto" w:fill="FFFFFF"/>
        <w:tabs>
          <w:tab w:val="clear" w:pos="709"/>
          <w:tab w:val="left" w:pos="1134" w:leader="none"/>
        </w:tabs>
        <w:ind w:left="0" w:firstLine="709"/>
        <w:jc w:val="both"/>
        <w:rPr/>
      </w:pPr>
      <w:bookmarkStart w:id="12" w:name="_Ref361834178"/>
      <w:bookmarkStart w:id="13" w:name="_Ref372549497"/>
      <w:bookmarkEnd w:id="12"/>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numPr>
          <w:ilvl w:val="2"/>
          <w:numId w:val="19"/>
        </w:numPr>
        <w:shd w:val="clear" w:color="auto" w:fill="FFFFFF"/>
        <w:tabs>
          <w:tab w:val="clear" w:pos="709"/>
          <w:tab w:val="left" w:pos="1134" w:leader="none"/>
        </w:tabs>
        <w:ind w:left="0" w:firstLine="709"/>
        <w:jc w:val="both"/>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highlight w:val="none"/>
          <w:shd w:fill="auto" w:val="clear"/>
        </w:rPr>
      </w:pPr>
      <w:r>
        <w:rPr>
          <w:shd w:fill="auto" w:val="clear"/>
        </w:rPr>
        <w:t>Командировочные расходы включаются в стоимость Этапов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соответствующих Этапов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21"/>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 xml:space="preserve">По окончании оказания Услуг по каждому Этапу Услуг, указанному в Графике оказания Услуг (Приложение № 2 к Договору),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5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 и Графиком оказания услуг (Приложение № 2 к Договору).</w:t>
      </w:r>
      <w:r>
        <w:rPr/>
        <w:t xml:space="preserve"> </w:t>
      </w:r>
    </w:p>
    <w:p>
      <w:pPr>
        <w:pStyle w:val="ListParagraph"/>
        <w:numPr>
          <w:ilvl w:val="1"/>
          <w:numId w:val="21"/>
        </w:numPr>
        <w:shd w:val="clear" w:color="auto" w:fill="FFFFFF"/>
        <w:tabs>
          <w:tab w:val="clear" w:pos="709"/>
          <w:tab w:val="left" w:pos="284" w:leader="none"/>
          <w:tab w:val="left" w:pos="1134" w:leader="none"/>
        </w:tabs>
        <w:ind w:left="0" w:firstLine="709"/>
        <w:jc w:val="both"/>
        <w:rPr/>
      </w:pPr>
      <w:bookmarkStart w:id="14"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Pr/>
        <w:t xml:space="preserve"> </w:t>
      </w:r>
    </w:p>
    <w:p>
      <w:pPr>
        <w:pStyle w:val="ListParagraph"/>
        <w:numPr>
          <w:ilvl w:val="1"/>
          <w:numId w:val="21"/>
        </w:numPr>
        <w:shd w:val="clear" w:color="auto" w:fill="FFFFFF"/>
        <w:tabs>
          <w:tab w:val="clear" w:pos="709"/>
          <w:tab w:val="left" w:pos="1134" w:leader="none"/>
        </w:tabs>
        <w:ind w:left="0" w:firstLine="709"/>
        <w:jc w:val="both"/>
        <w:rPr/>
      </w:pPr>
      <w:bookmarkStart w:id="15"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Normal"/>
        <w:shd w:val="clear" w:color="auto" w:fill="FFFFFF"/>
        <w:tabs>
          <w:tab w:val="clear" w:pos="709"/>
          <w:tab w:val="left" w:pos="1134" w:leader="none"/>
        </w:tabs>
        <w:ind w:firstLine="709"/>
        <w:jc w:val="both"/>
        <w:rPr>
          <w:lang w:val="ru-RU"/>
        </w:rPr>
      </w:pPr>
      <w:r>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11"/>
        <w:numPr>
          <w:ilvl w:val="1"/>
          <w:numId w:val="2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1"/>
        </w:numPr>
        <w:shd w:val="clear" w:color="auto" w:fill="FFFFFF"/>
        <w:tabs>
          <w:tab w:val="clear" w:pos="709"/>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pPr>
        <w:pStyle w:val="ListParagraph"/>
        <w:shd w:val="clear" w:color="auto" w:fill="FFFFFF"/>
        <w:tabs>
          <w:tab w:val="clear" w:pos="709"/>
          <w:tab w:val="left" w:pos="1134" w:leader="none"/>
        </w:tabs>
        <w:ind w:left="0" w:hanging="0"/>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2"/>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2"/>
        </w:numPr>
        <w:shd w:val="clear" w:color="auto" w:fill="FFFFFF"/>
        <w:tabs>
          <w:tab w:val="clear" w:pos="709"/>
          <w:tab w:val="left" w:pos="1418"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2"/>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2"/>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t>Вместе с требованием о предъявлении суммы обеспечения к оплате Заказчик направляет Банку-Гаранту копию Банковской гарантии</w:t>
      </w:r>
      <w:r>
        <w:rPr>
          <w:bCs/>
        </w:rPr>
        <w:t>.</w:t>
      </w:r>
    </w:p>
    <w:p>
      <w:pPr>
        <w:pStyle w:val="ListParagraph"/>
        <w:shd w:val="clear" w:color="auto" w:fill="FFFFFF"/>
        <w:tabs>
          <w:tab w:val="clear" w:pos="709"/>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numPr>
          <w:ilvl w:val="2"/>
          <w:numId w:val="22"/>
        </w:numPr>
        <w:shd w:val="clear" w:color="auto" w:fill="FFFFFF"/>
        <w:tabs>
          <w:tab w:val="clear" w:pos="709"/>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2"/>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2"/>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2"/>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7 к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2"/>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t>.</w:t>
      </w:r>
    </w:p>
    <w:p>
      <w:pPr>
        <w:pStyle w:val="ListParagraph"/>
        <w:numPr>
          <w:ilvl w:val="1"/>
          <w:numId w:val="22"/>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2"/>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pPr>
        <w:pStyle w:val="ListParagraph"/>
        <w:numPr>
          <w:ilvl w:val="1"/>
          <w:numId w:val="22"/>
        </w:numPr>
        <w:shd w:val="clear" w:color="auto" w:fill="FFFFFF"/>
        <w:tabs>
          <w:tab w:val="clear" w:pos="709"/>
          <w:tab w:val="left" w:pos="1134" w:leader="none"/>
        </w:tabs>
        <w:ind w:left="0" w:firstLine="709"/>
        <w:jc w:val="both"/>
        <w:rPr>
          <w:bCs/>
        </w:rPr>
      </w:pPr>
      <w:r>
        <w:rPr/>
        <w:t>Принадлежащее Заказчику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Банковской гарантии.</w:t>
      </w:r>
    </w:p>
    <w:p>
      <w:pPr>
        <w:pStyle w:val="ListParagraph"/>
        <w:numPr>
          <w:ilvl w:val="0"/>
          <w:numId w:val="22"/>
        </w:numPr>
        <w:shd w:val="clear" w:color="auto" w:fill="FFFFFF"/>
        <w:tabs>
          <w:tab w:val="clear" w:pos="709"/>
          <w:tab w:val="left" w:pos="284" w:leader="none"/>
        </w:tabs>
        <w:jc w:val="center"/>
        <w:rPr>
          <w:b/>
        </w:rPr>
      </w:pPr>
      <w:r>
        <w:rPr>
          <w:b/>
        </w:rPr>
        <w:t>Ответственность Сторон</w:t>
      </w:r>
    </w:p>
    <w:p>
      <w:pPr>
        <w:pStyle w:val="ListParagraph"/>
        <w:numPr>
          <w:ilvl w:val="1"/>
          <w:numId w:val="22"/>
        </w:numPr>
        <w:shd w:val="clear" w:color="auto" w:fill="FFFFFF"/>
        <w:tabs>
          <w:tab w:val="clear" w:pos="709"/>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2"/>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2"/>
        </w:numPr>
        <w:tabs>
          <w:tab w:val="clear" w:pos="709"/>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numPr>
          <w:ilvl w:val="1"/>
          <w:numId w:val="22"/>
        </w:numPr>
        <w:tabs>
          <w:tab w:val="clear" w:pos="709"/>
          <w:tab w:val="left" w:pos="1134" w:leader="none"/>
          <w:tab w:val="left" w:pos="1276" w:leader="none"/>
        </w:tabs>
        <w:ind w:left="0" w:firstLine="709"/>
        <w:jc w:val="both"/>
        <w:rPr>
          <w:lang w:val="ru-RU"/>
        </w:rPr>
      </w:pPr>
      <w:r>
        <w:rPr>
          <w:lang w:val="ru-RU"/>
        </w:rPr>
        <w:t>В случае 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pPr>
        <w:pStyle w:val="ListParagraph"/>
        <w:numPr>
          <w:ilvl w:val="2"/>
          <w:numId w:val="22"/>
        </w:numPr>
        <w:ind w:left="0" w:firstLine="709"/>
        <w:jc w:val="both"/>
        <w:rPr/>
      </w:pPr>
      <w:r>
        <w:rPr/>
        <w:t>Неустойки в размере 0,1 (ноль целых и одна десятая) процента от стоимости Этапа Услуг за каждый день просрочки;</w:t>
      </w:r>
    </w:p>
    <w:p>
      <w:pPr>
        <w:pStyle w:val="Normal"/>
        <w:numPr>
          <w:ilvl w:val="2"/>
          <w:numId w:val="22"/>
        </w:numPr>
        <w:tabs>
          <w:tab w:val="clear" w:pos="709"/>
          <w:tab w:val="left" w:pos="1134" w:leader="none"/>
        </w:tabs>
        <w:ind w:left="0" w:firstLine="709"/>
        <w:jc w:val="both"/>
        <w:rPr>
          <w:lang w:val="ru-RU"/>
        </w:rPr>
      </w:pPr>
      <w:r>
        <w:rPr>
          <w:lang w:val="ru-RU"/>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p>
    <w:p>
      <w:pPr>
        <w:pStyle w:val="ListParagraph"/>
        <w:numPr>
          <w:ilvl w:val="2"/>
          <w:numId w:val="22"/>
        </w:numPr>
        <w:ind w:left="0" w:firstLine="709"/>
        <w:jc w:val="both"/>
        <w:rPr/>
      </w:pPr>
      <w:r>
        <w:rPr/>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p>
    <w:p>
      <w:pPr>
        <w:pStyle w:val="ListParagraph"/>
        <w:numPr>
          <w:ilvl w:val="1"/>
          <w:numId w:val="22"/>
        </w:numPr>
        <w:tabs>
          <w:tab w:val="clear" w:pos="709"/>
          <w:tab w:val="left" w:pos="1134" w:leader="none"/>
        </w:tabs>
        <w:ind w:left="-142" w:firstLine="851"/>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2"/>
        </w:numPr>
        <w:tabs>
          <w:tab w:val="clear" w:pos="709"/>
          <w:tab w:val="left" w:pos="1134" w:leader="none"/>
        </w:tabs>
        <w:ind w:left="0" w:firstLine="709"/>
        <w:jc w:val="both"/>
        <w:rPr/>
      </w:pPr>
      <w: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6 к Договору.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2"/>
        </w:numPr>
        <w:tabs>
          <w:tab w:val="clear" w:pos="709"/>
          <w:tab w:val="left" w:pos="1276"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2"/>
        </w:numPr>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2"/>
        </w:numPr>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2"/>
        </w:numPr>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2"/>
        </w:numPr>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2"/>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2"/>
        </w:numPr>
        <w:shd w:val="clear" w:color="auto" w:fill="FFFFFF"/>
        <w:tabs>
          <w:tab w:val="clear" w:pos="709"/>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2"/>
        </w:numPr>
        <w:shd w:val="clear" w:color="auto" w:fill="FFFFFF"/>
        <w:tabs>
          <w:tab w:val="clear" w:pos="709"/>
          <w:tab w:val="left" w:pos="426" w:leader="none"/>
        </w:tabs>
        <w:ind w:left="0" w:hanging="360"/>
        <w:jc w:val="center"/>
        <w:rPr>
          <w:b/>
          <w:bCs/>
        </w:rPr>
      </w:pPr>
      <w:r>
        <w:rPr>
          <w:b/>
          <w:bCs/>
        </w:rPr>
        <w:t>Конфиденциальность</w:t>
      </w:r>
    </w:p>
    <w:p>
      <w:pPr>
        <w:pStyle w:val="ListParagraph"/>
        <w:numPr>
          <w:ilvl w:val="1"/>
          <w:numId w:val="22"/>
        </w:numPr>
        <w:shd w:val="clear" w:color="auto" w:fill="FFFFFF"/>
        <w:tabs>
          <w:tab w:val="clear" w:pos="709"/>
          <w:tab w:val="left" w:pos="1134" w:leader="none"/>
        </w:tabs>
        <w:ind w:left="0" w:firstLine="709"/>
        <w:jc w:val="both"/>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2"/>
        </w:numPr>
        <w:shd w:val="clear" w:color="auto" w:fill="FFFFFF"/>
        <w:tabs>
          <w:tab w:val="clear" w:pos="709"/>
          <w:tab w:val="left" w:pos="1134" w:leader="none"/>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7"/>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8"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numPr>
          <w:ilvl w:val="1"/>
          <w:numId w:val="22"/>
        </w:numPr>
        <w:shd w:val="clear" w:color="auto" w:fill="FFFFFF"/>
        <w:tabs>
          <w:tab w:val="clear" w:pos="709"/>
          <w:tab w:val="left" w:pos="1134" w:leader="none"/>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2"/>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rPr>
        <w:t xml:space="preserve">Амурской области </w:t>
      </w:r>
      <w:r>
        <w:rPr>
          <w:bCs/>
        </w:rPr>
        <w:t>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2"/>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2"/>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2"/>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2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2"/>
        </w:numPr>
        <w:shd w:val="clear" w:color="auto" w:fill="FFFFFF"/>
        <w:tabs>
          <w:tab w:val="clear" w:pos="709"/>
          <w:tab w:val="left" w:pos="1134"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2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0"/>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hanging="0"/>
        <w:jc w:val="both"/>
        <w:rPr/>
      </w:pPr>
      <w:r>
        <w:rPr/>
      </w:r>
    </w:p>
    <w:p>
      <w:pPr>
        <w:pStyle w:val="ListParagraph"/>
        <w:numPr>
          <w:ilvl w:val="0"/>
          <w:numId w:val="2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2"/>
        </w:numPr>
        <w:shd w:val="clear" w:color="auto" w:fill="FFFFFF"/>
        <w:tabs>
          <w:tab w:val="clear" w:pos="709"/>
          <w:tab w:val="left" w:pos="1418" w:leader="none"/>
          <w:tab w:val="left" w:pos="1560" w:leader="none"/>
        </w:tabs>
        <w:ind w:left="0" w:firstLine="709"/>
        <w:jc w:val="both"/>
        <w:rPr/>
      </w:pPr>
      <w:r>
        <w:rPr/>
        <w:t>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ListParagraph"/>
        <w:shd w:val="clear" w:color="auto" w:fill="FFFFFF"/>
        <w:tabs>
          <w:tab w:val="clear" w:pos="709"/>
          <w:tab w:val="left" w:pos="1418" w:leader="none"/>
          <w:tab w:val="left" w:pos="1560"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 w:val="left" w:pos="1560" w:leader="none"/>
        </w:tabs>
        <w:ind w:left="0" w:firstLine="709"/>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134"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xml:space="preserve"> Договора.</w:t>
      </w:r>
    </w:p>
    <w:p>
      <w:pPr>
        <w:pStyle w:val="ListParagraph"/>
        <w:numPr>
          <w:ilvl w:val="1"/>
          <w:numId w:val="22"/>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r>
        <w:rPr/>
        <w:t xml:space="preserve"> </w:t>
      </w:r>
    </w:p>
    <w:p>
      <w:pPr>
        <w:pStyle w:val="ListParagraph"/>
        <w:numPr>
          <w:ilvl w:val="1"/>
          <w:numId w:val="22"/>
        </w:numPr>
        <w:shd w:val="clear" w:color="auto" w:fill="FFFFFF"/>
        <w:tabs>
          <w:tab w:val="clear" w:pos="709"/>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clear" w:pos="709"/>
          <w:tab w:val="left" w:pos="1418"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2"/>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Приложение № 2 – График оказания Услуг;</w:t>
      </w:r>
    </w:p>
    <w:p>
      <w:pPr>
        <w:pStyle w:val="Normal"/>
        <w:tabs>
          <w:tab w:val="clear" w:pos="709"/>
          <w:tab w:val="left" w:pos="2127" w:leader="none"/>
          <w:tab w:val="left" w:pos="2410" w:leader="none"/>
        </w:tabs>
        <w:jc w:val="both"/>
        <w:rPr>
          <w:lang w:val="ru-RU" w:eastAsia="en-US"/>
        </w:rPr>
      </w:pPr>
      <w:r>
        <w:rPr>
          <w:lang w:val="ru-RU"/>
        </w:rPr>
        <w:t xml:space="preserve">Приложение № 3 – </w:t>
      </w:r>
      <w:r>
        <w:rPr>
          <w:highlight w:val="lightGray"/>
          <w:lang w:val="ru-RU"/>
        </w:rPr>
        <w:t>Сводный расчет стоимости Услуг</w:t>
      </w:r>
      <w:r>
        <w:rPr>
          <w:lang w:val="ru-RU"/>
        </w:rPr>
        <w:t>;</w:t>
      </w:r>
    </w:p>
    <w:p>
      <w:pPr>
        <w:pStyle w:val="Normal"/>
        <w:tabs>
          <w:tab w:val="clear" w:pos="709"/>
          <w:tab w:val="left" w:pos="2127" w:leader="none"/>
          <w:tab w:val="left" w:pos="2410" w:leader="none"/>
        </w:tabs>
        <w:jc w:val="both"/>
        <w:rPr>
          <w:bCs/>
          <w:lang w:val="ru-RU"/>
        </w:rPr>
      </w:pPr>
      <w:r>
        <w:rPr>
          <w:lang w:val="ru-RU"/>
        </w:rPr>
        <w:t>Приложение № 4 – Форма Акта сдачи-приемки технической и иной документации</w:t>
      </w:r>
      <w:r>
        <w:rPr>
          <w:bCs/>
          <w:lang w:val="ru-RU"/>
        </w:rPr>
        <w:t>;</w:t>
      </w:r>
    </w:p>
    <w:p>
      <w:pPr>
        <w:pStyle w:val="Normal"/>
        <w:tabs>
          <w:tab w:val="clear" w:pos="709"/>
          <w:tab w:val="left" w:pos="2127" w:leader="none"/>
          <w:tab w:val="left" w:pos="2410" w:leader="none"/>
        </w:tabs>
        <w:jc w:val="both"/>
        <w:rPr>
          <w:lang w:val="ru-RU"/>
        </w:rPr>
      </w:pPr>
      <w:r>
        <w:rPr>
          <w:lang w:val="ru-RU"/>
        </w:rPr>
        <w:t>Приложение № 5 – Форма Акта об оказании Услуг;</w:t>
      </w:r>
    </w:p>
    <w:p>
      <w:pPr>
        <w:pStyle w:val="ListParagraph"/>
        <w:shd w:val="clear" w:color="auto" w:fill="FFFFFF"/>
        <w:tabs>
          <w:tab w:val="clear" w:pos="709"/>
          <w:tab w:val="left" w:pos="1134" w:leader="none"/>
          <w:tab w:val="left" w:pos="2127" w:leader="none"/>
          <w:tab w:val="left" w:pos="2410" w:leader="none"/>
        </w:tabs>
        <w:ind w:left="0" w:hanging="0"/>
        <w:jc w:val="both"/>
        <w:rPr>
          <w:lang w:eastAsia="en-US"/>
        </w:rPr>
      </w:pPr>
      <w:r>
        <w:rPr>
          <w:bCs/>
        </w:rPr>
        <w:t xml:space="preserve">Приложение № 6 </w:t>
      </w:r>
      <w:r>
        <w:rPr/>
        <w:t>–</w:t>
      </w:r>
      <w:r>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jc w:val="both"/>
        <w:rPr>
          <w:lang w:val="ru-RU"/>
        </w:rPr>
      </w:pPr>
      <w:r>
        <w:rPr>
          <w:bCs/>
          <w:lang w:val="ru-RU"/>
        </w:rPr>
        <w:t>П</w:t>
      </w:r>
      <w:r>
        <w:rPr>
          <w:lang w:val="ru-RU" w:eastAsia="en-US"/>
        </w:rPr>
        <w:t xml:space="preserve">риложение № 7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8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22"/>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b/>
              </w:rPr>
            </w:pPr>
            <w:r>
              <w:rPr>
                <w:b/>
              </w:rPr>
              <w:t>ЗАКАЗЧИК:</w:t>
            </w:r>
          </w:p>
        </w:tc>
        <w:tc>
          <w:tcPr>
            <w:tcW w:w="4643" w:type="dxa"/>
            <w:tcBorders/>
            <w:shd w:color="auto" w:fill="auto" w:val="clear"/>
          </w:tcPr>
          <w:p>
            <w:pPr>
              <w:pStyle w:val="Normal"/>
              <w:widowControl w:val="false"/>
              <w:rPr>
                <w:b/>
              </w:rPr>
            </w:pPr>
            <w:r>
              <w:rPr>
                <w:b/>
                <w:lang w:val="ru-RU"/>
              </w:rPr>
              <w:t>ИСПОЛНИТЕЛЬ</w:t>
            </w:r>
            <w:r>
              <w:rPr>
                <w:b/>
              </w:rPr>
              <w:t>:</w:t>
            </w:r>
          </w:p>
        </w:tc>
      </w:tr>
      <w:tr>
        <w:trPr/>
        <w:tc>
          <w:tcPr>
            <w:tcW w:w="4643" w:type="dxa"/>
            <w:tcBorders/>
            <w:shd w:color="auto" w:fill="auto" w:val="clear"/>
          </w:tcPr>
          <w:p>
            <w:pPr>
              <w:pStyle w:val="Normal"/>
              <w:widowControl w:val="false"/>
              <w:rPr>
                <w:b/>
                <w:lang w:val="ru-RU"/>
              </w:rPr>
            </w:pPr>
            <w:r>
              <w:rPr>
                <w:b/>
                <w:lang w:val="ru-RU"/>
              </w:rPr>
              <w:t xml:space="preserve"> </w:t>
            </w:r>
            <w:r>
              <w:rPr>
                <w:b/>
                <w:bCs/>
                <w:i w:val="false"/>
                <w:caps w:val="false"/>
                <w:smallCaps w:val="false"/>
                <w:spacing w:val="0"/>
                <w:lang w:val="ru-RU"/>
              </w:rPr>
              <w:t>Публичное акционерное общество</w:t>
            </w:r>
            <w:r>
              <w:rPr>
                <w:b/>
                <w:bCs/>
                <w:caps w:val="false"/>
                <w:smallCaps w:val="false"/>
                <w:spacing w:val="0"/>
                <w:lang w:val="ru-RU"/>
              </w:rPr>
              <w:t xml:space="preserve"> </w:t>
            </w:r>
            <w:r>
              <w:rPr>
                <w:b/>
                <w:bCs/>
                <w:i w:val="false"/>
                <w:caps w:val="false"/>
                <w:smallCaps w:val="false"/>
                <w:spacing w:val="0"/>
                <w:lang w:val="ru-RU"/>
              </w:rPr>
              <w:t>«Федеральная гидрогенерирующая компания - РусГидро» (ПАО «РусГидро»)</w:t>
            </w:r>
            <w:r>
              <w:rPr>
                <w:b/>
                <w:bCs/>
                <w:caps w:val="false"/>
                <w:smallCaps w:val="false"/>
                <w:spacing w:val="0"/>
                <w:lang w:val="ru-RU"/>
              </w:rPr>
              <w:t xml:space="preserve"> </w:t>
            </w:r>
          </w:p>
          <w:p>
            <w:pPr>
              <w:pStyle w:val="Normal"/>
              <w:widowControl w:val="false"/>
              <w:rPr>
                <w:b/>
                <w:lang w:val="ru-RU"/>
              </w:rPr>
            </w:pPr>
            <w:r>
              <w:rPr>
                <w:b/>
                <w:lang w:val="ru-RU"/>
              </w:rPr>
            </w:r>
          </w:p>
          <w:p>
            <w:pPr>
              <w:pStyle w:val="Normal"/>
              <w:widowControl w:val="false"/>
              <w:rPr>
                <w:b/>
                <w:lang w:val="ru-RU"/>
              </w:rPr>
            </w:pPr>
            <w:r>
              <w:rPr>
                <w:b w:val="false"/>
                <w:i w:val="false"/>
                <w:caps w:val="false"/>
                <w:smallCaps w:val="false"/>
                <w:spacing w:val="0"/>
                <w:lang w:val="ru-RU"/>
              </w:rPr>
              <w:t>Место нахождения: 660049,</w:t>
            </w:r>
            <w:r>
              <w:rPr>
                <w:b/>
                <w:caps w:val="false"/>
                <w:smallCaps w:val="false"/>
                <w:spacing w:val="0"/>
                <w:lang w:val="ru-RU"/>
              </w:rPr>
              <w:t xml:space="preserve"> </w:t>
            </w:r>
            <w:r>
              <w:rPr>
                <w:b w:val="false"/>
                <w:i w:val="false"/>
                <w:caps w:val="false"/>
                <w:smallCaps w:val="false"/>
                <w:spacing w:val="0"/>
                <w:lang w:val="ru-RU"/>
              </w:rPr>
              <w:t>Красноярский край, г. Красноярск,</w:t>
            </w:r>
            <w:r>
              <w:rPr>
                <w:b/>
                <w:caps w:val="false"/>
                <w:smallCaps w:val="false"/>
                <w:spacing w:val="0"/>
                <w:lang w:val="ru-RU"/>
              </w:rPr>
              <w:t xml:space="preserve"> </w:t>
            </w:r>
            <w:r>
              <w:rPr>
                <w:b w:val="false"/>
                <w:i w:val="false"/>
                <w:caps w:val="false"/>
                <w:smallCaps w:val="false"/>
                <w:spacing w:val="0"/>
                <w:lang w:val="ru-RU"/>
              </w:rPr>
              <w:t>ул. Перенсона, зд. 2а, пом.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b w:val="false"/>
                <w:bCs w:val="false"/>
              </w:rPr>
            </w:pPr>
            <w:r>
              <w:rPr>
                <w:b w:val="false"/>
                <w:bCs w:val="false"/>
                <w:lang w:val="ru-RU"/>
              </w:rPr>
              <w:t xml:space="preserve">ОГРН 1042401810494, </w:t>
            </w:r>
          </w:p>
          <w:p>
            <w:pPr>
              <w:pStyle w:val="Normal"/>
              <w:widowControl w:val="false"/>
              <w:rPr>
                <w:b/>
                <w:lang w:val="ru-RU"/>
              </w:rPr>
            </w:pPr>
            <w:r>
              <w:rPr>
                <w:b w:val="false"/>
                <w:bCs w:val="false"/>
                <w:lang w:val="ru-RU"/>
              </w:rPr>
              <w:t xml:space="preserve">ИНН 2460066195 / КПП </w:t>
            </w:r>
            <w:r>
              <w:rPr>
                <w:b w:val="false"/>
                <w:bCs w:val="false"/>
                <w:i w:val="false"/>
                <w:caps w:val="false"/>
                <w:smallCaps w:val="false"/>
                <w:color w:val="111111"/>
                <w:spacing w:val="0"/>
                <w:sz w:val="24"/>
                <w:szCs w:val="24"/>
                <w:lang w:val="ru-RU"/>
              </w:rPr>
              <w:t>2</w:t>
            </w:r>
            <w:r>
              <w:rPr>
                <w:b w:val="false"/>
                <w:i w:val="false"/>
                <w:caps w:val="false"/>
                <w:smallCaps w:val="false"/>
                <w:color w:val="111111"/>
                <w:spacing w:val="0"/>
                <w:sz w:val="24"/>
                <w:szCs w:val="24"/>
                <w:lang w:val="ru-RU"/>
              </w:rPr>
              <w:t>46601001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jc w:val="right"/>
        <w:rPr>
          <w:lang w:val="ru-RU"/>
        </w:rPr>
      </w:pPr>
      <w:r>
        <w:rPr>
          <w:lang w:val="ru-RU"/>
        </w:rPr>
      </w:r>
      <w:r>
        <w:br w:type="page"/>
      </w:r>
    </w:p>
    <w:p>
      <w:pPr>
        <w:pStyle w:val="Normal"/>
        <w:ind w:firstLine="709"/>
        <w:jc w:val="right"/>
        <w:rPr>
          <w:sz w:val="22"/>
          <w:szCs w:val="22"/>
          <w:lang w:val="ru-RU"/>
        </w:rPr>
      </w:pPr>
      <w:r>
        <w:rPr>
          <w:sz w:val="22"/>
          <w:szCs w:val="22"/>
          <w:lang w:val="ru-RU"/>
        </w:rPr>
        <w:t xml:space="preserve">Приложение № 1 </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ind w:left="6379" w:hanging="0"/>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b/>
        </w:rPr>
      </w:pPr>
      <w:r>
        <w:rPr>
          <w:b/>
        </w:rPr>
      </w:r>
    </w:p>
    <w:p>
      <w:pPr>
        <w:pStyle w:val="Normal"/>
        <w:jc w:val="center"/>
        <w:rPr>
          <w:b/>
        </w:rPr>
      </w:pPr>
      <w:r>
        <w:rPr>
          <w:b/>
        </w:rPr>
      </w:r>
    </w:p>
    <w:p>
      <w:pPr>
        <w:pStyle w:val="Normal"/>
        <w:jc w:val="center"/>
        <w:rPr>
          <w:b/>
        </w:rPr>
      </w:pPr>
      <w:r>
        <w:rPr>
          <w:b/>
        </w:rPr>
      </w:r>
    </w:p>
    <w:p>
      <w:pPr>
        <w:pStyle w:val="Normal"/>
        <w:jc w:val="center"/>
        <w:rPr/>
      </w:pPr>
      <w:r>
        <w:rPr>
          <w:b/>
          <w:lang w:val="ru-RU"/>
        </w:rPr>
        <w:t>График оказания Услуг</w:t>
      </w:r>
    </w:p>
    <w:p>
      <w:pPr>
        <w:pStyle w:val="Normal"/>
        <w:rPr/>
      </w:pPr>
      <w:r>
        <w:rPr/>
      </w:r>
    </w:p>
    <w:tbl>
      <w:tblPr>
        <w:tblW w:w="972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3"/>
        <w:gridCol w:w="1502"/>
        <w:gridCol w:w="1842"/>
        <w:gridCol w:w="1484"/>
        <w:gridCol w:w="1268"/>
        <w:gridCol w:w="850"/>
        <w:gridCol w:w="851"/>
        <w:gridCol w:w="1218"/>
      </w:tblGrid>
      <w:tr>
        <w:trPr>
          <w:trHeight w:val="239" w:hRule="atLeast"/>
        </w:trPr>
        <w:tc>
          <w:tcPr>
            <w:tcW w:w="7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 </w:t>
            </w:r>
            <w:r>
              <w:rPr>
                <w:sz w:val="20"/>
                <w:szCs w:val="20"/>
              </w:rPr>
              <w:t>этапа</w:t>
            </w:r>
          </w:p>
        </w:tc>
        <w:tc>
          <w:tcPr>
            <w:tcW w:w="15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Наименование этапа (состав </w:t>
            </w:r>
            <w:r>
              <w:rPr>
                <w:sz w:val="20"/>
                <w:szCs w:val="20"/>
                <w:lang w:val="ru-RU"/>
              </w:rPr>
              <w:t>Услуг</w:t>
            </w:r>
            <w:r>
              <w:rPr>
                <w:sz w:val="20"/>
                <w:szCs w:val="20"/>
              </w:rPr>
              <w:t>)</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Отчетные документы</w:t>
            </w:r>
          </w:p>
          <w:p>
            <w:pPr>
              <w:pStyle w:val="Normal"/>
              <w:widowControl w:val="false"/>
              <w:jc w:val="center"/>
              <w:rPr>
                <w:sz w:val="20"/>
                <w:szCs w:val="20"/>
              </w:rPr>
            </w:pPr>
            <w:r>
              <w:rPr>
                <w:sz w:val="20"/>
                <w:szCs w:val="20"/>
              </w:rPr>
            </w:r>
          </w:p>
        </w:tc>
        <w:tc>
          <w:tcPr>
            <w:tcW w:w="27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Период выполнения этапа</w:t>
            </w:r>
          </w:p>
        </w:tc>
        <w:tc>
          <w:tcPr>
            <w:tcW w:w="8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Цена этапа, руб. без НДС</w:t>
            </w:r>
          </w:p>
        </w:tc>
        <w:tc>
          <w:tcPr>
            <w:tcW w:w="8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Сумма НДС</w:t>
            </w:r>
          </w:p>
          <w:p>
            <w:pPr>
              <w:pStyle w:val="Normal"/>
              <w:widowControl w:val="false"/>
              <w:jc w:val="center"/>
              <w:rPr>
                <w:sz w:val="20"/>
                <w:szCs w:val="20"/>
              </w:rPr>
            </w:pPr>
            <w:r>
              <w:rPr>
                <w:sz w:val="20"/>
                <w:szCs w:val="20"/>
              </w:rPr>
              <w:t>(__ %)</w:t>
            </w:r>
            <w:r>
              <w:rPr>
                <w:sz w:val="20"/>
                <w:szCs w:val="20"/>
                <w:lang w:val="ru-RU"/>
              </w:rPr>
              <w:t>,</w:t>
            </w:r>
            <w:r>
              <w:rPr>
                <w:sz w:val="20"/>
                <w:szCs w:val="20"/>
              </w:rPr>
              <w:t xml:space="preserve"> руб.</w:t>
            </w:r>
          </w:p>
        </w:tc>
        <w:tc>
          <w:tcPr>
            <w:tcW w:w="12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Стоимость этапа, руб. с НДС</w:t>
            </w:r>
          </w:p>
        </w:tc>
      </w:tr>
      <w:tr>
        <w:trPr>
          <w:trHeight w:val="972" w:hRule="atLeast"/>
        </w:trPr>
        <w:tc>
          <w:tcPr>
            <w:tcW w:w="70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5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t>Начало</w:t>
            </w:r>
          </w:p>
        </w:tc>
        <w:tc>
          <w:tcPr>
            <w:tcW w:w="12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t>Окончание</w:t>
            </w:r>
          </w:p>
        </w:tc>
        <w:tc>
          <w:tcPr>
            <w:tcW w:w="8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7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1.</w:t>
            </w:r>
          </w:p>
        </w:tc>
        <w:tc>
          <w:tcPr>
            <w:tcW w:w="1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90"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lang w:val="ru-RU"/>
              </w:rPr>
              <w:t>2</w:t>
            </w:r>
            <w:r>
              <w:rPr/>
              <w:t>.</w:t>
            </w:r>
          </w:p>
        </w:tc>
        <w:tc>
          <w:tcPr>
            <w:tcW w:w="1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90"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779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r>
      <w:tr>
        <w:trPr>
          <w:trHeight w:val="290" w:hRule="atLeast"/>
        </w:trPr>
        <w:tc>
          <w:tcPr>
            <w:tcW w:w="8500"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rPr>
            </w:pPr>
            <w:r>
              <w:rPr>
                <w:b/>
              </w:rPr>
              <w:t>Всего по Договору:</w:t>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rPr>
            </w:pPr>
            <w:r>
              <w:rPr>
                <w:b/>
              </w:rPr>
            </w:r>
          </w:p>
        </w:tc>
      </w:tr>
    </w:tbl>
    <w:p>
      <w:pPr>
        <w:pStyle w:val="Normal"/>
        <w:rPr/>
      </w:pPr>
      <w:r>
        <w:rPr/>
      </w:r>
    </w:p>
    <w:p>
      <w:pPr>
        <w:pStyle w:val="Normal"/>
        <w:rPr/>
      </w:pPr>
      <w:r>
        <w:rPr/>
      </w:r>
    </w:p>
    <w:p>
      <w:pPr>
        <w:pStyle w:val="Normal"/>
        <w:rPr/>
      </w:pPr>
      <w:r>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Style w:val="Normal"/>
        <w:rPr/>
      </w:pPr>
      <w:r>
        <w:rPr/>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eastAsia="en-US"/>
        </w:rPr>
      </w:pPr>
      <w:r>
        <w:rPr>
          <w:b/>
          <w:lang w:val="ru-RU"/>
        </w:rPr>
        <w:t xml:space="preserve">Сводный расчет </w:t>
      </w:r>
      <w:r>
        <w:rPr>
          <w:b/>
          <w:highlight w:val="lightGray"/>
          <w:lang w:val="ru-RU"/>
        </w:rPr>
        <w:t>стоимости Услуг</w:t>
      </w:r>
      <w:r>
        <w:rPr>
          <w:b/>
          <w:highlight w:val="lightGray"/>
          <w:lang w:val="ru-RU" w:eastAsia="en-US"/>
        </w:rPr>
        <w:t xml:space="preserve"> / </w:t>
      </w:r>
      <w:r>
        <w:rPr>
          <w:b/>
          <w:highlight w:val="lightGray"/>
          <w:lang w:val="ru-RU"/>
        </w:rPr>
        <w:t>Расчет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sz w:val="22"/>
          <w:szCs w:val="22"/>
          <w:highlight w:val="lightGray"/>
          <w:lang w:val="ru-RU"/>
        </w:rPr>
        <w:t>Приложение № 4</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lang w:val="ru-RU"/>
        </w:rPr>
        <w:t xml:space="preserve"> </w:t>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 xml:space="preserve">об оказании </w:t>
      </w:r>
      <w:r>
        <w:rPr>
          <w:iCs/>
        </w:rPr>
        <w:t>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highlight w:val="lightGray"/>
                <w:lang w:val="ru-RU"/>
              </w:rPr>
              <w:t>Этапу Услуг.</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lang w:val="ru-RU"/>
              </w:rPr>
              <w:tab/>
            </w:r>
            <w:r>
              <w:rPr>
                <w:highlight w:val="lightGray"/>
                <w:lang w:val="ru-RU"/>
              </w:rPr>
              <w:t>Отчет об оказанных Услугах,</w:t>
            </w:r>
            <w:r>
              <w:rPr>
                <w:highlight w:val="lightGray"/>
                <w:u w:val="single"/>
                <w:lang w:val="ru-RU"/>
              </w:rPr>
              <w:t xml:space="preserve"> </w:t>
            </w:r>
            <w:r>
              <w:rPr>
                <w:highlight w:val="lightGray"/>
                <w:lang w:val="ru-RU"/>
              </w:rPr>
              <w:t>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176"/>
        <w:gridCol w:w="4609"/>
        <w:gridCol w:w="4181"/>
      </w:tblGrid>
      <w:tr>
        <w:trPr/>
        <w:tc>
          <w:tcPr>
            <w:tcW w:w="4961" w:type="dxa"/>
            <w:gridSpan w:val="2"/>
            <w:tcBorders/>
          </w:tcPr>
          <w:p>
            <w:pPr>
              <w:pStyle w:val="Normal"/>
              <w:widowControl w:val="false"/>
              <w:rPr>
                <w:b/>
                <w:lang w:val="ru-RU"/>
              </w:rPr>
            </w:pPr>
            <w:r>
              <w:rPr>
                <w:b/>
                <w:lang w:val="ru-RU"/>
              </w:rPr>
            </w:r>
          </w:p>
        </w:tc>
        <w:tc>
          <w:tcPr>
            <w:tcW w:w="8790" w:type="dxa"/>
            <w:gridSpan w:val="2"/>
            <w:tcBorders/>
          </w:tcPr>
          <w:p>
            <w:pPr>
              <w:pStyle w:val="Normal"/>
              <w:widowControl w:val="false"/>
              <w:rPr>
                <w:b/>
                <w:lang w:val="ru-RU"/>
              </w:rPr>
            </w:pPr>
            <w:r>
              <w:rPr>
                <w:b/>
                <w:lang w:val="ru-RU"/>
              </w:rPr>
            </w:r>
          </w:p>
        </w:tc>
      </w:tr>
      <w:tr>
        <w:trPr/>
        <w:tc>
          <w:tcPr>
            <w:tcW w:w="4785" w:type="dxa"/>
            <w:tcBorders/>
          </w:tcPr>
          <w:p>
            <w:pPr>
              <w:pStyle w:val="Normal"/>
              <w:widowControl w:val="false"/>
              <w:rPr>
                <w:b/>
              </w:rPr>
            </w:pPr>
            <w:r>
              <w:rPr>
                <w:b/>
              </w:rPr>
              <w:t>Заказчик:</w:t>
            </w:r>
          </w:p>
        </w:tc>
        <w:tc>
          <w:tcPr>
            <w:tcW w:w="4785" w:type="dxa"/>
            <w:gridSpan w:val="2"/>
            <w:tcBorders/>
          </w:tcPr>
          <w:p>
            <w:pPr>
              <w:pStyle w:val="Normal"/>
              <w:widowControl w:val="false"/>
              <w:rPr>
                <w:b/>
              </w:rPr>
            </w:pPr>
            <w:r>
              <w:rPr>
                <w:b/>
                <w:lang w:val="ru-RU"/>
              </w:rPr>
              <w:t>Исполнитель</w:t>
            </w:r>
            <w:r>
              <w:rPr>
                <w:b/>
              </w:rPr>
              <w:t>:</w:t>
            </w:r>
          </w:p>
        </w:tc>
        <w:tc>
          <w:tcPr>
            <w:tcW w:w="4181" w:type="dxa"/>
            <w:tcBorders/>
          </w:tcPr>
          <w:p>
            <w:pPr>
              <w:pStyle w:val="Normal"/>
              <w:widowControl w:val="false"/>
              <w:rPr/>
            </w:pPr>
            <w:r>
              <w:rPr/>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85" w:type="dxa"/>
            <w:gridSpan w:val="2"/>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181" w:type="dxa"/>
            <w:tcBorders/>
          </w:tcPr>
          <w:p>
            <w:pPr>
              <w:pStyle w:val="Normal"/>
              <w:widowControl w:val="false"/>
              <w:rPr/>
            </w:pPr>
            <w:r>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lang w:val="ru-RU"/>
        </w:rPr>
      </w:pPr>
      <w:r>
        <w:rPr>
          <w:lang w:val="ru-RU"/>
        </w:rPr>
      </w: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w:t>
      </w:r>
    </w:p>
    <w:p>
      <w:pPr>
        <w:pStyle w:val="Normal"/>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3"/>
      </w:r>
      <w:r>
        <w:rPr>
          <w:lang w:val="ru-RU"/>
        </w:rPr>
        <w:t>, а также соответствовать следующим критериям:</w:t>
      </w:r>
    </w:p>
    <w:p>
      <w:pPr>
        <w:pStyle w:val="Normal"/>
        <w:numPr>
          <w:ilvl w:val="1"/>
          <w:numId w:val="26"/>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26"/>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26"/>
        </w:numPr>
        <w:tabs>
          <w:tab w:val="clear" w:pos="709"/>
          <w:tab w:val="left" w:pos="1134" w:leader="none"/>
        </w:tabs>
        <w:ind w:left="0" w:firstLine="710"/>
        <w:jc w:val="both"/>
        <w:rPr>
          <w:lang w:val="ru-RU"/>
        </w:rPr>
      </w:pPr>
      <w:r>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t>www</w:t>
      </w:r>
      <w:r>
        <w:rPr>
          <w:lang w:val="ru-RU"/>
        </w:rPr>
        <w:t>.</w:t>
      </w:r>
      <w:r>
        <w:rPr/>
        <w:t>cbr</w:t>
      </w:r>
      <w:r>
        <w:rPr>
          <w:lang w:val="ru-RU"/>
        </w:rPr>
        <w:t>.</w:t>
      </w:r>
      <w:r>
        <w:rPr/>
        <w:t>ru</w:t>
      </w:r>
      <w:r>
        <w:rPr>
          <w:lang w:val="ru-RU"/>
        </w:rPr>
        <w:t xml:space="preserve">) по строке 000 «Расчет собственных средств (капитала) («Базель </w:t>
      </w:r>
      <w:r>
        <w:rPr/>
        <w:t>III</w:t>
      </w:r>
      <w:r>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t>III</w:t>
      </w:r>
      <w:r>
        <w:rPr>
          <w:lang w:val="ru-RU"/>
        </w:rPr>
        <w:t>»)» (далее – Методика ЦБ РФ) или иным документом, его заменяющим (в случае изменения или отмены указанного Положения).</w:t>
      </w:r>
    </w:p>
    <w:p>
      <w:pPr>
        <w:pStyle w:val="Normal"/>
        <w:numPr>
          <w:ilvl w:val="1"/>
          <w:numId w:val="26"/>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4"/>
      </w:r>
      <w:r>
        <w:rPr>
          <w:lang w:val="ru-RU"/>
        </w:rPr>
        <w:t xml:space="preserve">. </w:t>
      </w:r>
    </w:p>
    <w:p>
      <w:pPr>
        <w:pStyle w:val="Normal"/>
        <w:numPr>
          <w:ilvl w:val="1"/>
          <w:numId w:val="26"/>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5"/>
      </w:r>
      <w:r>
        <w:rPr>
          <w:lang w:val="ru-RU"/>
        </w:rPr>
        <w:t>.</w:t>
      </w:r>
    </w:p>
    <w:p>
      <w:pPr>
        <w:pStyle w:val="Normal"/>
        <w:numPr>
          <w:ilvl w:val="1"/>
          <w:numId w:val="26"/>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26"/>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26"/>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6"/>
      </w:r>
      <w:r>
        <w:rPr>
          <w:lang w:val="ru-RU"/>
        </w:rPr>
        <w:t>.</w:t>
      </w:r>
    </w:p>
    <w:p>
      <w:pPr>
        <w:pStyle w:val="Normal"/>
        <w:numPr>
          <w:ilvl w:val="1"/>
          <w:numId w:val="26"/>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27"/>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7"/>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7"/>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27"/>
        </w:numPr>
        <w:tabs>
          <w:tab w:val="clear" w:pos="709"/>
          <w:tab w:val="left" w:pos="1134" w:leader="none"/>
        </w:tabs>
        <w:ind w:left="0" w:firstLine="709"/>
        <w:jc w:val="both"/>
        <w:rPr/>
      </w:pPr>
      <w:r>
        <w:rPr>
          <w:lang w:val="ru-RU"/>
        </w:rPr>
        <w:t xml:space="preserve"> </w:t>
      </w:r>
      <w:r>
        <w:rPr/>
        <w:t>ВЭБ.РФ.</w:t>
      </w:r>
    </w:p>
    <w:p>
      <w:pPr>
        <w:pStyle w:val="Normal"/>
        <w:numPr>
          <w:ilvl w:val="1"/>
          <w:numId w:val="26"/>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3"/>
        <w:gridCol w:w="8506"/>
      </w:tblGrid>
      <w:tr>
        <w:trPr>
          <w:trHeight w:val="426" w:hRule="atLeast"/>
        </w:trPr>
        <w:tc>
          <w:tcPr>
            <w:tcW w:w="817" w:type="dxa"/>
            <w:tcBorders/>
            <w:shd w:color="auto" w:fill="auto" w:val="clear"/>
          </w:tcPr>
          <w:p>
            <w:pPr>
              <w:pStyle w:val="Normal"/>
              <w:widowControl w:val="false"/>
              <w:ind w:right="-108" w:hanging="0"/>
              <w:jc w:val="both"/>
              <w:rPr>
                <w:color w:val="000000"/>
              </w:rPr>
            </w:pPr>
            <w:r>
              <w:rPr>
                <w:b/>
                <w:i/>
                <w:color w:val="000000"/>
              </w:rPr>
              <w:t>Lim</w:t>
            </w:r>
            <w:r>
              <w:rPr>
                <w:b/>
                <w:i/>
                <w:color w:val="000000"/>
                <w:vertAlign w:val="subscript"/>
                <w:lang w:val="en-US"/>
              </w:rPr>
              <w:t xml:space="preserve">Ai </w:t>
            </w:r>
          </w:p>
        </w:tc>
        <w:tc>
          <w:tcPr>
            <w:tcW w:w="283" w:type="dxa"/>
            <w:tcBorders/>
            <w:shd w:color="auto" w:fill="auto" w:val="clear"/>
          </w:tcPr>
          <w:p>
            <w:pPr>
              <w:pStyle w:val="Normal"/>
              <w:widowControl w:val="false"/>
              <w:ind w:left="317" w:right="-108" w:hanging="317"/>
              <w:jc w:val="both"/>
              <w:rPr>
                <w:color w:val="000000"/>
              </w:rPr>
            </w:pPr>
            <w:r>
              <w:rPr/>
              <w:t xml:space="preserve">-  </w:t>
            </w:r>
          </w:p>
        </w:tc>
        <w:tc>
          <w:tcPr>
            <w:tcW w:w="8506" w:type="dxa"/>
            <w:tcBorders/>
            <w:shd w:color="auto" w:fill="auto" w:val="clear"/>
          </w:tcPr>
          <w:p>
            <w:pPr>
              <w:pStyle w:val="Normal"/>
              <w:widowControl w:val="false"/>
              <w:ind w:left="-75" w:right="-108" w:hanging="0"/>
              <w:jc w:val="both"/>
              <w:rPr>
                <w:color w:val="000000"/>
                <w:lang w:val="ru-RU"/>
              </w:rPr>
            </w:pPr>
            <w:r>
              <w:rPr>
                <w:lang w:val="ru-RU"/>
              </w:rPr>
              <w:t xml:space="preserve">Лимит риска для </w:t>
            </w:r>
            <w:r>
              <w:rPr/>
              <w:t>i</w:t>
            </w:r>
            <w:r>
              <w:rPr>
                <w:lang w:val="ru-RU"/>
              </w:rPr>
              <w:t>-ой кредитной организации</w:t>
            </w:r>
            <w:r>
              <w:rPr>
                <w:rStyle w:val="FootnoteReference"/>
                <w:vertAlign w:val="superscript"/>
              </w:rPr>
              <w:footnoteReference w:id="7"/>
            </w:r>
            <w:r>
              <w:rPr>
                <w:vertAlign w:val="superscript"/>
                <w:lang w:val="ru-RU"/>
              </w:rPr>
              <w:t>.</w:t>
            </w:r>
            <w:r>
              <w:rPr>
                <w:lang w:val="ru-RU"/>
              </w:rPr>
              <w:t xml:space="preserve"> </w:t>
            </w:r>
          </w:p>
        </w:tc>
      </w:tr>
      <w:tr>
        <w:trPr>
          <w:trHeight w:val="280" w:hRule="atLeast"/>
        </w:trPr>
        <w:tc>
          <w:tcPr>
            <w:tcW w:w="817" w:type="dxa"/>
            <w:tcBorders/>
            <w:shd w:color="auto" w:fill="auto" w:val="clear"/>
          </w:tcPr>
          <w:p>
            <w:pPr>
              <w:pStyle w:val="Normal"/>
              <w:widowControl w:val="false"/>
              <w:ind w:right="-108" w:hanging="0"/>
              <w:jc w:val="both"/>
              <w:rPr>
                <w:b/>
                <w:i/>
                <w:i/>
                <w:color w:val="000000"/>
                <w:vertAlign w:val="subscript"/>
              </w:rPr>
            </w:pPr>
            <w:r>
              <w:rPr>
                <w:b/>
                <w:i/>
                <w:color w:val="000000"/>
              </w:rPr>
              <w:t>С</w:t>
            </w:r>
            <w:r>
              <w:rPr>
                <w:b/>
                <w:i/>
                <w:color w:val="000000"/>
                <w:lang w:val="en-US"/>
              </w:rPr>
              <w:t>K</w:t>
            </w:r>
            <w:r>
              <w:rPr>
                <w:b/>
                <w:i/>
                <w:color w:val="000000"/>
                <w:vertAlign w:val="subscript"/>
                <w:lang w:val="en-US"/>
              </w:rPr>
              <w:t>i</w:t>
            </w:r>
          </w:p>
          <w:p>
            <w:pPr>
              <w:pStyle w:val="Normal"/>
              <w:widowControl w:val="false"/>
              <w:ind w:right="-108" w:hanging="0"/>
              <w:jc w:val="both"/>
              <w:rPr>
                <w:color w:val="000000"/>
              </w:rPr>
            </w:pPr>
            <w:r>
              <w:rPr>
                <w:color w:val="000000"/>
              </w:rPr>
            </w:r>
          </w:p>
        </w:tc>
        <w:tc>
          <w:tcPr>
            <w:tcW w:w="283" w:type="dxa"/>
            <w:tcBorders/>
            <w:shd w:color="auto" w:fill="auto" w:val="clear"/>
          </w:tcPr>
          <w:p>
            <w:pPr>
              <w:pStyle w:val="Normal"/>
              <w:widowControl w:val="false"/>
              <w:ind w:right="-108" w:hanging="0"/>
              <w:jc w:val="both"/>
              <w:rPr>
                <w:color w:val="000000"/>
              </w:rPr>
            </w:pPr>
            <w:r>
              <w:rPr/>
              <w:t>-</w:t>
            </w:r>
            <w:r>
              <w:rPr>
                <w:color w:val="000000"/>
              </w:rPr>
              <w:t xml:space="preserve">  </w:t>
            </w:r>
          </w:p>
        </w:tc>
        <w:tc>
          <w:tcPr>
            <w:tcW w:w="8506" w:type="dxa"/>
            <w:tcBorders/>
            <w:shd w:color="auto" w:fill="auto" w:val="clear"/>
          </w:tcPr>
          <w:p>
            <w:pPr>
              <w:pStyle w:val="Normal"/>
              <w:widowControl w:val="false"/>
              <w:ind w:left="-75" w:right="-108" w:hanging="0"/>
              <w:jc w:val="both"/>
              <w:rPr>
                <w:color w:val="000000"/>
                <w:lang w:val="ru-RU"/>
              </w:rPr>
            </w:pPr>
            <w:r>
              <w:rPr>
                <w:lang w:val="ru-RU"/>
              </w:rPr>
              <w:t xml:space="preserve">размер собственных средств (капитала) </w:t>
            </w:r>
            <w:r>
              <w:rPr/>
              <w:t>i</w:t>
            </w:r>
            <w:r>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8">
              <w:r>
                <w:rPr>
                  <w:u w:val="single"/>
                </w:rPr>
                <w:t>www</w:t>
              </w:r>
              <w:r>
                <w:rPr>
                  <w:u w:val="single"/>
                  <w:lang w:val="ru-RU"/>
                </w:rPr>
                <w:t>.</w:t>
              </w:r>
              <w:r>
                <w:rPr>
                  <w:u w:val="single"/>
                </w:rPr>
                <w:t>cbr</w:t>
              </w:r>
              <w:r>
                <w:rPr>
                  <w:u w:val="single"/>
                  <w:lang w:val="ru-RU"/>
                </w:rPr>
                <w:t>.</w:t>
              </w:r>
              <w:r>
                <w:rPr>
                  <w:u w:val="single"/>
                </w:rPr>
                <w:t>ru</w:t>
              </w:r>
            </w:hyperlink>
            <w:r>
              <w:rPr>
                <w:lang w:val="ru-RU"/>
              </w:rPr>
              <w:t>) по строке 000 «Расчет собственных средств (капитала) («Базель</w:t>
            </w:r>
            <w:r>
              <w:rPr/>
              <w:t> III</w:t>
            </w:r>
            <w:r>
              <w:rPr>
                <w:lang w:val="ru-RU"/>
              </w:rPr>
              <w:t>»)», код формы 0409123;</w:t>
            </w:r>
          </w:p>
        </w:tc>
      </w:tr>
      <w:tr>
        <w:trPr>
          <w:trHeight w:val="993" w:hRule="atLeast"/>
        </w:trPr>
        <w:tc>
          <w:tcPr>
            <w:tcW w:w="817" w:type="dxa"/>
            <w:tcBorders/>
          </w:tcPr>
          <w:p>
            <w:pPr>
              <w:pStyle w:val="Normal"/>
              <w:widowControl w:val="false"/>
              <w:ind w:right="-108" w:hanging="0"/>
              <w:jc w:val="both"/>
              <w:rPr>
                <w:b/>
                <w:i/>
                <w:i/>
                <w:color w:val="000000"/>
              </w:rPr>
            </w:pPr>
            <w:r>
              <w:rPr>
                <w:b/>
                <w:i/>
                <w:color w:val="000000"/>
              </w:rPr>
              <w:t>r</w:t>
            </w:r>
            <w:r>
              <w:rPr>
                <w:b/>
                <w:i/>
                <w:color w:val="000000"/>
                <w:vertAlign w:val="subscript"/>
              </w:rPr>
              <w:t>i</w:t>
            </w:r>
          </w:p>
        </w:tc>
        <w:tc>
          <w:tcPr>
            <w:tcW w:w="283" w:type="dxa"/>
            <w:tcBorders/>
          </w:tcPr>
          <w:p>
            <w:pPr>
              <w:pStyle w:val="Normal"/>
              <w:widowControl w:val="false"/>
              <w:ind w:right="-108" w:hanging="0"/>
              <w:jc w:val="both"/>
              <w:rPr/>
            </w:pPr>
            <w:r>
              <w:rPr/>
              <w:t>-</w:t>
            </w:r>
          </w:p>
        </w:tc>
        <w:tc>
          <w:tcPr>
            <w:tcW w:w="8506" w:type="dxa"/>
            <w:tcBorders/>
          </w:tcPr>
          <w:p>
            <w:pPr>
              <w:pStyle w:val="Normal"/>
              <w:widowControl w:val="false"/>
              <w:tabs>
                <w:tab w:val="clear" w:pos="709"/>
                <w:tab w:val="left" w:pos="7130" w:leader="none"/>
              </w:tabs>
              <w:ind w:right="-108" w:hanging="0"/>
              <w:jc w:val="both"/>
              <w:rPr>
                <w:lang w:val="ru-RU"/>
              </w:rPr>
            </w:pPr>
            <w:r>
              <w:rPr>
                <w:lang w:val="ru-RU"/>
              </w:rPr>
              <w:t>рейтинговый коэффициент</w:t>
            </w:r>
            <w:r>
              <w:rPr>
                <w:rStyle w:val="FootnoteReference"/>
              </w:rPr>
              <w:footnoteReference w:id="8"/>
            </w:r>
            <w:r>
              <w:rPr>
                <w:lang w:val="ru-RU"/>
              </w:rPr>
              <w:t xml:space="preserve"> для </w:t>
            </w:r>
            <w:r>
              <w:rPr/>
              <w:t>i</w:t>
            </w:r>
            <w:r>
              <w:rPr>
                <w:lang w:val="ru-RU"/>
              </w:rPr>
              <w:t>-ой кредитной организации, равный:</w:t>
            </w:r>
          </w:p>
          <w:p>
            <w:pPr>
              <w:pStyle w:val="Normal"/>
              <w:widowControl w:val="false"/>
              <w:ind w:firstLine="492"/>
              <w:jc w:val="both"/>
              <w:rPr>
                <w:lang w:val="ru-RU"/>
              </w:rPr>
            </w:pPr>
            <w:r>
              <w:rPr>
                <w:b/>
                <w:lang w:val="ru-RU"/>
              </w:rPr>
              <w:t>0,05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ind w:left="67" w:firstLine="425"/>
              <w:jc w:val="both"/>
              <w:rPr>
                <w:lang w:val="ru-RU"/>
              </w:rPr>
            </w:pPr>
            <w:r>
              <w:rPr>
                <w:b/>
                <w:lang w:val="ru-RU"/>
              </w:rPr>
              <w:t>0,025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pPr>
              <w:pStyle w:val="Normal"/>
              <w:widowControl w:val="false"/>
              <w:ind w:firstLine="492"/>
              <w:jc w:val="both"/>
              <w:rPr>
                <w:lang w:val="ru-RU"/>
              </w:rPr>
            </w:pPr>
            <w:r>
              <w:rPr>
                <w:b/>
                <w:lang w:val="ru-RU"/>
              </w:rPr>
              <w:t>0,015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425" w:leader="none"/>
        </w:tabs>
        <w:rPr>
          <w:lang w:val="ru-RU"/>
        </w:rPr>
      </w:pPr>
      <w:r>
        <w:rPr>
          <w:lang w:val="ru-RU"/>
        </w:rPr>
        <w:tab/>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r>
    </w:tbl>
    <w:p>
      <w:pPr>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pStyle w:val="Normal"/>
        <w:tabs>
          <w:tab w:val="clear" w:pos="709"/>
          <w:tab w:val="left" w:pos="1425" w:leader="none"/>
        </w:tabs>
        <w:rPr>
          <w:lang w:val="ru-RU"/>
        </w:rPr>
      </w:pPr>
      <w:r>
        <w:rPr>
          <w:lang w:val="ru-RU"/>
        </w:rPr>
      </w:r>
    </w:p>
    <w:p>
      <w:pPr>
        <w:pStyle w:val="Normal"/>
        <w:tabs>
          <w:tab w:val="clear" w:pos="709"/>
          <w:tab w:val="left" w:pos="8222" w:leader="none"/>
        </w:tabs>
        <w:ind w:firstLine="3402"/>
        <w:jc w:val="right"/>
        <w:rPr>
          <w:sz w:val="22"/>
          <w:szCs w:val="22"/>
          <w:lang w:val="ru-RU"/>
        </w:rPr>
      </w:pPr>
      <w:r>
        <w:rPr>
          <w:sz w:val="22"/>
          <w:szCs w:val="22"/>
          <w:lang w:val="ru-RU"/>
        </w:rPr>
        <w:t xml:space="preserve">Приложение № 8 </w:t>
      </w:r>
    </w:p>
    <w:p>
      <w:pPr>
        <w:pStyle w:val="Normal"/>
        <w:tabs>
          <w:tab w:val="clear" w:pos="709"/>
          <w:tab w:val="left" w:pos="8222" w:leader="none"/>
        </w:tabs>
        <w:ind w:firstLine="3402"/>
        <w:jc w:val="right"/>
        <w:rPr>
          <w:sz w:val="22"/>
          <w:szCs w:val="22"/>
          <w:lang w:val="ru-RU"/>
        </w:rPr>
      </w:pPr>
      <w:r>
        <w:rPr>
          <w:sz w:val="22"/>
          <w:szCs w:val="22"/>
          <w:lang w:val="ru-RU"/>
        </w:rPr>
        <w:t xml:space="preserve">к Договору возмездного оказания услуг </w:t>
      </w:r>
    </w:p>
    <w:p>
      <w:pPr>
        <w:pStyle w:val="Normal"/>
        <w:tabs>
          <w:tab w:val="clear" w:pos="709"/>
          <w:tab w:val="left" w:pos="8222" w:leader="none"/>
        </w:tabs>
        <w:ind w:firstLine="3402"/>
        <w:jc w:val="right"/>
        <w:rPr>
          <w:sz w:val="22"/>
          <w:szCs w:val="22"/>
          <w:lang w:val="ru-RU"/>
        </w:rPr>
      </w:pPr>
      <w:r>
        <w:rPr>
          <w:sz w:val="22"/>
          <w:szCs w:val="22"/>
          <w:lang w:val="ru-RU"/>
        </w:rPr>
        <w:t>от «____» __________ 20 _ г. № ____</w:t>
      </w:r>
    </w:p>
    <w:p>
      <w:pPr>
        <w:pStyle w:val="Normal"/>
        <w:jc w:val="center"/>
        <w:rPr>
          <w:b/>
          <w:bCs/>
          <w:color w:val="000000"/>
          <w:lang w:val="ru-RU"/>
        </w:rPr>
      </w:pPr>
      <w:r>
        <w:rPr>
          <w:b/>
          <w:bCs/>
          <w:color w:val="000000"/>
          <w:lang w:val="ru-RU"/>
        </w:rPr>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62"/>
        <w:gridCol w:w="781"/>
        <w:gridCol w:w="1150"/>
        <w:gridCol w:w="1376"/>
        <w:gridCol w:w="2338"/>
        <w:gridCol w:w="2886"/>
        <w:gridCol w:w="2752"/>
        <w:gridCol w:w="963"/>
        <w:gridCol w:w="2059"/>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391"/>
        <w:gridCol w:w="1663"/>
        <w:gridCol w:w="1111"/>
        <w:gridCol w:w="1110"/>
        <w:gridCol w:w="1250"/>
        <w:gridCol w:w="2080"/>
        <w:gridCol w:w="1805"/>
        <w:gridCol w:w="1249"/>
        <w:gridCol w:w="2908"/>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9"/>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tabs>
          <w:tab w:val="clear" w:pos="709"/>
          <w:tab w:val="left" w:pos="8222" w:leader="none"/>
        </w:tabs>
        <w:ind w:firstLine="3402"/>
        <w:jc w:val="right"/>
        <w:rPr>
          <w:sz w:val="22"/>
          <w:szCs w:val="22"/>
          <w:lang w:val="ru-RU"/>
        </w:rPr>
      </w:pPr>
      <w:r>
        <w:rPr>
          <w:sz w:val="22"/>
          <w:szCs w:val="22"/>
          <w:lang w:val="ru-RU"/>
        </w:rPr>
        <w:t xml:space="preserve">Приложение № 9 </w:t>
      </w:r>
    </w:p>
    <w:p>
      <w:pPr>
        <w:pStyle w:val="Normal"/>
        <w:tabs>
          <w:tab w:val="clear" w:pos="709"/>
          <w:tab w:val="left" w:pos="8222" w:leader="none"/>
        </w:tabs>
        <w:ind w:firstLine="3402"/>
        <w:jc w:val="right"/>
        <w:rPr>
          <w:sz w:val="22"/>
          <w:szCs w:val="22"/>
          <w:lang w:val="ru-RU"/>
        </w:rPr>
      </w:pPr>
      <w:r>
        <w:rPr>
          <w:sz w:val="22"/>
          <w:szCs w:val="22"/>
          <w:lang w:val="ru-RU"/>
        </w:rPr>
        <w:t xml:space="preserve">к Договору возмездного оказания услуг </w:t>
      </w:r>
    </w:p>
    <w:p>
      <w:pPr>
        <w:pStyle w:val="Normal"/>
        <w:tabs>
          <w:tab w:val="clear" w:pos="709"/>
          <w:tab w:val="left" w:pos="8222" w:leader="none"/>
        </w:tabs>
        <w:ind w:firstLine="3402"/>
        <w:jc w:val="right"/>
        <w:rPr>
          <w:sz w:val="22"/>
          <w:szCs w:val="22"/>
          <w:lang w:val="ru-RU"/>
        </w:rPr>
      </w:pPr>
      <w:r>
        <w:rPr>
          <w:sz w:val="22"/>
          <w:szCs w:val="22"/>
          <w:lang w:val="ru-RU"/>
        </w:rPr>
        <w:t>от «____» __________ 20 _ г. № ____</w:t>
      </w:r>
    </w:p>
    <w:p>
      <w:pPr>
        <w:pStyle w:val="Normal"/>
        <w:spacing w:before="20" w:after="20"/>
        <w:ind w:firstLine="709"/>
        <w:jc w:val="both"/>
        <w:rPr>
          <w:lang w:val="ru-RU"/>
        </w:rPr>
      </w:pPr>
      <w:r>
        <w:rPr>
          <w:lang w:val="ru-RU"/>
        </w:rPr>
      </w:r>
    </w:p>
    <w:p>
      <w:pPr>
        <w:pStyle w:val="Normal"/>
        <w:spacing w:before="20" w:after="20"/>
        <w:ind w:firstLine="709"/>
        <w:jc w:val="center"/>
        <w:rPr>
          <w:lang w:val="ru-RU"/>
        </w:rPr>
      </w:pPr>
      <w:r>
        <w:rPr>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pPr>
        <w:pStyle w:val="Normal"/>
        <w:spacing w:before="20" w:after="20"/>
        <w:ind w:firstLine="709"/>
        <w:jc w:val="center"/>
        <w:rPr>
          <w:lang w:val="ru-RU"/>
        </w:rPr>
      </w:pPr>
      <w:r>
        <w:rPr>
          <w:lang w:val="ru-RU"/>
        </w:rPr>
      </w:r>
    </w:p>
    <w:p>
      <w:pPr>
        <w:pStyle w:val="Normal"/>
        <w:spacing w:before="20" w:after="20"/>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spacing w:before="120" w:after="20"/>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28"/>
        </w:numPr>
        <w:ind w:left="0" w:firstLine="709"/>
        <w:jc w:val="both"/>
        <w:rPr>
          <w:bCs/>
        </w:rPr>
      </w:pPr>
      <w:r>
        <w:rPr>
          <w:bCs/>
        </w:rPr>
        <w:t>номер заявки;</w:t>
      </w:r>
    </w:p>
    <w:p>
      <w:pPr>
        <w:pStyle w:val="Normal"/>
        <w:numPr>
          <w:ilvl w:val="0"/>
          <w:numId w:val="28"/>
        </w:numPr>
        <w:ind w:left="0" w:firstLine="709"/>
        <w:jc w:val="both"/>
        <w:rPr>
          <w:bCs/>
        </w:rPr>
      </w:pPr>
      <w:r>
        <w:rPr>
          <w:bCs/>
        </w:rPr>
        <w:t>подающее предприятие;</w:t>
      </w:r>
    </w:p>
    <w:p>
      <w:pPr>
        <w:pStyle w:val="Normal"/>
        <w:numPr>
          <w:ilvl w:val="0"/>
          <w:numId w:val="28"/>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28"/>
        </w:numPr>
        <w:ind w:left="0" w:firstLine="709"/>
        <w:jc w:val="both"/>
        <w:rPr>
          <w:bCs/>
        </w:rPr>
      </w:pPr>
      <w:r>
        <w:rPr>
          <w:bCs/>
        </w:rPr>
        <w:t>величина снижения максимальной мощности;</w:t>
      </w:r>
    </w:p>
    <w:p>
      <w:pPr>
        <w:pStyle w:val="Normal"/>
        <w:numPr>
          <w:ilvl w:val="0"/>
          <w:numId w:val="28"/>
        </w:numPr>
        <w:ind w:left="0" w:firstLine="709"/>
        <w:jc w:val="both"/>
        <w:rPr>
          <w:bCs/>
        </w:rPr>
      </w:pPr>
      <w:r>
        <w:rPr>
          <w:bCs/>
        </w:rPr>
        <w:t>содержание работ;</w:t>
      </w:r>
    </w:p>
    <w:p>
      <w:pPr>
        <w:pStyle w:val="Normal"/>
        <w:numPr>
          <w:ilvl w:val="0"/>
          <w:numId w:val="28"/>
        </w:numPr>
        <w:ind w:left="0" w:firstLine="709"/>
        <w:jc w:val="both"/>
        <w:rPr>
          <w:bCs/>
        </w:rPr>
      </w:pPr>
      <w:r>
        <w:rPr>
          <w:bCs/>
        </w:rPr>
        <w:t>время подачи заявки;</w:t>
      </w:r>
    </w:p>
    <w:p>
      <w:pPr>
        <w:pStyle w:val="Normal"/>
        <w:numPr>
          <w:ilvl w:val="0"/>
          <w:numId w:val="28"/>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pPr>
        <w:pStyle w:val="Normal"/>
        <w:spacing w:before="20" w:after="20"/>
        <w:ind w:firstLine="709"/>
        <w:jc w:val="both"/>
        <w:rPr>
          <w:lang w:val="ru-RU"/>
        </w:rPr>
      </w:pPr>
      <w:r>
        <w:rPr/>
        <w:drawing>
          <wp:inline distT="0" distB="0" distL="0" distR="0">
            <wp:extent cx="323850" cy="219075"/>
            <wp:effectExtent l="0" t="0" r="0" b="0"/>
            <wp:docPr id="1"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
                    <pic:cNvPicPr>
                      <a:picLocks noChangeAspect="1" noChangeArrowheads="1"/>
                    </pic:cNvPicPr>
                  </pic:nvPicPr>
                  <pic:blipFill>
                    <a:blip r:embed="rId17"/>
                    <a:stretch>
                      <a:fillRect/>
                    </a:stretch>
                  </pic:blipFill>
                  <pic:spPr bwMode="auto">
                    <a:xfrm>
                      <a:off x="0" y="0"/>
                      <a:ext cx="323850" cy="219075"/>
                    </a:xfrm>
                    <a:prstGeom prst="rect">
                      <a:avLst/>
                    </a:prstGeom>
                  </pic:spPr>
                </pic:pic>
              </a:graphicData>
            </a:graphic>
          </wp:inline>
        </w:drawing>
      </w:r>
      <w:r>
        <w:rPr>
          <w:lang w:val="ru-RU"/>
        </w:rPr>
        <w:t xml:space="preserve"> – </w:t>
      </w:r>
      <w:r>
        <w:rPr>
          <w:lang w:val="ru-RU"/>
        </w:rPr>
        <w:t>величина согласованного планового ремонтного снижения мощности;</w:t>
      </w:r>
    </w:p>
    <w:p>
      <w:pPr>
        <w:pStyle w:val="Normal"/>
        <w:spacing w:before="20" w:after="20"/>
        <w:ind w:firstLine="709"/>
        <w:jc w:val="both"/>
        <w:rPr>
          <w:lang w:val="ru-RU"/>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before="20" w:after="20"/>
        <w:ind w:firstLine="709"/>
        <w:jc w:val="both"/>
        <w:rPr>
          <w:lang w:val="ru-RU"/>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обусловленное проведением ремонта длительностью более 360 суток для ТЭС за 4 (четыре) года;</w:t>
      </w:r>
    </w:p>
    <w:p>
      <w:pPr>
        <w:pStyle w:val="Normal"/>
        <w:spacing w:before="20" w:after="20"/>
        <w:ind w:firstLine="709"/>
        <w:jc w:val="both"/>
        <w:rPr>
          <w:lang w:val="ru-RU"/>
        </w:rPr>
      </w:pPr>
      <w:r>
        <w:rPr/>
      </w:r>
      <m:oMath xmlns:m="http://schemas.openxmlformats.org/officeDocument/2006/math"/>
      <w:r>
        <w:rPr>
          <w:lang w:val="ru-RU"/>
        </w:rPr>
        <w:t xml:space="preserve"> – </w:t>
      </w:r>
      <w:r>
        <w:rPr>
          <w:lang w:val="ru-RU"/>
        </w:rPr>
        <w:t>итоговое значение согласованного планового ремонтного снижения располагаемой мощности;</w:t>
      </w:r>
    </w:p>
    <w:p>
      <w:pPr>
        <w:pStyle w:val="Normal"/>
        <w:spacing w:before="20" w:after="20"/>
        <w:ind w:firstLine="709"/>
        <w:jc w:val="both"/>
        <w:rPr>
          <w:lang w:val="ru-RU"/>
        </w:rPr>
      </w:pPr>
      <w:r>
        <w:rPr/>
        <w:drawing>
          <wp:inline distT="0" distB="0" distL="0" distR="0">
            <wp:extent cx="546100" cy="273050"/>
            <wp:effectExtent l="0" t="0" r="0" b="0"/>
            <wp:docPr id="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
                    <pic:cNvPicPr>
                      <a:picLocks noChangeAspect="1" noChangeArrowheads="1"/>
                    </pic:cNvPicPr>
                  </pic:nvPicPr>
                  <pic:blipFill>
                    <a:blip r:embed="rId18"/>
                    <a:stretch>
                      <a:fillRect/>
                    </a:stretch>
                  </pic:blipFill>
                  <pic:spPr bwMode="auto">
                    <a:xfrm>
                      <a:off x="0" y="0"/>
                      <a:ext cx="546100" cy="273050"/>
                    </a:xfrm>
                    <a:prstGeom prst="rect">
                      <a:avLst/>
                    </a:prstGeom>
                  </pic:spPr>
                </pic:pic>
              </a:graphicData>
            </a:graphic>
          </wp:inline>
        </w:drawing>
      </w:r>
      <w:r>
        <w:rPr>
          <w:lang w:val="ru-RU"/>
        </w:rPr>
        <w:t xml:space="preserve"> – </w:t>
      </w:r>
      <w:r>
        <w:rPr>
          <w:lang w:val="ru-RU"/>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pPr>
        <w:pStyle w:val="Normal"/>
        <w:spacing w:before="20" w:after="20"/>
        <w:ind w:firstLine="709"/>
        <w:jc w:val="both"/>
        <w:rPr>
          <w:lang w:val="ru-RU"/>
        </w:rPr>
      </w:pPr>
      <w:r>
        <w:rPr/>
        <w:drawing>
          <wp:inline distT="0" distB="0" distL="0" distR="0">
            <wp:extent cx="525145" cy="266065"/>
            <wp:effectExtent l="0" t="0" r="0" b="0"/>
            <wp:docPr id="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pic:cNvPicPr>
                      <a:picLocks noChangeAspect="1" noChangeArrowheads="1"/>
                    </pic:cNvPicPr>
                  </pic:nvPicPr>
                  <pic:blipFill>
                    <a:blip r:embed="rId19"/>
                    <a:stretch>
                      <a:fillRect/>
                    </a:stretch>
                  </pic:blipFill>
                  <pic:spPr bwMode="auto">
                    <a:xfrm>
                      <a:off x="0" y="0"/>
                      <a:ext cx="525145" cy="266065"/>
                    </a:xfrm>
                    <a:prstGeom prst="rect">
                      <a:avLst/>
                    </a:prstGeom>
                  </pic:spPr>
                </pic:pic>
              </a:graphicData>
            </a:graphic>
          </wp:inline>
        </w:drawing>
      </w:r>
      <w:r>
        <w:rPr>
          <w:lang w:val="ru-RU"/>
        </w:rPr>
        <w:t xml:space="preserve"> – </w:t>
      </w:r>
      <w:r>
        <w:rPr>
          <w:lang w:val="ru-RU"/>
        </w:rPr>
        <w:t>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before="20" w:after="20"/>
        <w:ind w:firstLine="709"/>
        <w:jc w:val="both"/>
        <w:rPr>
          <w:lang w:val="ru-RU"/>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r>
                  <w:rPr>
                    <w:rFonts w:ascii="Cambria Math" w:hAnsi="Cambria Math"/>
                  </w:rPr>
                  <m:t xml:space="preserve">(</m:t>
                </m:r>
                <m:r>
                  <m:rPr>
                    <m:lit/>
                    <m:nor/>
                  </m:rPr>
                  <w:rPr>
                    <w:rFonts w:ascii="Cambria Math" w:hAnsi="Cambria Math"/>
                  </w:rPr>
                  <m:t xml:space="preserve">120</m:t>
                </m:r>
                <m:r>
                  <w:rPr>
                    <w:rFonts w:ascii="Cambria Math" w:hAnsi="Cambria Math"/>
                  </w:rPr>
                  <m:t xml:space="preserve">)</m:t>
                </m:r>
              </m:sup>
            </m:sSubSup>
          </m:sup>
        </m:sSup>
      </m:oMath>
      <w:r>
        <w:rPr>
          <w:lang w:val="ru-RU"/>
        </w:rPr>
        <w:t xml:space="preserve"> – </w:t>
      </w:r>
      <w:r>
        <w:rPr>
          <w:lang w:val="ru-RU"/>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pPr>
        <w:pStyle w:val="Normal"/>
        <w:spacing w:before="20" w:after="20"/>
        <w:ind w:firstLine="709"/>
        <w:jc w:val="both"/>
        <w:rPr>
          <w:lang w:val="ru-RU"/>
        </w:rPr>
      </w:pPr>
      <w:r>
        <w:rPr/>
        <w:drawing>
          <wp:inline distT="0" distB="0" distL="0" distR="0">
            <wp:extent cx="532130" cy="273050"/>
            <wp:effectExtent l="0" t="0" r="0" b="0"/>
            <wp:docPr id="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
                    <pic:cNvPicPr>
                      <a:picLocks noChangeAspect="1" noChangeArrowheads="1"/>
                    </pic:cNvPicPr>
                  </pic:nvPicPr>
                  <pic:blipFill>
                    <a:blip r:embed="rId20"/>
                    <a:stretch>
                      <a:fillRect/>
                    </a:stretch>
                  </pic:blipFill>
                  <pic:spPr bwMode="auto">
                    <a:xfrm>
                      <a:off x="0" y="0"/>
                      <a:ext cx="532130" cy="273050"/>
                    </a:xfrm>
                    <a:prstGeom prst="rect">
                      <a:avLst/>
                    </a:prstGeom>
                  </pic:spPr>
                </pic:pic>
              </a:graphicData>
            </a:graphic>
          </wp:inline>
        </w:drawing>
      </w:r>
      <w:r>
        <w:rPr>
          <w:lang w:val="ru-RU"/>
        </w:rPr>
        <w:t xml:space="preserve"> – </w:t>
      </w:r>
      <w:r>
        <w:rPr>
          <w:lang w:val="ru-RU"/>
        </w:rPr>
        <w:t xml:space="preserve">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pPr>
        <w:pStyle w:val="Normal"/>
        <w:spacing w:before="20" w:after="20"/>
        <w:ind w:firstLine="709"/>
        <w:jc w:val="both"/>
        <w:rPr>
          <w:lang w:val="ru-RU"/>
        </w:rPr>
      </w:pPr>
      <w:r>
        <w:rPr/>
        <w:drawing>
          <wp:inline distT="0" distB="0" distL="0" distR="0">
            <wp:extent cx="526415" cy="263525"/>
            <wp:effectExtent l="0" t="0" r="0" b="0"/>
            <wp:docPr id="5"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0" descr=""/>
                    <pic:cNvPicPr>
                      <a:picLocks noChangeAspect="1" noChangeArrowheads="1"/>
                    </pic:cNvPicPr>
                  </pic:nvPicPr>
                  <pic:blipFill>
                    <a:blip r:embed="rId21"/>
                    <a:stretch>
                      <a:fillRect/>
                    </a:stretch>
                  </pic:blipFill>
                  <pic:spPr bwMode="auto">
                    <a:xfrm>
                      <a:off x="0" y="0"/>
                      <a:ext cx="526415" cy="263525"/>
                    </a:xfrm>
                    <a:prstGeom prst="rect">
                      <a:avLst/>
                    </a:prstGeom>
                  </pic:spPr>
                </pic:pic>
              </a:graphicData>
            </a:graphic>
          </wp:inline>
        </w:drawing>
      </w:r>
      <w:r>
        <w:rPr>
          <w:lang w:val="ru-RU"/>
        </w:rPr>
        <w:t xml:space="preserve"> – </w:t>
      </w:r>
      <w:r>
        <w:rPr>
          <w:lang w:val="ru-RU"/>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before="20" w:after="20"/>
        <w:ind w:firstLine="709"/>
        <w:jc w:val="both"/>
        <w:rPr>
          <w:lang w:val="ru-RU"/>
        </w:rPr>
      </w:pPr>
      <w:r>
        <w:rPr/>
        <w:drawing>
          <wp:inline distT="0" distB="0" distL="0" distR="0">
            <wp:extent cx="621030" cy="320675"/>
            <wp:effectExtent l="0" t="0" r="0" b="0"/>
            <wp:docPr id="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descr=""/>
                    <pic:cNvPicPr>
                      <a:picLocks noChangeAspect="1" noChangeArrowheads="1"/>
                    </pic:cNvPicPr>
                  </pic:nvPicPr>
                  <pic:blipFill>
                    <a:blip r:embed="rId22"/>
                    <a:stretch>
                      <a:fillRect/>
                    </a:stretch>
                  </pic:blipFill>
                  <pic:spPr bwMode="auto">
                    <a:xfrm>
                      <a:off x="0" y="0"/>
                      <a:ext cx="621030" cy="320675"/>
                    </a:xfrm>
                    <a:prstGeom prst="rect">
                      <a:avLst/>
                    </a:prstGeom>
                  </pic:spPr>
                </pic:pic>
              </a:graphicData>
            </a:graphic>
          </wp:inline>
        </w:drawing>
      </w:r>
      <w:r>
        <w:rPr>
          <w:lang w:val="ru-RU"/>
        </w:rPr>
        <w:t xml:space="preserve"> – </w:t>
      </w:r>
      <w:r>
        <w:rPr>
          <w:lang w:val="ru-RU"/>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Pr/>
        <w:t>n</w:t>
      </w:r>
      <w:r>
        <w:rPr>
          <w:lang w:val="ru-RU"/>
        </w:rPr>
        <w:t>-4) суток Х;</w:t>
      </w:r>
    </w:p>
    <w:p>
      <w:pPr>
        <w:pStyle w:val="Normal"/>
        <w:spacing w:before="20" w:after="20"/>
        <w:ind w:firstLine="709"/>
        <w:jc w:val="both"/>
        <w:rPr>
          <w:lang w:val="ru-RU"/>
        </w:rPr>
      </w:pPr>
      <w:r>
        <w:rPr/>
        <w:drawing>
          <wp:inline distT="0" distB="0" distL="0" distR="0">
            <wp:extent cx="526415" cy="263525"/>
            <wp:effectExtent l="0" t="0" r="0" b="0"/>
            <wp:docPr id="7"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9" descr=""/>
                    <pic:cNvPicPr>
                      <a:picLocks noChangeAspect="1" noChangeArrowheads="1"/>
                    </pic:cNvPicPr>
                  </pic:nvPicPr>
                  <pic:blipFill>
                    <a:blip r:embed="rId23"/>
                    <a:stretch>
                      <a:fillRect/>
                    </a:stretch>
                  </pic:blipFill>
                  <pic:spPr bwMode="auto">
                    <a:xfrm>
                      <a:off x="0" y="0"/>
                      <a:ext cx="526415" cy="263525"/>
                    </a:xfrm>
                    <a:prstGeom prst="rect">
                      <a:avLst/>
                    </a:prstGeom>
                  </pic:spPr>
                </pic:pic>
              </a:graphicData>
            </a:graphic>
          </wp:inline>
        </w:drawing>
      </w:r>
      <w:r>
        <w:rPr>
          <w:lang w:val="ru-RU"/>
        </w:rPr>
        <w:t xml:space="preserve"> – </w:t>
      </w:r>
      <w:r>
        <w:rPr>
          <w:lang w:val="ru-RU"/>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Pr/>
        <w:t>n</w:t>
      </w:r>
      <w:r>
        <w:rPr>
          <w:lang w:val="ru-RU"/>
        </w:rPr>
        <w:t>-4) суток Х;</w:t>
      </w:r>
    </w:p>
    <w:p>
      <w:pPr>
        <w:pStyle w:val="Normal"/>
        <w:spacing w:before="20" w:after="20"/>
        <w:ind w:firstLine="709"/>
        <w:jc w:val="both"/>
        <w:rPr>
          <w:lang w:val="ru-RU"/>
        </w:rPr>
      </w:pPr>
      <w:r>
        <w:rPr/>
        <w:drawing>
          <wp:inline distT="0" distB="0" distL="0" distR="0">
            <wp:extent cx="511810" cy="241300"/>
            <wp:effectExtent l="0" t="0" r="0" b="0"/>
            <wp:docPr id="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8" descr=""/>
                    <pic:cNvPicPr>
                      <a:picLocks noChangeAspect="1" noChangeArrowheads="1"/>
                    </pic:cNvPicPr>
                  </pic:nvPicPr>
                  <pic:blipFill>
                    <a:blip r:embed="rId24"/>
                    <a:stretch>
                      <a:fillRect/>
                    </a:stretch>
                  </pic:blipFill>
                  <pic:spPr bwMode="auto">
                    <a:xfrm>
                      <a:off x="0" y="0"/>
                      <a:ext cx="511810" cy="241300"/>
                    </a:xfrm>
                    <a:prstGeom prst="rect">
                      <a:avLst/>
                    </a:prstGeom>
                  </pic:spPr>
                </pic:pic>
              </a:graphicData>
            </a:graphic>
          </wp:inline>
        </w:drawing>
      </w:r>
      <w:r>
        <w:rPr>
          <w:lang w:val="ru-RU"/>
        </w:rPr>
        <w:t xml:space="preserve"> – </w:t>
      </w:r>
      <w:r>
        <w:rPr>
          <w:lang w:val="ru-RU"/>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before="20" w:after="20"/>
        <w:ind w:firstLine="709"/>
        <w:jc w:val="both"/>
        <w:rPr>
          <w:lang w:val="ru-RU"/>
        </w:rPr>
      </w:pPr>
      <w:r>
        <w:rPr/>
        <w:drawing>
          <wp:inline distT="0" distB="0" distL="0" distR="0">
            <wp:extent cx="497205" cy="241300"/>
            <wp:effectExtent l="0" t="0" r="0" b="0"/>
            <wp:docPr id="9"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7" descr=""/>
                    <pic:cNvPicPr>
                      <a:picLocks noChangeAspect="1" noChangeArrowheads="1"/>
                    </pic:cNvPicPr>
                  </pic:nvPicPr>
                  <pic:blipFill>
                    <a:blip r:embed="rId25"/>
                    <a:stretch>
                      <a:fillRect/>
                    </a:stretch>
                  </pic:blipFill>
                  <pic:spPr bwMode="auto">
                    <a:xfrm>
                      <a:off x="0" y="0"/>
                      <a:ext cx="497205" cy="241300"/>
                    </a:xfrm>
                    <a:prstGeom prst="rect">
                      <a:avLst/>
                    </a:prstGeom>
                  </pic:spPr>
                </pic:pic>
              </a:graphicData>
            </a:graphic>
          </wp:inline>
        </w:drawing>
      </w:r>
      <w:r>
        <w:rPr>
          <w:lang w:val="ru-RU"/>
        </w:rPr>
        <w:t xml:space="preserve"> – </w:t>
      </w:r>
      <w:r>
        <w:rPr>
          <w:lang w:val="ru-RU"/>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before="20" w:after="20"/>
        <w:ind w:firstLine="709"/>
        <w:jc w:val="both"/>
        <w:rPr>
          <w:lang w:val="ru-RU"/>
        </w:rPr>
      </w:pPr>
      <w:r>
        <w:rPr/>
        <w:drawing>
          <wp:inline distT="0" distB="0" distL="0" distR="0">
            <wp:extent cx="914400" cy="285115"/>
            <wp:effectExtent l="0" t="0" r="0" b="0"/>
            <wp:docPr id="10"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6" descr=""/>
                    <pic:cNvPicPr>
                      <a:picLocks noChangeAspect="1" noChangeArrowheads="1"/>
                    </pic:cNvPicPr>
                  </pic:nvPicPr>
                  <pic:blipFill>
                    <a:blip r:embed="rId26"/>
                    <a:stretch>
                      <a:fillRect/>
                    </a:stretch>
                  </pic:blipFill>
                  <pic:spPr bwMode="auto">
                    <a:xfrm>
                      <a:off x="0" y="0"/>
                      <a:ext cx="914400" cy="285115"/>
                    </a:xfrm>
                    <a:prstGeom prst="rect">
                      <a:avLst/>
                    </a:prstGeom>
                  </pic:spPr>
                </pic:pic>
              </a:graphicData>
            </a:graphic>
          </wp:inline>
        </w:drawing>
      </w:r>
      <w:r>
        <w:rPr>
          <w:lang w:val="ru-RU"/>
        </w:rPr>
        <w:t xml:space="preserve"> – </w:t>
      </w:r>
      <w:r>
        <w:rPr>
          <w:lang w:val="ru-RU"/>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before="20" w:after="20"/>
        <w:ind w:firstLine="709"/>
        <w:jc w:val="both"/>
        <w:rPr>
          <w:lang w:val="ru-RU"/>
        </w:rPr>
      </w:pPr>
      <w:r>
        <w:rPr/>
        <w:drawing>
          <wp:inline distT="0" distB="0" distL="0" distR="0">
            <wp:extent cx="1053465" cy="358140"/>
            <wp:effectExtent l="0" t="0" r="0" b="0"/>
            <wp:docPr id="11"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5" descr=""/>
                    <pic:cNvPicPr>
                      <a:picLocks noChangeAspect="1" noChangeArrowheads="1"/>
                    </pic:cNvPicPr>
                  </pic:nvPicPr>
                  <pic:blipFill>
                    <a:blip r:embed="rId27"/>
                    <a:stretch>
                      <a:fillRect/>
                    </a:stretch>
                  </pic:blipFill>
                  <pic:spPr bwMode="auto">
                    <a:xfrm>
                      <a:off x="0" y="0"/>
                      <a:ext cx="1053465" cy="358140"/>
                    </a:xfrm>
                    <a:prstGeom prst="rect">
                      <a:avLst/>
                    </a:prstGeom>
                  </pic:spPr>
                </pic:pic>
              </a:graphicData>
            </a:graphic>
          </wp:inline>
        </w:drawing>
      </w:r>
      <w:r>
        <w:rPr>
          <w:lang w:val="ru-RU"/>
        </w:rPr>
        <w:t xml:space="preserve"> – </w:t>
      </w:r>
      <w:r>
        <w:rPr>
          <w:lang w:val="ru-RU"/>
        </w:rPr>
        <w:t>регистрируется при согласованном увеличении времени включения в сеть;</w:t>
      </w:r>
    </w:p>
    <w:p>
      <w:pPr>
        <w:pStyle w:val="Normal"/>
        <w:spacing w:before="20" w:after="20"/>
        <w:ind w:firstLine="709"/>
        <w:jc w:val="both"/>
        <w:rPr>
          <w:lang w:val="ru-RU"/>
        </w:rPr>
      </w:pPr>
      <w:r>
        <w:rPr/>
        <w:drawing>
          <wp:inline distT="0" distB="0" distL="0" distR="0">
            <wp:extent cx="958215" cy="314325"/>
            <wp:effectExtent l="0" t="0" r="0" b="0"/>
            <wp:docPr id="12"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descr=""/>
                    <pic:cNvPicPr>
                      <a:picLocks noChangeAspect="1" noChangeArrowheads="1"/>
                    </pic:cNvPicPr>
                  </pic:nvPicPr>
                  <pic:blipFill>
                    <a:blip r:embed="rId28"/>
                    <a:stretch>
                      <a:fillRect/>
                    </a:stretch>
                  </pic:blipFill>
                  <pic:spPr bwMode="auto">
                    <a:xfrm>
                      <a:off x="0" y="0"/>
                      <a:ext cx="958215" cy="314325"/>
                    </a:xfrm>
                    <a:prstGeom prst="rect">
                      <a:avLst/>
                    </a:prstGeom>
                  </pic:spPr>
                </pic:pic>
              </a:graphicData>
            </a:graphic>
          </wp:inline>
        </w:drawing>
      </w:r>
      <w:r>
        <w:rPr>
          <w:lang w:val="ru-RU"/>
        </w:rPr>
        <w:t xml:space="preserve"> – </w:t>
      </w:r>
      <w:r>
        <w:rPr>
          <w:lang w:val="ru-RU"/>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before="20" w:after="20"/>
        <w:ind w:firstLine="709"/>
        <w:jc w:val="both"/>
        <w:rPr>
          <w:lang w:val="ru-RU"/>
        </w:rPr>
      </w:pPr>
      <w:r>
        <w:rPr/>
        <w:drawing>
          <wp:inline distT="0" distB="0" distL="0" distR="0">
            <wp:extent cx="368300" cy="286385"/>
            <wp:effectExtent l="0" t="0" r="0" b="0"/>
            <wp:docPr id="1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 descr=""/>
                    <pic:cNvPicPr>
                      <a:picLocks noChangeAspect="1" noChangeArrowheads="1"/>
                    </pic:cNvPicPr>
                  </pic:nvPicPr>
                  <pic:blipFill>
                    <a:blip r:embed="rId29"/>
                    <a:stretch>
                      <a:fillRect/>
                    </a:stretch>
                  </pic:blipFill>
                  <pic:spPr bwMode="auto">
                    <a:xfrm>
                      <a:off x="0" y="0"/>
                      <a:ext cx="368300" cy="286385"/>
                    </a:xfrm>
                    <a:prstGeom prst="rect">
                      <a:avLst/>
                    </a:prstGeom>
                  </pic:spPr>
                </pic:pic>
              </a:graphicData>
            </a:graphic>
          </wp:inline>
        </w:drawing>
      </w:r>
      <w:r>
        <w:rPr>
          <w:lang w:val="ru-RU"/>
        </w:rPr>
        <w:t xml:space="preserve"> – </w:t>
      </w:r>
      <w:r>
        <w:rPr>
          <w:lang w:val="ru-RU"/>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before="120" w:after="20"/>
        <w:ind w:firstLine="709"/>
        <w:jc w:val="both"/>
        <w:rPr>
          <w:lang w:val="ru-RU"/>
        </w:rPr>
      </w:pPr>
      <w:r>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6550" cy="263525"/>
            <wp:effectExtent l="0" t="0" r="0" b="0"/>
            <wp:docPr id="1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descr=""/>
                    <pic:cNvPicPr>
                      <a:picLocks noChangeAspect="1" noChangeArrowheads="1"/>
                    </pic:cNvPicPr>
                  </pic:nvPicPr>
                  <pic:blipFill>
                    <a:blip r:embed="rId30"/>
                    <a:stretch>
                      <a:fillRect/>
                    </a:stretch>
                  </pic:blipFill>
                  <pic:spPr bwMode="auto">
                    <a:xfrm>
                      <a:off x="0" y="0"/>
                      <a:ext cx="336550" cy="263525"/>
                    </a:xfrm>
                    <a:prstGeom prst="rect">
                      <a:avLst/>
                    </a:prstGeom>
                  </pic:spPr>
                </pic:pic>
              </a:graphicData>
            </a:graphic>
          </wp:inline>
        </w:drawing>
      </w:r>
      <w:r>
        <w:rPr>
          <w:lang w:val="ru-RU"/>
        </w:rPr>
        <w:t>, соответствующие объемам невыполнения требований в месяце, определяется по формуле:</w:t>
      </w:r>
    </w:p>
    <w:p>
      <w:pPr>
        <w:pStyle w:val="Normal"/>
        <w:spacing w:before="20" w:after="20"/>
        <w:jc w:val="center"/>
        <w:rPr/>
      </w:pPr>
      <w:r>
        <w:rPr/>
        <w:drawing>
          <wp:inline distT="0" distB="0" distL="0" distR="0">
            <wp:extent cx="1375410" cy="673100"/>
            <wp:effectExtent l="0" t="0" r="0" b="0"/>
            <wp:docPr id="15"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descr=""/>
                    <pic:cNvPicPr>
                      <a:picLocks noChangeAspect="1" noChangeArrowheads="1"/>
                    </pic:cNvPicPr>
                  </pic:nvPicPr>
                  <pic:blipFill>
                    <a:blip r:embed="rId31"/>
                    <a:stretch>
                      <a:fillRect/>
                    </a:stretch>
                  </pic:blipFill>
                  <pic:spPr bwMode="auto">
                    <a:xfrm>
                      <a:off x="0" y="0"/>
                      <a:ext cx="1375410" cy="673100"/>
                    </a:xfrm>
                    <a:prstGeom prst="rect">
                      <a:avLst/>
                    </a:prstGeom>
                  </pic:spPr>
                </pic:pic>
              </a:graphicData>
            </a:graphic>
          </wp:inline>
        </w:drawing>
      </w:r>
    </w:p>
    <w:p>
      <w:pPr>
        <w:pStyle w:val="Normal"/>
        <w:spacing w:before="20" w:after="20"/>
        <w:ind w:firstLine="709"/>
        <w:jc w:val="both"/>
        <w:rPr>
          <w:lang w:val="ru-RU"/>
        </w:rPr>
      </w:pPr>
      <w:r>
        <w:rPr>
          <w:lang w:val="ru-RU"/>
        </w:rPr>
        <w:t>где:</w:t>
      </w:r>
    </w:p>
    <w:p>
      <w:pPr>
        <w:pStyle w:val="Normal"/>
        <w:spacing w:before="20" w:after="20"/>
        <w:ind w:firstLine="709"/>
        <w:jc w:val="both"/>
        <w:rPr>
          <w:lang w:val="ru-RU"/>
        </w:rPr>
      </w:pPr>
      <w:r>
        <w:rPr/>
        <w:drawing>
          <wp:inline distT="0" distB="0" distL="0" distR="0">
            <wp:extent cx="292735" cy="263525"/>
            <wp:effectExtent l="0" t="0" r="0" b="0"/>
            <wp:docPr id="1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descr=""/>
                    <pic:cNvPicPr>
                      <a:picLocks noChangeAspect="1" noChangeArrowheads="1"/>
                    </pic:cNvPicPr>
                  </pic:nvPicPr>
                  <pic:blipFill>
                    <a:blip r:embed="rId32"/>
                    <a:stretch>
                      <a:fillRect/>
                    </a:stretch>
                  </pic:blipFill>
                  <pic:spPr bwMode="auto">
                    <a:xfrm>
                      <a:off x="0" y="0"/>
                      <a:ext cx="292735" cy="263525"/>
                    </a:xfrm>
                    <a:prstGeom prst="rect">
                      <a:avLst/>
                    </a:prstGeom>
                  </pic:spPr>
                </pic:pic>
              </a:graphicData>
            </a:graphic>
          </wp:inline>
        </w:drawing>
      </w:r>
      <w:r>
        <w:rPr>
          <w:lang w:val="ru-RU"/>
        </w:rPr>
        <w:t xml:space="preserve"> – </w:t>
      </w:r>
      <w:r>
        <w:rPr>
          <w:lang w:val="ru-RU"/>
        </w:rPr>
        <w:t>значения снижения мощности ГТПГ, установленные СО в ГРМ;</w:t>
      </w:r>
    </w:p>
    <w:p>
      <w:pPr>
        <w:pStyle w:val="Normal"/>
        <w:spacing w:before="20" w:after="20"/>
        <w:ind w:firstLine="709"/>
        <w:jc w:val="both"/>
        <w:rPr>
          <w:lang w:val="ru-RU"/>
        </w:rPr>
      </w:pPr>
      <w:r>
        <w:rPr>
          <w:lang w:val="ru-RU"/>
        </w:rPr>
        <w:t xml:space="preserve">Н – количество часов, соответствующее расчетному месяцу </w:t>
      </w:r>
      <w:r>
        <w:rPr/>
        <w:t>m</w:t>
      </w:r>
      <w:r>
        <w:rPr>
          <w:lang w:val="ru-RU"/>
        </w:rPr>
        <w:t xml:space="preserve">. </w:t>
      </w:r>
    </w:p>
    <w:p>
      <w:pPr>
        <w:pStyle w:val="Normal"/>
        <w:spacing w:before="20" w:after="20"/>
        <w:ind w:firstLine="709"/>
        <w:jc w:val="both"/>
        <w:rPr>
          <w:lang w:val="ru-RU"/>
        </w:rPr>
      </w:pPr>
      <w:r>
        <w:rPr>
          <w:lang w:val="ru-RU"/>
        </w:rPr>
      </w:r>
    </w:p>
    <w:p>
      <w:pPr>
        <w:pStyle w:val="Normal"/>
        <w:spacing w:before="20" w:after="20"/>
        <w:ind w:firstLine="709"/>
        <w:jc w:val="both"/>
        <w:rPr>
          <w:lang w:val="ru-RU"/>
        </w:rPr>
      </w:pPr>
      <w:r>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before="120" w:after="20"/>
        <w:ind w:firstLine="709"/>
        <w:jc w:val="both"/>
        <w:rPr>
          <w:lang w:val="ru-RU"/>
        </w:rPr>
      </w:pPr>
      <w:r>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Pr/>
        <w:t>m</w:t>
      </w:r>
      <w:r>
        <w:rPr>
          <w:lang w:val="ru-RU"/>
        </w:rPr>
        <w:t>, рассчитывается для каждой ГТП (единицы оборудования) по формуле:</w:t>
      </w:r>
    </w:p>
    <w:p>
      <w:pPr>
        <w:pStyle w:val="Normal"/>
        <w:spacing w:before="20" w:after="20"/>
        <w:ind w:firstLine="709"/>
        <w:jc w:val="both"/>
        <w:rPr>
          <w:lang w:val="ru-RU"/>
        </w:rPr>
      </w:pPr>
      <w:r>
        <w:rPr>
          <w:lang w:val="ru-RU"/>
        </w:rPr>
      </w:r>
    </w:p>
    <w:p>
      <w:pPr>
        <w:pStyle w:val="Normal"/>
        <w:spacing w:before="20" w:after="20"/>
        <w:jc w:val="center"/>
        <w:rPr/>
      </w:pPr>
      <w:r>
        <w:rPr/>
        <w:drawing>
          <wp:inline distT="0" distB="0" distL="0" distR="0">
            <wp:extent cx="1866900" cy="447675"/>
            <wp:effectExtent l="0" t="0" r="0" b="0"/>
            <wp:docPr id="17"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8" descr=""/>
                    <pic:cNvPicPr>
                      <a:picLocks noChangeAspect="1" noChangeArrowheads="1"/>
                    </pic:cNvPicPr>
                  </pic:nvPicPr>
                  <pic:blipFill>
                    <a:blip r:embed="rId33"/>
                    <a:stretch>
                      <a:fillRect/>
                    </a:stretch>
                  </pic:blipFill>
                  <pic:spPr bwMode="auto">
                    <a:xfrm>
                      <a:off x="0" y="0"/>
                      <a:ext cx="1866900" cy="447675"/>
                    </a:xfrm>
                    <a:prstGeom prst="rect">
                      <a:avLst/>
                    </a:prstGeom>
                  </pic:spPr>
                </pic:pic>
              </a:graphicData>
            </a:graphic>
          </wp:inline>
        </w:drawing>
      </w:r>
    </w:p>
    <w:p>
      <w:pPr>
        <w:pStyle w:val="Normal"/>
        <w:spacing w:before="20" w:after="20"/>
        <w:ind w:firstLine="709"/>
        <w:jc w:val="both"/>
        <w:rPr>
          <w:lang w:val="ru-RU"/>
        </w:rPr>
      </w:pPr>
      <w:r>
        <w:rPr>
          <w:lang w:val="ru-RU"/>
        </w:rPr>
        <w:t xml:space="preserve"> </w:t>
      </w:r>
      <w:r>
        <w:rPr>
          <w:lang w:val="ru-RU"/>
        </w:rPr>
        <w:t>где:</w:t>
        <w:tab/>
        <w:tab/>
        <w:tab/>
        <w:tab/>
        <w:tab/>
        <w:tab/>
      </w:r>
    </w:p>
    <w:p>
      <w:pPr>
        <w:pStyle w:val="Normal"/>
        <w:spacing w:before="20" w:after="20"/>
        <w:ind w:firstLine="709"/>
        <w:jc w:val="both"/>
        <w:rPr>
          <w:lang w:val="ru-RU"/>
        </w:rPr>
      </w:pPr>
      <w:r>
        <w:rPr/>
        <w:drawing>
          <wp:inline distT="0" distB="0" distL="0" distR="0">
            <wp:extent cx="184150" cy="231775"/>
            <wp:effectExtent l="0" t="0" r="0" b="0"/>
            <wp:docPr id="18"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
                    <pic:cNvPicPr>
                      <a:picLocks noChangeAspect="1" noChangeArrowheads="1"/>
                    </pic:cNvPicPr>
                  </pic:nvPicPr>
                  <pic:blipFill>
                    <a:blip r:embed="rId34"/>
                    <a:stretch>
                      <a:fillRect/>
                    </a:stretch>
                  </pic:blipFill>
                  <pic:spPr bwMode="auto">
                    <a:xfrm>
                      <a:off x="0" y="0"/>
                      <a:ext cx="184150" cy="231775"/>
                    </a:xfrm>
                    <a:prstGeom prst="rect">
                      <a:avLst/>
                    </a:prstGeom>
                  </pic:spPr>
                </pic:pic>
              </a:graphicData>
            </a:graphic>
          </wp:inline>
        </w:drawing>
      </w:r>
      <w:r>
        <w:rPr>
          <w:lang w:val="ru-RU"/>
        </w:rPr>
        <w:t xml:space="preserve"> </w:t>
      </w:r>
      <w:r>
        <w:rPr>
          <w:lang w:val="ru-RU"/>
        </w:rPr>
        <w:t>- коэффициенты (</w:t>
      </w:r>
      <w:r>
        <w:rPr/>
      </w:r>
      <m:oMath xmlns:m="http://schemas.openxmlformats.org/officeDocument/2006/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lang w:val="ru-RU"/>
        </w:rPr>
        <w:t>,</w:t>
      </w:r>
      <w:r>
        <w:rPr/>
      </w:r>
      <m:oMath xmlns:m="http://schemas.openxmlformats.org/officeDocument/2006/math"/>
      <w:r>
        <w:rPr>
          <w:lang w:val="ru-RU"/>
        </w:rPr>
        <w:t>,</w:t>
      </w:r>
      <w:r>
        <w:rPr/>
      </w:r>
      <m:oMath xmlns:m="http://schemas.openxmlformats.org/officeDocument/2006/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lang w:val="ru-RU"/>
        </w:rPr>
        <w:t xml:space="preserve">, </w:t>
      </w:r>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pPr>
        <w:pStyle w:val="Normal"/>
        <w:spacing w:before="120" w:after="20"/>
        <w:ind w:firstLine="709"/>
        <w:jc w:val="both"/>
        <w:rPr>
          <w:lang w:val="ru-RU"/>
        </w:rPr>
      </w:pPr>
      <w:r>
        <w:rPr>
          <w:lang w:val="ru-RU"/>
        </w:rPr>
        <w:t xml:space="preserve">Снижение оплаты мощности рассчитывается как произведение объема недопоставки мощности </w:t>
      </w:r>
      <w:r>
        <w:rPr/>
        <w:drawing>
          <wp:inline distT="0" distB="0" distL="0" distR="0">
            <wp:extent cx="702945" cy="259080"/>
            <wp:effectExtent l="0" t="0" r="0" b="0"/>
            <wp:docPr id="19"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 descr=""/>
                    <pic:cNvPicPr>
                      <a:picLocks noChangeAspect="1" noChangeArrowheads="1"/>
                    </pic:cNvPicPr>
                  </pic:nvPicPr>
                  <pic:blipFill>
                    <a:blip r:embed="rId35"/>
                    <a:stretch>
                      <a:fillRect/>
                    </a:stretch>
                  </pic:blipFill>
                  <pic:spPr bwMode="auto">
                    <a:xfrm>
                      <a:off x="0" y="0"/>
                      <a:ext cx="702945" cy="259080"/>
                    </a:xfrm>
                    <a:prstGeom prst="rect">
                      <a:avLst/>
                    </a:prstGeom>
                  </pic:spPr>
                </pic:pic>
              </a:graphicData>
            </a:graphic>
          </wp:inline>
        </w:drawing>
      </w:r>
      <w:r>
        <w:rPr>
          <w:lang w:val="ru-RU"/>
        </w:rPr>
        <w:t xml:space="preserve"> на тариф </w:t>
      </w:r>
      <w:r>
        <w:rPr/>
        <w:drawing>
          <wp:inline distT="0" distB="0" distL="0" distR="0">
            <wp:extent cx="497205" cy="343535"/>
            <wp:effectExtent l="0" t="0" r="0" b="0"/>
            <wp:docPr id="2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0" descr=""/>
                    <pic:cNvPicPr>
                      <a:picLocks noChangeAspect="1" noChangeArrowheads="1"/>
                    </pic:cNvPicPr>
                  </pic:nvPicPr>
                  <pic:blipFill>
                    <a:blip r:embed="rId36"/>
                    <a:stretch>
                      <a:fillRect/>
                    </a:stretch>
                  </pic:blipFill>
                  <pic:spPr bwMode="auto">
                    <a:xfrm>
                      <a:off x="0" y="0"/>
                      <a:ext cx="497205" cy="343535"/>
                    </a:xfrm>
                    <a:prstGeom prst="rect">
                      <a:avLst/>
                    </a:prstGeom>
                  </pic:spPr>
                </pic:pic>
              </a:graphicData>
            </a:graphic>
          </wp:inline>
        </w:drawing>
      </w:r>
      <w:r>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spacing w:before="120" w:after="20"/>
        <w:ind w:firstLine="709"/>
        <w:jc w:val="both"/>
        <w:rPr>
          <w:lang w:val="ru-RU"/>
        </w:rPr>
      </w:pPr>
      <w:r>
        <w:rPr/>
      </w:r>
    </w:p>
    <w:sectPr>
      <w:headerReference w:type="default" r:id="rId37"/>
      <w:headerReference w:type="first" r:id="rId38"/>
      <w:footerReference w:type="default" r:id="rId39"/>
      <w:footerReference w:type="first" r:id="rId40"/>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36</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4">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5">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6">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7">
    <w:p>
      <w:pPr>
        <w:pStyle w:val="FootnoteText"/>
        <w:jc w:val="both"/>
        <w:rPr>
          <w:lang w:val="ru-RU"/>
        </w:rPr>
      </w:pPr>
      <w:r>
        <w:rPr>
          <w:rStyle w:val="Style6"/>
        </w:rPr>
        <w:footnoteRef/>
      </w:r>
      <w:r>
        <w:rPr>
          <w:lang w:val="ru-RU"/>
        </w:rPr>
        <w:t xml:space="preserve"> </w:t>
      </w:r>
      <w:r>
        <w:rPr>
          <w:lang w:val="ru-RU"/>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val="ru-RU"/>
        </w:rPr>
        <w:t>440 млн. руб., лимит к установлению - 5</w:t>
      </w:r>
      <w:r>
        <w:rPr/>
        <w:t> </w:t>
      </w:r>
      <w:r>
        <w:rPr>
          <w:lang w:val="ru-RU"/>
        </w:rPr>
        <w:t>400 млн. руб.; расчетное значение лимита - 5</w:t>
      </w:r>
      <w:r>
        <w:rPr/>
        <w:t> </w:t>
      </w:r>
      <w:r>
        <w:rPr>
          <w:lang w:val="ru-RU"/>
        </w:rPr>
        <w:t>450 млн. руб., лимит к установлению - 5</w:t>
      </w:r>
      <w:r>
        <w:rPr/>
        <w:t> </w:t>
      </w:r>
      <w:r>
        <w:rPr>
          <w:lang w:val="ru-RU"/>
        </w:rPr>
        <w:t>500 млн. руб.</w:t>
      </w:r>
    </w:p>
  </w:footnote>
  <w:footnote w:id="8">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9">
    <w:p>
      <w:pPr>
        <w:pStyle w:val="Normal"/>
        <w:jc w:val="both"/>
        <w:rPr>
          <w:lang w:val="ru-RU"/>
        </w:rPr>
      </w:pP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ind w:firstLine="709"/>
      <w:jc w:val="right"/>
      <w:rPr>
        <w:sz w:val="20"/>
        <w:szCs w:val="20"/>
        <w:lang w:val="ru-RU"/>
      </w:rPr>
    </w:pPr>
    <w:r>
      <w:rPr>
        <w:sz w:val="20"/>
        <w:szCs w:val="20"/>
        <w:lang w:val="ru-RU"/>
      </w:rPr>
      <w:t>ТФД 5.1.3.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856" w:hanging="360"/>
      </w:pPr>
      <w:rPr/>
    </w:lvl>
    <w:lvl w:ilvl="2">
      <w:start w:val="1"/>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7">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28">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8">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1.png"/><Relationship Id="rId18" Type="http://schemas.openxmlformats.org/officeDocument/2006/relationships/image" Target="media/image2.wmf"/><Relationship Id="rId19" Type="http://schemas.openxmlformats.org/officeDocument/2006/relationships/image" Target="media/image3.wmf"/><Relationship Id="rId20" Type="http://schemas.openxmlformats.org/officeDocument/2006/relationships/image" Target="media/image4.wmf"/><Relationship Id="rId21" Type="http://schemas.openxmlformats.org/officeDocument/2006/relationships/image" Target="media/image5.wmf"/><Relationship Id="rId22" Type="http://schemas.openxmlformats.org/officeDocument/2006/relationships/image" Target="media/image6.wmf"/><Relationship Id="rId23" Type="http://schemas.openxmlformats.org/officeDocument/2006/relationships/image" Target="media/image7.wmf"/><Relationship Id="rId24" Type="http://schemas.openxmlformats.org/officeDocument/2006/relationships/image" Target="media/image8.wmf"/><Relationship Id="rId25" Type="http://schemas.openxmlformats.org/officeDocument/2006/relationships/image" Target="media/image9.wmf"/><Relationship Id="rId26" Type="http://schemas.openxmlformats.org/officeDocument/2006/relationships/image" Target="media/image10.wmf"/><Relationship Id="rId27" Type="http://schemas.openxmlformats.org/officeDocument/2006/relationships/image" Target="media/image11.wmf"/><Relationship Id="rId28" Type="http://schemas.openxmlformats.org/officeDocument/2006/relationships/image" Target="media/image12.wmf"/><Relationship Id="rId29" Type="http://schemas.openxmlformats.org/officeDocument/2006/relationships/image" Target="media/image13.wmf"/><Relationship Id="rId30" Type="http://schemas.openxmlformats.org/officeDocument/2006/relationships/image" Target="media/image14.wmf"/><Relationship Id="rId31" Type="http://schemas.openxmlformats.org/officeDocument/2006/relationships/image" Target="media/image15.wmf"/><Relationship Id="rId32" Type="http://schemas.openxmlformats.org/officeDocument/2006/relationships/image" Target="media/image16.wmf"/><Relationship Id="rId33" Type="http://schemas.openxmlformats.org/officeDocument/2006/relationships/image" Target="media/image17.png"/><Relationship Id="rId34" Type="http://schemas.openxmlformats.org/officeDocument/2006/relationships/image" Target="media/image18.wmf"/><Relationship Id="rId35" Type="http://schemas.openxmlformats.org/officeDocument/2006/relationships/image" Target="media/image19.wmf"/><Relationship Id="rId36" Type="http://schemas.openxmlformats.org/officeDocument/2006/relationships/image" Target="media/image20.wmf"/><Relationship Id="rId37" Type="http://schemas.openxmlformats.org/officeDocument/2006/relationships/header" Target="header7.xml"/><Relationship Id="rId38" Type="http://schemas.openxmlformats.org/officeDocument/2006/relationships/header" Target="header8.xml"/><Relationship Id="rId39" Type="http://schemas.openxmlformats.org/officeDocument/2006/relationships/footer" Target="footer6.xml"/><Relationship Id="rId40" Type="http://schemas.openxmlformats.org/officeDocument/2006/relationships/footer" Target="footer7.xml"/><Relationship Id="rId41" Type="http://schemas.openxmlformats.org/officeDocument/2006/relationships/footnotes" Target="footnotes.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Relationship Id="rId47" Type="http://schemas.openxmlformats.org/officeDocument/2006/relationships/customXml" Target="../customXml/item2.xml"/><Relationship Id="rId48" Type="http://schemas.openxmlformats.org/officeDocument/2006/relationships/customXml" Target="../customXml/item3.xml"/><Relationship Id="rId49" Type="http://schemas.openxmlformats.org/officeDocument/2006/relationships/customXml" Target="../customXml/item4.xml"/><Relationship Id="rId50" Type="http://schemas.openxmlformats.org/officeDocument/2006/relationships/customXml" Target="../customXml/item5.xml"/><Relationship Id="rId51" Type="http://schemas.openxmlformats.org/officeDocument/2006/relationships/customXml" Target="../customXml/item6.xml"/><Relationship Id="rId5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2042-F1B2-4A0B-9088-7913634D5045}">
  <ds:schemaRefs>
    <ds:schemaRef ds:uri="http://schemas.openxmlformats.org/officeDocument/2006/bibliography"/>
  </ds:schemaRefs>
</ds:datastoreItem>
</file>

<file path=customXml/itemProps2.xml><?xml version="1.0" encoding="utf-8"?>
<ds:datastoreItem xmlns:ds="http://schemas.openxmlformats.org/officeDocument/2006/customXml" ds:itemID="{786B6F75-D435-451E-993D-0ED305176021}">
  <ds:schemaRefs>
    <ds:schemaRef ds:uri="http://schemas.openxmlformats.org/officeDocument/2006/bibliography"/>
  </ds:schemaRefs>
</ds:datastoreItem>
</file>

<file path=customXml/itemProps3.xml><?xml version="1.0" encoding="utf-8"?>
<ds:datastoreItem xmlns:ds="http://schemas.openxmlformats.org/officeDocument/2006/customXml" ds:itemID="{E612822F-4FF7-47CE-B918-88DF4CC56441}">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BFE3F3BE-DC8B-4377-B65E-188B7A77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AlterOffice/3.4.0.9$Linux_X86_64 LibreOffice_project/b8daf9e823b1a5463a2f48435ddc2e8696e7d4fc</Application>
  <AppVersion>15.0000</AppVersion>
  <Pages>36</Pages>
  <Words>11742</Words>
  <Characters>83547</Characters>
  <CharactersWithSpaces>89789</CharactersWithSpaces>
  <Paragraphs>635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2020-06-09T22:33:00Z</dcterms:created>
  <dc:creator>UK VoHEC</dc:creator>
  <dc:description/>
  <dc:language>ru-RU</dc:language>
  <cp:lastModifiedBy>golovachevamvi@corp.gidroogk.com</cp:lastModifiedBy>
  <cp:lastPrinted>2016-12-15T13:00:00Z</cp:lastPrinted>
  <dcterms:modified xsi:type="dcterms:W3CDTF">2026-05-20T14:16:26Z</dcterms:modified>
  <cp:revision>90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